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0"/>
        <w:spacing/>
        <w:jc w:val="both"/>
        <w:outlineLvl w:val="0"/>
        <w:rPr>
          <w:lang w:bidi="ru-ru"/>
        </w:rPr>
      </w:pPr>
      <w:r>
        <w:rPr>
          <w:lang w:bidi="ru-ru"/>
        </w:rPr>
        <w:t>Зарегистрировано в Минюсте ЧР 17 февраля 2014 г. N 1871</w:t>
      </w:r>
    </w:p>
    <w:p>
      <w:pPr>
        <w:pStyle w:val="para0"/>
        <w:spacing/>
        <w:jc w:val="center"/>
        <w:rPr>
          <w:lang w:bidi="ru-ru"/>
        </w:rPr>
      </w:pPr>
      <w:r>
        <w:rPr>
          <w:lang w:bidi="ru-ru"/>
        </w:rPr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МИНИСТЕРСТВО СТРОИТЕЛЬСТВА, АРХИТЕКТУРЫ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И ЖИЛИЩНО-КОММУНАЛЬНОГО ХОЗЯЙСТВА ЧУВАШСКОЙ РЕСПУБЛИКИ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ПРИКАЗ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от 15 января 2014 г. N 04-08/1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ОБ УТВЕРЖДЕНИИ ПОРЯДКА РАБОТЫ АТТЕСТАЦИОННОЙ КОМИССИИ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МИНИСТЕРСТВА СТРОИТЕЛЬСТВА, АРХИТЕКТУРЫ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И ЖИЛИЩНО-КОММУНАЛЬНОГО ХОЗЯЙСТВА ЧУВАШСКОЙ РЕСПУБЛИКИ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ПО ВОПРОСАМ АТТЕСТАЦИИ ГОСУДАРСТВЕННЫХ ГРАЖДАНСКИХ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СЛУЖАЩИХ ЧУВАШСКОЙ РЕСПУБЛИКИ В МИНИСТЕРСТВЕ СТРОИТЕЛЬСТВА,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АРХИТЕКТУРЫ И ЖИЛИЩНО-КОММУНАЛЬНОГО ХОЗЯЙСТВА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ЧУВАШСКОЙ РЕСПУБЛИКИ</w:t>
      </w:r>
    </w:p>
    <w:p>
      <w:pPr>
        <w:pStyle w:val="para0"/>
        <w:spacing/>
        <w:jc w:val="center"/>
        <w:rPr>
          <w:lang w:bidi="ru-ru"/>
        </w:rPr>
      </w:pPr>
      <w:r>
        <w:rPr>
          <w:lang w:bidi="ru-ru"/>
        </w:rPr>
      </w:r>
    </w:p>
    <w:p>
      <w:pPr>
        <w:pStyle w:val="para0"/>
        <w:ind w:firstLine="540"/>
        <w:spacing/>
        <w:jc w:val="both"/>
        <w:rPr>
          <w:lang w:bidi="ru-ru"/>
        </w:rPr>
      </w:pPr>
      <w:r>
        <w:rPr>
          <w:lang w:bidi="ru-ru"/>
        </w:rPr>
        <w:t xml:space="preserve">В соответствии с Федеральным </w:t>
      </w:r>
      <w:hyperlink r:id="rId7" w:history="1">
        <w:r>
          <w:rPr>
            <w:color w:val="0000ff"/>
            <w:lang w:bidi="ru-ru"/>
          </w:rPr>
          <w:t>законом</w:t>
        </w:r>
      </w:hyperlink>
      <w:r>
        <w:rPr>
          <w:lang w:bidi="ru-ru"/>
        </w:rPr>
        <w:t xml:space="preserve"> от 27 июля 2004 г. N 79-ФЗ "О государственной гражданской службе Российской Федерации", </w:t>
      </w:r>
      <w:hyperlink r:id="rId8" w:history="1">
        <w:r>
          <w:rPr>
            <w:color w:val="0000ff"/>
            <w:lang w:bidi="ru-ru"/>
          </w:rPr>
          <w:t>Указом</w:t>
        </w:r>
      </w:hyperlink>
      <w:r>
        <w:rPr>
          <w:lang w:bidi="ru-ru"/>
        </w:rPr>
        <w:t xml:space="preserve"> Президента Российской Федерации от 1 февраля 2005 г. N 110 "О проведении аттестации государственных гражданских служащих Российской Федерации" приказываю: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 xml:space="preserve">1. Утвердить прилагаемый </w:t>
      </w:r>
      <w:hyperlink w:anchor="Par36" w:history="1">
        <w:r>
          <w:rPr>
            <w:color w:val="0000ff"/>
            <w:lang w:bidi="ru-ru"/>
          </w:rPr>
          <w:t>Порядок</w:t>
        </w:r>
      </w:hyperlink>
      <w:r>
        <w:rPr>
          <w:lang w:bidi="ru-ru"/>
        </w:rPr>
        <w:t xml:space="preserve"> работы аттестационной комиссии Министерства строительства, архитектуры и жилищно-коммунального хозяйства Чувашской Республики по вопросам аттестации государственных гражданских служащих Чувашской Республики в Министерстве строительства, архитектуры и жилищно-коммунального хозяйства Чувашской Республики.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2. Настоящий приказ вступает в силу через десять дней после дня его официального опубликования.</w:t>
      </w:r>
    </w:p>
    <w:p>
      <w:pPr>
        <w:pStyle w:val="para0"/>
        <w:ind w:firstLine="540"/>
        <w:spacing/>
        <w:jc w:val="both"/>
        <w:rPr>
          <w:lang w:bidi="ru-ru"/>
        </w:rPr>
      </w:pPr>
      <w:r>
        <w:rPr>
          <w:lang w:bidi="ru-ru"/>
        </w:rPr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  <w:t>Министр</w:t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  <w:t>О.И.МАРКОВ</w:t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</w:r>
    </w:p>
    <w:p>
      <w:pPr>
        <w:pStyle w:val="para0"/>
        <w:spacing/>
        <w:jc w:val="right"/>
        <w:outlineLvl w:val="0"/>
        <w:rPr>
          <w:lang w:bidi="ru-ru"/>
        </w:rPr>
      </w:pPr>
      <w:r>
        <w:rPr>
          <w:lang w:bidi="ru-ru"/>
        </w:rPr>
        <w:t>Утвержден</w:t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  <w:t>приказом</w:t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  <w:t>Министерства строительства, архитектуры</w:t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  <w:t>и жилищно-коммунального хозяйства</w:t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  <w:t>Чувашской Республики</w:t>
      </w:r>
    </w:p>
    <w:p>
      <w:pPr>
        <w:pStyle w:val="para0"/>
        <w:spacing/>
        <w:jc w:val="right"/>
        <w:rPr>
          <w:lang w:bidi="ru-ru"/>
        </w:rPr>
      </w:pPr>
      <w:r>
        <w:rPr>
          <w:lang w:bidi="ru-ru"/>
        </w:rPr>
        <w:t>от 15.01.2014 N 04-08/1</w:t>
      </w:r>
    </w:p>
    <w:p>
      <w:pPr>
        <w:pStyle w:val="para0"/>
        <w:spacing/>
        <w:jc w:val="center"/>
        <w:rPr>
          <w:lang w:bidi="ru-ru"/>
        </w:rPr>
      </w:pPr>
      <w:r>
        <w:rPr>
          <w:lang w:bidi="ru-ru"/>
        </w:rPr>
      </w:r>
    </w:p>
    <w:p>
      <w:pPr>
        <w:pStyle w:val="para0"/>
        <w:spacing/>
        <w:jc w:val="center"/>
        <w:rPr>
          <w:b/>
          <w:lang w:bidi="ru-ru"/>
        </w:rPr>
      </w:pPr>
      <w:bookmarkStart w:id="0" w:name="Par36"/>
      <w:bookmarkEnd w:id="0"/>
      <w:r>
        <w:rPr>
          <w:b/>
          <w:lang w:bidi="ru-ru"/>
        </w:rPr>
        <w:t>ПОРЯДОК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РАБОТЫ АТТЕСТАЦИОННОЙ КОМИССИИ МИНИСТЕРСТВА СТРОИТЕЛЬСТВА,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АРХИТЕКТУРЫ И ЖИЛИЩНО-КОММУНАЛЬНОГО ХОЗЯЙСТВА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ЧУВАШСКОЙ РЕСПУБЛИКИ ПО ВОПРОСАМ АТТЕСТАЦИИ ГОСУДАРСТВЕННЫХ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ГРАЖДАНСКИХ СЛУЖАЩИХ ЧУВАШСКОЙ РЕСПУБЛИКИ В МИНИСТЕРСТВЕ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СТРОИТЕЛЬСТВА, АРХИТЕКТУРЫ И ЖИЛИЩНО-КОММУНАЛЬНОГО</w:t>
      </w:r>
    </w:p>
    <w:p>
      <w:pPr>
        <w:pStyle w:val="para0"/>
        <w:spacing/>
        <w:jc w:val="center"/>
        <w:rPr>
          <w:b/>
          <w:lang w:bidi="ru-ru"/>
        </w:rPr>
      </w:pPr>
      <w:r>
        <w:rPr>
          <w:b/>
          <w:lang w:bidi="ru-ru"/>
        </w:rPr>
        <w:t>ХОЗЯЙСТВА ЧУВАШСКОЙ РЕСПУБЛИКИ</w:t>
      </w:r>
    </w:p>
    <w:p>
      <w:pPr>
        <w:pStyle w:val="para0"/>
        <w:spacing/>
        <w:jc w:val="center"/>
        <w:rPr>
          <w:lang w:bidi="ru-ru"/>
        </w:rPr>
      </w:pPr>
      <w:r>
        <w:rPr>
          <w:lang w:bidi="ru-ru"/>
        </w:rPr>
      </w:r>
    </w:p>
    <w:p>
      <w:pPr>
        <w:pStyle w:val="para0"/>
        <w:ind w:firstLine="540"/>
        <w:spacing/>
        <w:jc w:val="both"/>
        <w:rPr>
          <w:lang w:bidi="ru-ru"/>
        </w:rPr>
      </w:pPr>
      <w:r>
        <w:rPr>
          <w:lang w:bidi="ru-ru"/>
        </w:rPr>
        <w:t>1. Аттестационная комиссия Министерства строительства, архитектуры и жилищно-коммунального хозяйства Чувашской Республики по вопросам аттестации государственных гражданских служащих Чувашской Республики в Министерстве строительства, архитектуры и жилищно-коммунального хозяйства Чувашской Республики (далее - Комиссия), образуется в целях проведения аттестации государственных гражданских служащих Чувашской Республики в Министерстве строительства, архитектуры и жилищно-коммунального хозяйства Чувашской Республики, за исключением государственных гражданских служащих Чувашской Республики, замещающих высшие должности государственной гражданской службы Чувашской Республики, назначение на которые осуществляется решениями Кабинета Министров Чувашской Республики.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 xml:space="preserve">2. Комиссия в своей деятельности руководствуется </w:t>
      </w:r>
      <w:hyperlink r:id="rId9" w:history="1">
        <w:r>
          <w:rPr>
            <w:color w:val="0000ff"/>
            <w:lang w:bidi="ru-ru"/>
          </w:rPr>
          <w:t>Конституцией</w:t>
        </w:r>
      </w:hyperlink>
      <w:r>
        <w:rPr>
          <w:lang w:bidi="ru-ru"/>
        </w:rPr>
        <w:t xml:space="preserve"> Российской Федерации, федеральными законами от 27 мая 2003 г. </w:t>
      </w:r>
      <w:hyperlink r:id="rId10" w:history="1">
        <w:r>
          <w:rPr>
            <w:color w:val="0000ff"/>
            <w:lang w:bidi="ru-ru"/>
          </w:rPr>
          <w:t>N 58-ФЗ</w:t>
        </w:r>
      </w:hyperlink>
      <w:r>
        <w:rPr>
          <w:lang w:bidi="ru-ru"/>
        </w:rPr>
        <w:t xml:space="preserve"> "О системе государственной службы Российской Федерации", от 27 июля 2004 г. </w:t>
      </w:r>
      <w:hyperlink r:id="rId7" w:history="1">
        <w:r>
          <w:rPr>
            <w:color w:val="0000ff"/>
            <w:lang w:bidi="ru-ru"/>
          </w:rPr>
          <w:t>N 79-ФЗ</w:t>
        </w:r>
      </w:hyperlink>
      <w:r>
        <w:rPr>
          <w:lang w:bidi="ru-ru"/>
        </w:rPr>
        <w:t xml:space="preserve"> "О государственной гражданской службе Российской Федерации", другими федеральными законами, </w:t>
      </w:r>
      <w:hyperlink r:id="rId11" w:history="1">
        <w:r>
          <w:rPr>
            <w:color w:val="0000ff"/>
            <w:lang w:bidi="ru-ru"/>
          </w:rPr>
          <w:t>Положением</w:t>
        </w:r>
      </w:hyperlink>
      <w:r>
        <w:rPr>
          <w:lang w:bidi="ru-ru"/>
        </w:rPr>
        <w:t xml:space="preserve"> о проведении аттестации государственных гражданских служащих Российской Федерации, утвержденным Указом Президента Российской Федерации от 1 февраля 2005 г. N 110 (далее - Положение о проведении аттестации), иными нормативными правовыми актами Российской Федерации, </w:t>
      </w:r>
      <w:hyperlink r:id="rId12" w:history="1">
        <w:r>
          <w:rPr>
            <w:color w:val="0000ff"/>
            <w:lang w:bidi="ru-ru"/>
          </w:rPr>
          <w:t>Конституцией</w:t>
        </w:r>
      </w:hyperlink>
      <w:r>
        <w:rPr>
          <w:lang w:bidi="ru-ru"/>
        </w:rPr>
        <w:t xml:space="preserve"> Чувашской Республики, </w:t>
      </w:r>
      <w:hyperlink r:id="rId13" w:history="1">
        <w:r>
          <w:rPr>
            <w:color w:val="0000ff"/>
            <w:lang w:bidi="ru-ru"/>
          </w:rPr>
          <w:t>Законом</w:t>
        </w:r>
      </w:hyperlink>
      <w:r>
        <w:rPr>
          <w:lang w:bidi="ru-ru"/>
        </w:rPr>
        <w:t xml:space="preserve"> Чувашской Республики от 12 апреля 2005 г. N 11 "О государственной гражданской службе Чувашской Республики", иными нормативными правовыми актами Чувашской Республики и настоящим Порядком.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3. Комиссия является коллегиальным органом и состоит из председателя, заместителя председателя, секретаря и членов Комиссии. Члены Комиссии при принятии решений обладают равными правами.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4. Состав Комиссии утверждается приказом Министерства строительства, архитектуры и жилищно-коммунального хозяйства Чувашской Республики (далее - Министерство).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В состав Комиссии входят уполномоченные министром строительства, архитектуры и жилищно-коммунального хозяйства Чувашской Республики (далее - министр) государственные гражданские служащие Чувашской Республики в Министерстве (далее - гражданские служащие), в том числе из отдела правового, кадрового обеспечения и мобилизационной работы (далее - отдел кадров) и подразделения, в котором гражданский служащий, подлежащий аттестации, замещает должность государственной гражданской службы Чувашской Республики (далее - гражданская служба), представитель государственного органа Чувашской Республики по управлению государственной службой, представители научных, образовательных и других организаций, приглашаемые государственным органом Чувашской Республики по управлению государственной службой по запросу министра в качестве независимых экспертов - специалистов по вопросам, связанным с гражданской службой, без указания персональных данных экспертов, а также представители общественного совета при Министерстве, кандидатуры которых представляются этим советом по запросу министра. Общее число представителей общественного совета при Министерстве и независимых экспертов должно составлять не менее одной четверти от общего числа членов Комиссии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Состав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5. Председателем Комиссии является заместитель министра.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В период временного отсутствия председателя Комиссии руководство деятельностью Комиссии осуществляет заместитель председателя Комиссии.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Секретарем Комиссии является гражданский служащий из числа гражданских служащих отдела кадров. Секретарь Комиссии обеспечивает работу Комиссии.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6. Аттестация гражданских служащих проводится Комиссией в соответствии с графиком проведения аттестации гражданских служащих, который ежегодно разрабатывается отделом кадров и утверждается министром.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Не менее чем за месяц до начала аттестации секретарь Комиссии обязан довести до сведения каждого аттестуемого гражданского служащего график проведения аттестации гражданских служащих.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 xml:space="preserve">Не позднее чем за две недели до начала аттестации в Комиссию представляется предусмотренный </w:t>
      </w:r>
      <w:hyperlink r:id="rId14" w:history="1">
        <w:r>
          <w:rPr>
            <w:color w:val="0000ff"/>
            <w:lang w:bidi="ru-ru"/>
          </w:rPr>
          <w:t>пунктом 12</w:t>
        </w:r>
      </w:hyperlink>
      <w:r>
        <w:rPr>
          <w:lang w:bidi="ru-ru"/>
        </w:rPr>
        <w:t xml:space="preserve"> Положения о проведении аттестации отзыв 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(далее также - отзыв).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К отзыву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Не менее чем за неделю до начала аттестации отдел кадров должен ознакомить каждого аттестуемого гражданского служащего с представленным отзывом. При этом аттестуемый гражданский служащий вправе представить в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В Комиссию представляется аттестационный лист гражданского служащего с данными предыдущей аттестации.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7. Аттестация проводится с приглашением аттестуемого гражданского служащего на заседание Комиссии.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Комиссия вправе перенести аттестацию на следующее заседание Комиссии.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8. Обсуждение профессиональных и личностных качеств гражданского служащего применительно к его профессиональной служебной деятельности должно быть объективным и доброжелательным.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Профессиональная служебная деятельность гражданского служащего оценивается Комиссией на основе определения его соответствия квалификационным требованиям по замещаемой должности гражданской службы, его участия в решении поставленных перед соответствующим подразделением (Министерством) задач, сложности выполняемой им работы, ее эффективности и результативности.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9. Заседание Комиссии считается правомочным, если на нем присутствует не менее двух третей ее членов.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Проведение заседания Комиссии с участием только ее членов, замещающих должности гражданской службы, не допускается.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10. Решение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На период аттестации гражданского служащего, являющегося членом Комиссии, его членство в Комиссии приостанавливается.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11. Результаты аттестации сообщаются аттестованным гражданским служащим непосредственно после подведения итогов голосования.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 xml:space="preserve">Результаты аттестации заносятся в аттестационный </w:t>
      </w:r>
      <w:hyperlink r:id="rId15" w:history="1">
        <w:r>
          <w:rPr>
            <w:color w:val="0000ff"/>
            <w:lang w:bidi="ru-ru"/>
          </w:rPr>
          <w:t>лист</w:t>
        </w:r>
      </w:hyperlink>
      <w:r>
        <w:rPr>
          <w:lang w:bidi="ru-ru"/>
        </w:rPr>
        <w:t xml:space="preserve"> гражданского служащего, составленный по форме согласно приложению к Положению о проведении аттестации (далее - аттестационный лист). Аттестационный </w:t>
      </w:r>
      <w:hyperlink r:id="rId15" w:history="1">
        <w:r>
          <w:rPr>
            <w:color w:val="0000ff"/>
            <w:lang w:bidi="ru-ru"/>
          </w:rPr>
          <w:t>лист</w:t>
        </w:r>
      </w:hyperlink>
      <w:r>
        <w:rPr>
          <w:lang w:bidi="ru-ru"/>
        </w:rPr>
        <w:t xml:space="preserve"> подписывается председателем, заместителем председателя, секретарем и членами Комиссии, присутствовавшими на заседании.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Секретарь Комиссии обязан ознакомить гражданского служащего с аттестационным листом под расписку не позднее пяти дней после проведения аттестации.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 xml:space="preserve">Аттестационный </w:t>
      </w:r>
      <w:hyperlink r:id="rId15" w:history="1">
        <w:r>
          <w:rPr>
            <w:color w:val="0000ff"/>
            <w:lang w:bidi="ru-ru"/>
          </w:rPr>
          <w:t>лист</w:t>
        </w:r>
      </w:hyperlink>
      <w:r>
        <w:rPr>
          <w:lang w:bidi="ru-ru"/>
        </w:rPr>
        <w:t xml:space="preserve">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</w:t>
      </w:r>
    </w:p>
    <w:p>
      <w:pPr>
        <w:pStyle w:val="para0"/>
        <w:ind w:firstLine="540"/>
        <w:spacing w:before="160"/>
        <w:jc w:val="both"/>
        <w:rPr>
          <w:lang w:bidi="ru-ru"/>
        </w:rPr>
      </w:pPr>
      <w:r>
        <w:rPr>
          <w:lang w:bidi="ru-ru"/>
        </w:rPr>
        <w:t>Материалы аттестации гражданских служащих представляются министру не позднее чем через семь дней после ее проведения.</w:t>
      </w:r>
    </w:p>
    <w:p>
      <w:pPr>
        <w:pStyle w:val="para0"/>
        <w:ind w:firstLine="540"/>
        <w:spacing/>
        <w:jc w:val="both"/>
        <w:rPr>
          <w:lang w:bidi="ru-ru"/>
        </w:rPr>
      </w:pPr>
      <w:r>
        <w:rPr>
          <w:lang w:bidi="ru-ru"/>
        </w:rPr>
      </w:r>
    </w:p>
    <w:p>
      <w:pPr>
        <w:pStyle w:val="para0"/>
        <w:ind w:firstLine="540"/>
        <w:spacing/>
        <w:jc w:val="both"/>
        <w:rPr>
          <w:lang w:bidi="ru-ru"/>
        </w:rPr>
      </w:pPr>
      <w:r>
        <w:rPr>
          <w:lang w:bidi="ru-ru"/>
        </w:rPr>
      </w:r>
    </w:p>
    <w:p>
      <w:pPr>
        <w:pStyle w:val="para0"/>
        <w:spacing w:before="100" w:after="100"/>
        <w:jc w:val="both"/>
        <w:pBdr>
          <w:top w:val="single" w:sz="4" w:space="0" w:color="000000" tmln="1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ff"/>
          <w:sz w:val="20"/>
          <w:szCs w:val="20"/>
          <w:lang w:bidi="ru-ru"/>
        </w:rPr>
      </w:pPr>
      <w:r>
        <w:rPr>
          <w:color w:val="0000ff"/>
          <w:sz w:val="20"/>
          <w:szCs w:val="20"/>
          <w:lang w:bidi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sect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sect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506461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55"/>
    </w:tmLastPosCaret>
    <w:tmLastPosAnchor>
      <w:tmLastPosPgfIdx w:val="0"/>
      <w:tmLastPosIdx w:val="0"/>
    </w:tmLastPosAnchor>
    <w:tmLastPosTblRect w:left="0" w:top="0" w:right="0" w:bottom="0"/>
  </w:tmLastPos>
  <w:tmAppRevision w:date="1611216762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customStyle="1">
    <w:name w:val="ConsPlus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1" w:customStyle="1">
    <w:name w:val="ConsPlusNonforma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2" w:customStyle="1">
    <w:name w:val="ConsPlusTitle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b/>
      <w:sz w:val="16"/>
      <w:szCs w:val="16"/>
    </w:rPr>
  </w:style>
  <w:style w:type="paragraph" w:styleId="para3" w:customStyle="1">
    <w:name w:val="ConsPlusCel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4" w:customStyle="1">
    <w:name w:val="ConsPlusDocLis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5" w:customStyle="1">
    <w:name w:val="ConsPlusTitlePage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6" w:customStyle="1">
    <w:name w:val="ConsPlusJurTerm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6"/>
      <w:szCs w:val="26"/>
    </w:rPr>
  </w:style>
  <w:style w:type="paragraph" w:styleId="para7" w:customStyle="1">
    <w:name w:val="ConsPlusTextLis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customStyle="1">
    <w:name w:val="ConsPlus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1" w:customStyle="1">
    <w:name w:val="ConsPlusNonforma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2" w:customStyle="1">
    <w:name w:val="ConsPlusTitle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b/>
      <w:sz w:val="16"/>
      <w:szCs w:val="16"/>
    </w:rPr>
  </w:style>
  <w:style w:type="paragraph" w:styleId="para3" w:customStyle="1">
    <w:name w:val="ConsPlusCel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4" w:customStyle="1">
    <w:name w:val="ConsPlusDocLis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5" w:customStyle="1">
    <w:name w:val="ConsPlusTitlePage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6" w:customStyle="1">
    <w:name w:val="ConsPlusJurTerm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6"/>
      <w:szCs w:val="26"/>
    </w:rPr>
  </w:style>
  <w:style w:type="paragraph" w:styleId="para7" w:customStyle="1">
    <w:name w:val="ConsPlusTextLis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consultantplus://offline/ref=F50B6C38D03516FA7FA8A9E6A86ABC4C2DA1103CF0FB41F95CF91081288500968CC55F4E867193183E5B73CCA6T4L8I" TargetMode="External"/><Relationship Id="rId8" Type="http://schemas.openxmlformats.org/officeDocument/2006/relationships/hyperlink" Target="consultantplus://offline/ref=F50B6C38D03516FA7FA8A9E6A86ABC4C2DA0153FF1FA41F95CF91081288500968CC55F4E867193183E5B73CCA6T4L8I" TargetMode="External"/><Relationship Id="rId9" Type="http://schemas.openxmlformats.org/officeDocument/2006/relationships/hyperlink" Target="consultantplus://offline/ref=F50B6C38D03516FA7FA8A9E6A86ABC4C2CAF1138FEAE16FB0DAC1E8420D55A86888C08429A708C063D4573TCLDI" TargetMode="External"/><Relationship Id="rId10" Type="http://schemas.openxmlformats.org/officeDocument/2006/relationships/hyperlink" Target="consultantplus://offline/ref=F50B6C38D03516FA7FA8A9E6A86ABC4C2CA7143DF2F941F95CF91081288500968CC55F4E867193183E5B73CCA6T4L8I" TargetMode="External"/><Relationship Id="rId11" Type="http://schemas.openxmlformats.org/officeDocument/2006/relationships/hyperlink" Target="consultantplus://offline/ref=F50B6C38D03516FA7FA8A9E6A86ABC4C2DA0153FF1FA41F95CF91081288500969EC5074284708D19374E259DE01CDD82407EC10005C8329CTBL5I" TargetMode="External"/><Relationship Id="rId12" Type="http://schemas.openxmlformats.org/officeDocument/2006/relationships/hyperlink" Target="consultantplus://offline/ref=F50B6C38D03516FA7FA8B7EBBE06E24826AC4830F4F848A903AE16D677D506C3DE850117D534D8153D446FCCA557D28043T6L1I" TargetMode="External"/><Relationship Id="rId13" Type="http://schemas.openxmlformats.org/officeDocument/2006/relationships/hyperlink" Target="consultantplus://offline/ref=F50B6C38D03516FA7FA8B7EBBE06E24826AC4830F4FA4FA705A516D677D506C3DE850117D534D8153D446FCCA557D28043T6L1I" TargetMode="External"/><Relationship Id="rId14" Type="http://schemas.openxmlformats.org/officeDocument/2006/relationships/hyperlink" Target="consultantplus://offline/ref=F50B6C38D03516FA7FA8A9E6A86ABC4C2DA0153FF1FA41F95CF91081288500969EC5074284708D1D394E259DE01CDD82407EC10005C8329CTBL5I" TargetMode="External"/><Relationship Id="rId15" Type="http://schemas.openxmlformats.org/officeDocument/2006/relationships/hyperlink" Target="consultantplus://offline/ref=F50B6C38D03516FA7FA8A9E6A86ABC4C2DA0153FF1FA41F95CF91081288500969EC5074284708D113C4E259DE01CDD82407EC10005C8329CTBL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ЧР от 15.01.2014 N 04-08/1"Об утверждении Порядка работы аттестационной комиссии Министерства строительства, архитектуры и жилищно-коммунального хозяйства Чувашской Республики по вопросам аттестации государственных гражданских служащих Чувашской Республики в Министерстве строительства, архитектуры и жилищно-коммунального хозяйства Чувашской Республики"(Зарегистрировано в Минюсте ЧР 17.02.2014 N 1871)</dc:title>
  <dc:subject/>
  <dc:creator/>
  <cp:keywords/>
  <dc:description/>
  <cp:lastModifiedBy>Маринкина</cp:lastModifiedBy>
  <cp:revision>1</cp:revision>
  <dcterms:created xsi:type="dcterms:W3CDTF">2021-01-21T08:12:35Z</dcterms:created>
  <dcterms:modified xsi:type="dcterms:W3CDTF">2021-01-21T08:12:42Z</dcterms:modified>
</cp:coreProperties>
</file>