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об исполнении антикоррупционных программ (планов противодействия коррупции) в 2018 г. 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в Министерстве строительства, архитектуры и жилищно-коммунального хозяйства Чувашской Республики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14889" w:type="dxa"/>
      </w:tblPr>
      <w:tblGrid>
        <w:gridCol w:w="648"/>
        <w:gridCol w:w="5091"/>
        <w:gridCol w:w="2412"/>
        <w:gridCol w:w="5038"/>
        <w:gridCol w:w="1700"/>
      </w:tblGrid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мероприятия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</w:t>
            </w:r>
          </w:p>
        </w:tc>
      </w:tr>
      <w:tr>
        <w:trPr>
          <w:trHeight w:val="332" w:hRule="atLeast"/>
        </w:trPr>
        <w:tc>
          <w:tcPr>
            <w:tcW w:w="131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Министерством строительства, архитектуры и жилищно-коммунального хозяйства 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реализации Министерством мер по противодействию коррупции предоставляется по запросам Администрации главы Чувашской Республики, Кабинета Министров Чувашской Республики, Прокуратуры Чувашской Республики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2019 год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 по противодействию коррупции на 2019 год разработан и утвержден приказом от 25.12.2018 № 03/1-03/1093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 проводится в случае принятия соответствующих решений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нормативных правовых актов, разрабатываемых Министерством, размещены на официальных сайтах в информационно-телекоммуникационной сети «Интернет»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32" w:hRule="atLeast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Усовершенствована нормативно-правовая база Министерства по вопросам противодействия коррупции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ведомственных нормативных правовых актов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месяца после принятия соответствующих решений на федеральном и региональном уровнях  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Ведомственные нормативные правовые акты по вопросам совершенствования системы мотивации и стимулирования труда государственных служащих разработаны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131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r/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Антикоррупционные экспертизы нормативных правовых актов Чувашской Республики, их проектов (по направлениям деятельности Министерства), нормативных правовых актов Министерства и их проектов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Министерством, обеспечено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131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r/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размещении государственного заказа соблюдаются положения Федерального закона от 05.04.2013 № 44-ФЗ «О контактной системе в сфере закупок товаров, работ, услуг для государственных и муниципальных нужд»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мониторинг цен закупаемой продукции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заказа, размещении государственного заказа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нужд,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Один раз в квартал готовится отчет по эффективности бюджетных расходов при проведении закупок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прохождения повышения квалификации гражданскими служащими Министерства, в должностные обязанности которых входит участие в планировании и осуществлении закупок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прохождение повышения квалификации гражданским служащим Министерства, в должностные обязанности которого входит участие в планировании и осуществлении закупок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131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r/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уровня профессиональной подготовки гражданских служащих Министерства, обеспечение повышения их квалификации.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повышение квалификации гражданских служащих Министерства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прохождения повышения квалификации гражданскими служащими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прохождение повышения квалификации гражданским служащим Министерства, в должностные обязанности которого входит участие в противодействии коррупции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кадровой политики Министерства размещаются в информационно-телекоммуникационной сети «Интернет»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не позднее 1 апреля года, следующего за отчетным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 xml:space="preserve">Гражданские служащие своевременно предоставляют сведения об адресах сайтов и (или) страниц сайтов </w:t>
            </w:r>
            <w:r>
              <w:rPr>
                <w:sz w:val="26"/>
                <w:szCs w:val="26"/>
              </w:rPr>
              <w:t>в информационно-телекоммуникационной сети «Интернет», на которых размещена общедоступная информация, а также данные, позволяющие их идентифицировать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и руководителями организаций, находящихся в ведении Министерства (далее - руководители организаций) сведений о доходах, расходах, об имуществе и обязательствах имущественного характера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и руководители организаций своевременно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 размещены на официальном сайте Министерства в информационно-телекоммуникационной сети «Интернет» в установленный срок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 проведен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гражданскими служащими Министерства и руководителями организаций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проверки достоверности и полноты сведений о доходах, об имуществе и обязательствах имущественного характера в отношении восьми гражданских служащих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расходами гражданских служащих Министерства, а также о расходах супруги (супруга) и несовершеннолетних детей гражданских служащих Министерства по каждой сделке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чет которых совершены эти сделки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 контроль за расходами в отношении шести гражданских служащих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средств массовой информации для опубликования сведений о доходах, расходах, об имуществе и обязательствах имущественного характера гражданских служащих и членов их семей не поступали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на замещение вакантных должностей гражданской службы в Министерстве и включение в кадровый резерв Министерства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организации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на замещение вакантных должностей руководителей организаций и включение в кадровый резерв на замещение должности руководителя организации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Кадровый резерв для замещения вакантных должностей государственной гражданской службы Чувашской Республики в Министерстве сформирован и используется при назначении на вакантные должности гражданской службы и руководителей организаций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1042" w:hRule="atLeast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работы среди кандидатов на вакантные должности гражданской службы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антикоррупционное просвещение кандидатов на вакантные должности гражданской службы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персональных данных, предоставляемых кандидатами при поступлении на государственную гражданскую службу Чувашской Республики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right="-107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right="-107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предложений о направлении запроса о проведении оперативно-розыскных мероприятий Главе Чувашской Республики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предложений о проведении оперативно-розыскных мероприятий направлены Главе Чувашской Республики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right="-107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направлялись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right="-107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 xml:space="preserve">Проведены разъяснительные работы </w:t>
            </w:r>
            <w:r>
              <w:rPr>
                <w:sz w:val="26"/>
                <w:szCs w:val="26"/>
              </w:rPr>
              <w:t>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обращения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проверки несоблюдения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Проведена разъяснительная работа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 xml:space="preserve">Работа по выявлению </w:t>
            </w:r>
            <w:r>
              <w:rPr>
                <w:sz w:val="26"/>
                <w:szCs w:val="26"/>
              </w:rPr>
              <w:t>случаев возникновения конфликта интересов, а также их предотвращению и урегулированию, одной из сторон которого являются гражданские служащие, проведена. Выявлен один случай возникновения конфликта интересов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за актуализацией 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 актуализированы.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проведен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Обращения граждан, содержащих информацию о фактах коррупции со стороны гражданских служащих, не поступали.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1493" w:hRule="atLeast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Обеспечена реализация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работы по рассмотрению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 о фактах обращения в целях склонений гражданских служащих Министерства и руководителей организаций к совершению коррупционных правонарушений не поступали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Случай возникновения конфликта интересов, одной из сторон которого явился гражданский служащий проанализирован. Меры по предотвращению и урегулированию конфликта интересов приняты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Организациям, находящимся в ведении Министерства, оказывается содействие в организации работы по противодействию коррупции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 проведены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50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средствах массовой информации факты проявления коррупции в Министерстве не опубликованы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131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антикоррупционной пропаганде и просвещению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 рассмотрены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Организовано правовое просвещение (ознакомление) гражданских служащих 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об увольнении в связи с утратой доверия, а также изменений антикоррупционного законодательства посредством проведения семинаров-совещаний со служащими Министерства с представителями Прокуратуры Чувашской Республики, Управления Минюста России по Чувашской Республики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Оказывается содействие организациям, находящимся в ведении Министерства по проведению мероприятий, направленных на противодействие коррупции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131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r/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приема граждан, в том числе выездные приемы, в рамках проведения единых информационных дней соблюдены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работы «телефонов доверия» для обращения граждан о злоупотреблениях должностных лиц органов исполнительной власти Чувашской Республики на сайте Министерства 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Обеспечена работа «телефонов доверия» для обращения граждан о злоупотреблениях должностных лиц органов исполнительной власти Чувашской Республики. Информация «телефонов доверия» размещена на сайте Министерства в информационно-телекоммуникационной сети «Интернет»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«горячей линии» для обращения граждан о злоупотреблениях должностных лиц органов местного самоуправления в сфере жилищно-коммунального хозяйства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«горячей линии» для обращения граждан о злоупотреблениях должностных лиц органов местного самоуправления в сфере жилищно-коммунального хозяйства обеспечена. Обращений не поступало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Заявления и обращения граждан, поступающих в Министерство, проанализированы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0" w:hRule="auto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numPr>
                <w:ilvl w:val="0"/>
                <w:numId w:val="1"/>
              </w:numPr>
              <w:ind w:left="720" w:hanging="599"/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0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деятельности уполномоченного антикоррупционного органа размещена в информационно-телекоммуникационной сети «Интернет»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506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247" w:right="998" w:bottom="899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75920" cy="175260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evX+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M4AAAAAAAAAAgAAAAEAAABQAgAAFAEAAAAAAADNIAAAxgIAAA=="/>
                        </a:ext>
                      </a:extLst>
                    </wps:cNvSpPr>
                    <wps:spPr>
                      <a:xfrm>
                        <a:off x="0" y="0"/>
                        <a:ext cx="37592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0.05pt;mso-position-horizontal-relative:margin;width:29.60pt;height:13.80pt;z-index:251658241;mso-wrap-distance-left:0.00pt;mso-wrap-distance-top:0.00pt;mso-wrap-distance-right:0.00pt;mso-wrap-distance-bottom:0.00pt;mso-wrap-style:square" stroked="f" filled="f" v:ext="SMDATA_14_evX+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M4AAAAAAAAAAgAAAAEAAABQAgAAFAEAAAAAAADNIAAAxg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4450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>Маринкина</cp:lastModifiedBy>
  <cp:revision>29</cp:revision>
  <cp:lastPrinted>2019-01-17T07:35:59Z</cp:lastPrinted>
  <dcterms:created xsi:type="dcterms:W3CDTF">2018-07-19T10:39:00Z</dcterms:created>
  <dcterms:modified xsi:type="dcterms:W3CDTF">2021-01-13T13:28:26Z</dcterms:modified>
</cp:coreProperties>
</file>