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экономической политики и мониторинга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сфере жилищно-коммунального хозяйства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>
      <w:pPr>
        <w:ind w:firstLine="72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экономической политики и мониторинга в сфере жилищно-коммунального хозяйства (далее – отдел) </w:t>
      </w:r>
      <w:r>
        <w:rPr>
          <w:rFonts w:ascii="Times New Roman" w:hAnsi="Times New Roman"/>
          <w:color w:val="000000"/>
          <w:sz w:val="26"/>
          <w:szCs w:val="26"/>
        </w:rPr>
        <w:t>создан для формирования и проведения государственной политики, регулирующей экономические аспекты деятельности предприятий и организаций жилищно-коммунальной отрасли.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widowContro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Отдел осуществляет свою деятельность во взаимодействии со структурными подразделениями министерства, органами местного самоуправления, общественными и иными организациями.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иными нормативными правовыми актами Российской Федерации и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вашской Республики, а также настоящим Положением. </w:t>
      </w:r>
      <w:r>
        <w:rPr>
          <w:rFonts w:ascii="Times New Roman" w:hAnsi="Times New Roman"/>
          <w:sz w:val="26"/>
          <w:szCs w:val="26"/>
        </w:rPr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4"/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 w:eastAsia="MS Mincho" w:cs="Times New Roman"/>
          <w:b/>
          <w:bCs/>
          <w:sz w:val="26"/>
          <w:szCs w:val="26"/>
        </w:rPr>
      </w:pPr>
      <w:r>
        <w:rPr>
          <w:rFonts w:ascii="Times New Roman" w:hAnsi="Times New Roman" w:eastAsia="MS Mincho" w:cs="Times New Roman"/>
          <w:b/>
          <w:bCs/>
          <w:sz w:val="26"/>
          <w:szCs w:val="26"/>
        </w:rPr>
        <w:t>Структура</w:t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>
        <w:rPr>
          <w:rFonts w:ascii="Times New Roman" w:hAnsi="Times New Roman" w:eastAsia="MS Mincho" w:cs="Times New Roman"/>
          <w:sz w:val="26"/>
          <w:szCs w:val="26"/>
        </w:rPr>
        <w:t xml:space="preserve">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  <w:r>
        <w:rPr>
          <w:rFonts w:ascii="Times New Roman" w:hAnsi="Times New Roman" w:eastAsia="MS Mincho" w:cs="Times New Roman"/>
          <w:sz w:val="26"/>
          <w:szCs w:val="26"/>
        </w:rPr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>2.2. Структура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</w:t>
      </w:r>
      <w:r>
        <w:rPr>
          <w:rFonts w:ascii="Times New Roman" w:hAnsi="Times New Roman" w:eastAsia="MS Mincho" w:cs="Times New Roman"/>
          <w:sz w:val="26"/>
          <w:szCs w:val="26"/>
        </w:rPr>
        <w:t xml:space="preserve"> и штатная численность работников определяются м</w:t>
      </w:r>
      <w:r>
        <w:rPr>
          <w:rFonts w:ascii="Times New Roman" w:hAnsi="Times New Roman" w:eastAsia="MS Mincho" w:cs="Times New Roman"/>
          <w:sz w:val="26"/>
          <w:szCs w:val="26"/>
        </w:rPr>
        <w:t>и</w:t>
      </w:r>
      <w:r>
        <w:rPr>
          <w:rFonts w:ascii="Times New Roman" w:hAnsi="Times New Roman" w:eastAsia="MS Mincho" w:cs="Times New Roman"/>
          <w:sz w:val="26"/>
          <w:szCs w:val="26"/>
        </w:rPr>
        <w:t>нистром строительства,</w:t>
      </w:r>
      <w:r>
        <w:rPr>
          <w:rFonts w:ascii="Times New Roman" w:hAnsi="Times New Roman" w:eastAsia="MS Mincho" w:cs="Times New Roman"/>
          <w:sz w:val="26"/>
          <w:szCs w:val="26"/>
        </w:rPr>
        <w:t xml:space="preserve"> архитектуры и жилищно-коммунального хозяйства Чува</w:t>
      </w:r>
      <w:r>
        <w:rPr>
          <w:rFonts w:ascii="Times New Roman" w:hAnsi="Times New Roman" w:eastAsia="MS Mincho" w:cs="Times New Roman"/>
          <w:sz w:val="26"/>
          <w:szCs w:val="26"/>
        </w:rPr>
        <w:t>ш</w:t>
      </w:r>
      <w:r>
        <w:rPr>
          <w:rFonts w:ascii="Times New Roman" w:hAnsi="Times New Roman" w:eastAsia="MS Mincho" w:cs="Times New Roman"/>
          <w:sz w:val="26"/>
          <w:szCs w:val="26"/>
        </w:rPr>
        <w:t>ской Республики по предложениям заместителя министра строительства, архите</w:t>
      </w:r>
      <w:r>
        <w:rPr>
          <w:rFonts w:ascii="Times New Roman" w:hAnsi="Times New Roman" w:eastAsia="MS Mincho" w:cs="Times New Roman"/>
          <w:sz w:val="26"/>
          <w:szCs w:val="26"/>
        </w:rPr>
        <w:t>к</w:t>
      </w:r>
      <w:r>
        <w:rPr>
          <w:rFonts w:ascii="Times New Roman" w:hAnsi="Times New Roman" w:eastAsia="MS Mincho" w:cs="Times New Roman"/>
          <w:sz w:val="26"/>
          <w:szCs w:val="26"/>
        </w:rPr>
        <w:t>туры и жилищно-коммунального хозяйства Чувашской Республики курирующего вопросы жилищно-коммунального хозяйства и энергетики и на</w:t>
      </w:r>
      <w:r>
        <w:rPr>
          <w:rFonts w:ascii="Times New Roman" w:hAnsi="Times New Roman" w:eastAsia="MS Mincho" w:cs="Times New Roman"/>
          <w:sz w:val="26"/>
          <w:szCs w:val="26"/>
        </w:rPr>
        <w:t xml:space="preserve">чальника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>
        <w:rPr>
          <w:rFonts w:ascii="Times New Roman" w:hAnsi="Times New Roman" w:eastAsia="MS Mincho" w:cs="Times New Roman"/>
          <w:sz w:val="26"/>
          <w:szCs w:val="26"/>
        </w:rPr>
        <w:t xml:space="preserve">. </w:t>
      </w:r>
      <w:r>
        <w:rPr>
          <w:rFonts w:ascii="Times New Roman" w:hAnsi="Times New Roman" w:eastAsia="MS Mincho" w:cs="Times New Roman"/>
          <w:sz w:val="26"/>
          <w:szCs w:val="26"/>
        </w:rPr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Основные задачи</w:t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Формирование и проведение во взаимодействии с органами местного самоуправления государственной политики, регулирующей экономические аспекты деятельности жилищно-коммунальной отрасли Чувашской Республики.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Обеспечение проведения экономического мониторинга, анализа и прогнозирования деятельности жилищно-коммунальной отрасли Чувашской Республики. 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5"/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Функции</w:t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 соответствии с возложенными на него задачами выполняет следующие функции:</w:t>
      </w:r>
    </w:p>
    <w:p>
      <w:pPr>
        <w:ind w:firstLine="720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r>
        <w:rPr>
          <w:rFonts w:ascii="Times New Roman" w:hAnsi="Times New Roman"/>
          <w:color w:val="000000"/>
          <w:sz w:val="26"/>
          <w:szCs w:val="26"/>
        </w:rPr>
        <w:t>Разрабатывает предложения для Кабинета Министров Чувашской Ре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публики по направлениям государственной политики, регулирующей экономич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ские аспекты деятельности жилищно-коммунальной отрасли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и.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жилищно-коммунального хозяйства.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4.1.3.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приказов министерства, относящихся к компетенции отдела.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4.1.4. 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Республики, регулирующих экономические аспекты деятельности жилищно-коммунальной.</w:t>
      </w:r>
    </w:p>
    <w:p>
      <w:pPr>
        <w:ind w:firstLine="709"/>
        <w:spacing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4.1.5. Разрабатывает предложения по долгосрочным, среднесрочным и краткосрочным прогнозам в области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4.1.6. Разрабатывает для Кабинета Министров Чувашской Республики 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республиканские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стандарты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нормативной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площади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используемой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для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расчета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субсидий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сто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мости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жилищно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максимально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допустимой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граждан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совокупном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доходе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семьи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4.1.7. Разрабатывает и представляет для утверждения в Кабинет Министров Чувашской Республики нормативы потребления холодного и горячего водоснабжения, водоотведения и отопления.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4.1.8. Разрабатывает прогнозные и аналитические материалы по вопросам финансово-хозяйственной деятельности предприятий отрасли.</w:t>
      </w:r>
    </w:p>
    <w:p>
      <w:pPr>
        <w:pStyle w:val="para15"/>
        <w:ind w:right="60" w:firstLine="709"/>
        <w:spacing w:line="240" w:lineRule="auto"/>
        <w:tabs>
          <w:tab w:val="left" w:pos="56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4.1.9. Организует работу по утверждению инвестиционных программ организаций, осуществляющих регулируемые виды деятельности в сфере теплоснабжения по согласованию с органами местного самоуправления и Государственной службой Чувашской Республики по конкурентной политике и тарифам.</w:t>
      </w:r>
    </w:p>
    <w:p>
      <w:pPr>
        <w:pStyle w:val="para15"/>
        <w:ind w:right="60" w:firstLine="709"/>
        <w:spacing w:line="240" w:lineRule="auto"/>
        <w:tabs>
          <w:tab w:val="left" w:pos="56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4.1.10. Организует работу по утверждению инвестиционных программ организаций, осуществляющих регулируемые виды деятельности в сфере горячего, холодного водоснабжения и (или) водоотведения, согласованных с органами местного самоуправления и Государственной службой Чувашской Республики по конкурентной политике и тарифам.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4.1.11. Осуществляет контроль за выполнением инвестиционных программ организаций, осуществляющих регулируемые виды деятельности в сфере теплоснабжения, за исключением контроля, осуществляемого в форме плановых и внеплановых проверок, в части:</w:t>
      </w:r>
    </w:p>
    <w:p>
      <w:pPr>
        <w:ind w:firstLine="708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достижения плановых значений показателей, перечень которых определяется требованиями, установленными к содержанию инвестиционных программ организаций, осуществляющих регулируемые виды деятельности в сфере теплоснабжения, и достижение которых предусмотрено в результате реализации соответствующих мероприятий инвестиционной программы;</w:t>
      </w:r>
    </w:p>
    <w:p>
      <w:pPr>
        <w:ind w:firstLine="708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соответствия фактически выполненных мероприятий инвестиционной программы мероприятиям, предусмотренным инвестиционной программой при ее утверждении.</w:t>
      </w:r>
    </w:p>
    <w:p>
      <w:pPr>
        <w:ind w:firstLine="708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4.1.12.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к</w:t>
      </w:r>
      <w:r>
        <w:rPr>
          <w:rFonts w:ascii="Times New Roman" w:hAnsi="Times New Roman" w:hint="eastAsia"/>
          <w:color w:val="000000"/>
          <w:sz w:val="26"/>
          <w:szCs w:val="26"/>
        </w:rPr>
        <w:t>онтроль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выполнением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 о</w:t>
      </w:r>
      <w:r>
        <w:rPr>
          <w:rFonts w:ascii="Times New Roman" w:hAnsi="Times New Roman"/>
          <w:color w:val="000000"/>
          <w:sz w:val="26"/>
          <w:szCs w:val="26"/>
        </w:rPr>
        <w:t xml:space="preserve">рганизаций, осуществляющих горячее водоснабжение, холодное водоснабжение и </w:t>
      </w:r>
      <w:r>
        <w:rPr>
          <w:rFonts w:ascii="Times New Roman" w:hAnsi="Times New Roman"/>
          <w:color w:val="000000"/>
          <w:sz w:val="26"/>
          <w:szCs w:val="26"/>
        </w:rPr>
        <w:t>(или) водоотведение,</w:t>
      </w:r>
      <w:r>
        <w:rPr>
          <w:color w:val="000000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контроля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форме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внеплановых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достижения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значений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показателей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надежности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качества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тической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эффективности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течение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срока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числе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мониторинга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реконстру</w:t>
      </w:r>
      <w:r>
        <w:rPr>
          <w:rFonts w:ascii="Times New Roman" w:hAnsi="Times New Roman" w:hint="eastAsia"/>
          <w:color w:val="000000"/>
          <w:sz w:val="26"/>
          <w:szCs w:val="26"/>
        </w:rPr>
        <w:t>к</w:t>
      </w:r>
      <w:r>
        <w:rPr>
          <w:rFonts w:ascii="Times New Roman" w:hAnsi="Times New Roman" w:hint="eastAsia"/>
          <w:color w:val="000000"/>
          <w:sz w:val="26"/>
          <w:szCs w:val="26"/>
        </w:rPr>
        <w:t>ции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модернизации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доотведения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4.1.13. </w:t>
      </w:r>
      <w:r>
        <w:rPr>
          <w:rFonts w:ascii="Times New Roman" w:hAnsi="Times New Roman"/>
          <w:color w:val="000000"/>
          <w:kern w:val="1"/>
          <w:sz w:val="26"/>
          <w:szCs w:val="26"/>
        </w:rPr>
        <w:t>Организует работу по утверждению инвестиционных программ</w:t>
      </w:r>
      <w:r>
        <w:rPr>
          <w:rFonts w:ascii="Times New Roman" w:hAnsi="Times New Roman"/>
          <w:color w:val="000000"/>
          <w:kern w:val="1"/>
          <w:sz w:val="26"/>
          <w:szCs w:val="26"/>
        </w:rPr>
        <w:t xml:space="preserve"> </w:t>
      </w:r>
      <w:r/>
      <w:bookmarkStart w:id="0" w:name="_GoBack"/>
      <w:bookmarkEnd w:id="0"/>
      <w:r/>
      <w:r>
        <w:rPr>
          <w:rFonts w:ascii="Times New Roman" w:hAnsi="Times New Roman"/>
          <w:color w:val="000000"/>
          <w:kern w:val="1"/>
          <w:sz w:val="26"/>
          <w:szCs w:val="26"/>
        </w:rPr>
        <w:t>в о</w:t>
      </w:r>
      <w:r>
        <w:rPr>
          <w:rFonts w:ascii="Times New Roman" w:hAnsi="Times New Roman"/>
          <w:color w:val="000000"/>
          <w:kern w:val="1"/>
          <w:sz w:val="26"/>
          <w:szCs w:val="26"/>
        </w:rPr>
        <w:t>б</w:t>
      </w:r>
      <w:r>
        <w:rPr>
          <w:rFonts w:ascii="Times New Roman" w:hAnsi="Times New Roman"/>
          <w:color w:val="000000"/>
          <w:kern w:val="1"/>
          <w:sz w:val="26"/>
          <w:szCs w:val="26"/>
        </w:rPr>
        <w:t>ласти обр</w:t>
      </w:r>
      <w:r>
        <w:rPr>
          <w:rFonts w:ascii="Times New Roman" w:hAnsi="Times New Roman"/>
          <w:color w:val="000000"/>
          <w:kern w:val="1"/>
          <w:sz w:val="26"/>
          <w:szCs w:val="26"/>
        </w:rPr>
        <w:t>а</w:t>
      </w:r>
      <w:r>
        <w:rPr>
          <w:rFonts w:ascii="Times New Roman" w:hAnsi="Times New Roman"/>
          <w:color w:val="000000"/>
          <w:kern w:val="1"/>
          <w:sz w:val="26"/>
          <w:szCs w:val="26"/>
        </w:rPr>
        <w:t>щения с твердыми коммунальными отходами.</w:t>
      </w:r>
      <w:r>
        <w:rPr>
          <w:rFonts w:ascii="Times New Roman" w:hAnsi="Times New Roman"/>
          <w:color w:val="000000"/>
          <w:kern w:val="1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4.1.14. Ф</w:t>
      </w:r>
      <w:r>
        <w:rPr>
          <w:rFonts w:ascii="Times New Roman" w:hAnsi="Times New Roman" w:hint="eastAsia"/>
          <w:color w:val="000000"/>
          <w:sz w:val="26"/>
          <w:szCs w:val="26"/>
        </w:rPr>
        <w:t>ормирует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ведет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информационных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целях</w:t>
      </w:r>
      <w:r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едиными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теплоносителя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поста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ляемых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рячей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теля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абонентов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горячей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питьевой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технической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подаваемой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единым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холодного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дения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</w:t>
      </w:r>
      <w:r>
        <w:rPr>
          <w:rFonts w:ascii="Times New Roman" w:hAnsi="Times New Roman" w:hint="eastAsia"/>
          <w:color w:val="000000"/>
          <w:sz w:val="26"/>
          <w:szCs w:val="26"/>
        </w:rPr>
        <w:t>л</w:t>
      </w:r>
      <w:r>
        <w:rPr>
          <w:rFonts w:ascii="Times New Roman" w:hAnsi="Times New Roman" w:hint="eastAsia"/>
          <w:color w:val="000000"/>
          <w:sz w:val="26"/>
          <w:szCs w:val="26"/>
        </w:rPr>
        <w:t>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</w:t>
      </w:r>
      <w:r>
        <w:rPr>
          <w:rFonts w:ascii="Times New Roman" w:hAnsi="Times New Roman" w:hint="eastAsia"/>
          <w:color w:val="000000"/>
          <w:sz w:val="26"/>
          <w:szCs w:val="26"/>
        </w:rPr>
        <w:t>ш</w:t>
      </w:r>
      <w:r>
        <w:rPr>
          <w:rFonts w:ascii="Times New Roman" w:hAnsi="Times New Roman" w:hint="eastAsia"/>
          <w:color w:val="000000"/>
          <w:sz w:val="26"/>
          <w:szCs w:val="26"/>
        </w:rPr>
        <w:t>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сетевыми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>).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4.1.15. Анализирует прогнозные показатели, представляемые крупными, экономически и социально значимыми организациями жилищно-коммунального хозяйства Чувашской Республики в систему объединенных государственных информационных ресурсов «Мониторинг - Аналитика - Прогноз», и готовит для органов исполнительной власти Чувашской Республики предложения о перспективах развития указанных организаций в курируемых видах деятельности.</w:t>
      </w:r>
    </w:p>
    <w:p>
      <w:pPr>
        <w:ind w:firstLine="709"/>
        <w: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4.1.16. Представляет в органы исполнительной власти Чувашской Республики информацию о ходе выполнения стратегий и планов действий, программ комплексного экономического и социального развития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респ</w:t>
      </w:r>
      <w:r>
        <w:rPr>
          <w:rFonts w:ascii="Times New Roman" w:hAnsi="Times New Roman"/>
          <w:sz w:val="26"/>
          <w:szCs w:val="26"/>
        </w:rPr>
        <w:t>убликанских целевых программ Чувашской Республики в области жилищно-коммунального хозяйства в части, относя</w:t>
      </w:r>
      <w:r>
        <w:rPr>
          <w:rFonts w:ascii="Times New Roman" w:hAnsi="Times New Roman"/>
          <w:sz w:val="26"/>
          <w:szCs w:val="26"/>
        </w:rPr>
        <w:t>щейся к компетенции отдела.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4.1.17. Участвует в разработке предложений к проекту консолидированного бюджета Чувашской Республики по отрасли «Жилищно-коммунальное хозяйство» на очередной финансовый год.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Осуществляет методическое руководство деятельностью подведомственных государственных унитарных предприятий и хозяйственных обществ с долями (акциями) Чувашской Республики более 50%, осуществляющих деятельность в сфере жилищно-коммунального хозяйства, анализирует результаты их деятельности, готовит предложения по утверждению программ и показателей деятельности на очередной финансовый период.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4.1.19. Обеспечивает проведение и подводит итоги экономического соревнования между организациями по производству и распределению электроэнергии, газа и воды.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4.1.20. Обеспечивает представление информации в федеральные и республиканские органы исполнительной власти по вопросам финансово-экономической деятельности отрасли.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4.1.21. Взаимодействует с органами местного самоуправления, предприятиями и организациями и оказывает им практическую помощь по вопросам, затрагивающим экономические аспекты деятельности жилищно-коммунальной отрасли</w:t>
      </w:r>
      <w:r>
        <w:rPr>
          <w:rFonts w:ascii="Times New Roman" w:hAnsi="Times New Roman"/>
          <w:sz w:val="26"/>
          <w:szCs w:val="26"/>
        </w:rPr>
        <w:t>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4.1.22. Принимает, проверяет и сводит оперативную, квартальную и годовую бухгалтерскую и статистическую отчетность предприятий жилищно-коммунального хозяйства Чувашской Республики.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4.1.23. Осуществляет анализ финансово-хозяйственной деятельности предприятий жилищно-коммунального хозяйства на основе представленной отчетности.</w:t>
      </w:r>
    </w:p>
    <w:p>
      <w:pPr>
        <w:ind w:firstLine="708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4.1.24. Осуществляет мониторинг состояния расчетов и задолженности перед предприятиями жилищно-коммунального комплекса и энергетики.</w:t>
      </w:r>
    </w:p>
    <w:p>
      <w:pPr>
        <w:ind w:firstLine="708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4.1.25. Разрабатывает и направляет предложения в федеральные органы исполнительной власти, органы государственной власти Чувашской Республики и органы местного самоуправления Чувашской Республики по вопросам реструктуризации и сокращения задолженности потребителей перед предприятиями и организациями жилищно-коммунального комплекса и энергетики.</w:t>
      </w:r>
    </w:p>
    <w:p>
      <w:pPr>
        <w:ind w:firstLine="708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4.1.26. Разрабатывает для предприятий и организаций жилищно-коммунального комплекса и энергетики Чувашской Республики рекомендации по улучшению показателей финансово-хозяйственной деятельности, реструктуризации и погашению задолженности за энергоресурсы.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4.1.27. Принимает участие в работе комиссий по регулированию тарифов на жилищно-коммунальные услуги для поставщиков услуг.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Организовывает и обеспечивает деятельность Правительственной комиссии по вопросам расчетов за поставленные топливно-энергетические ресурсы, Комиссии по вопросам разработки нормативов потребления коммунальных услуг,</w:t>
      </w:r>
      <w:r>
        <w:rPr>
          <w:rFonts w:ascii="Times New Roman" w:hAnsi="Times New Roman"/>
          <w:color w:val="000000"/>
          <w:sz w:val="26"/>
          <w:szCs w:val="26"/>
        </w:rPr>
        <w:t xml:space="preserve"> Межведомственной комиссии по подведению итогов экономического соревнования между организациями по производству и распределению электроэнергии, газа и воды</w:t>
      </w:r>
      <w:r>
        <w:rPr>
          <w:rFonts w:ascii="Times New Roman" w:hAnsi="Times New Roman"/>
          <w:sz w:val="26"/>
          <w:szCs w:val="26"/>
        </w:rPr>
        <w:t>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Организовывает семинары, совещания для специалистов органов местного самоуправления, предприятий жилищно-коммунального хозяйства по вопросам оплаты жилья и коммунальных услуг, анализа финансово-экономической деятельности, бухгалтерского и налогового учета предприятий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4.1.30. Рассматривает обращения, заявления и жалобы граждан и предприятий по вопросам финансово-экономической деятельности, оплаты за жилищно-коммунальные услуги. </w:t>
      </w:r>
    </w:p>
    <w:p>
      <w:pPr>
        <w:ind w:left="-51"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4.1.31. Взаимодействует через пресс-службу со средствами массовой информации (в пределах компетенции) для освещения вопросов, находящихся в ведении отдела.</w:t>
      </w:r>
    </w:p>
    <w:p>
      <w:pPr>
        <w:pStyle w:val="para4"/>
        <w:ind w:left="-51" w:firstLine="709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4.1.32. Готовит материалы для размещения на сайте министерства в информационно-телекоммуникационной сети «Интернет» по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>
      <w:pPr>
        <w:pStyle w:val="para16"/>
        <w:ind w:firstLine="567"/>
        <w:spacing w:line="240" w:lineRule="auto"/>
        <w:widowControl/>
        <w:tabs>
          <w:tab w:val="left" w:pos="1699" w:leader="none"/>
        </w:tabs>
        <w:rPr>
          <w:rStyle w:val="char3"/>
          <w:sz w:val="26"/>
          <w:szCs w:val="26"/>
        </w:rPr>
      </w:pPr>
      <w:r>
        <w:rPr>
          <w:rStyle w:val="char3"/>
          <w:sz w:val="26"/>
          <w:szCs w:val="26"/>
        </w:rPr>
        <w:t>4.1.33. Организует выполнение и осуществление мер пожарной безопасности в отделе.</w:t>
      </w:r>
      <w:r>
        <w:rPr>
          <w:rStyle w:val="char3"/>
          <w:sz w:val="26"/>
          <w:szCs w:val="26"/>
        </w:rPr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Права </w:t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</w:t>
      </w:r>
      <w:r>
        <w:rPr>
          <w:rFonts w:ascii="Times New Roman" w:hAnsi="Times New Roman"/>
          <w:color w:val="000000"/>
          <w:sz w:val="26"/>
          <w:szCs w:val="26"/>
        </w:rPr>
        <w:t>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информацию.</w:t>
      </w: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5.1.2. Принимать участие в проводимых проверках органов местного самоуправления и организаций по вопросам, отнесенным к компетенции отдела.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5.1.3. Запрашивать от предприятий и организаций жилищно-коммунального хозяйства бухгалтерскую и статистическую отчетность, а также иную информацию, необходимую для выполнения функций отдела. </w:t>
      </w: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совещания, семинары и другие мероприятия по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>
      <w:pPr>
        <w:pStyle w:val="para4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numPr>
          <w:ilvl w:val="0"/>
          <w:numId w:val="2"/>
        </w:numPr>
        <w:ind w:left="1080" w:hanging="72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деятельности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возглавляет начальник отдела, назначаемый на должность и освобождаемый от нее приказом министра.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выполняет ответственный работник, назначаемый в установленном порядке.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подчиняется заместителю министра, курирующему вопросы жилищно-коммунального хозяйства.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</w:t>
      </w:r>
      <w:r>
        <w:rPr>
          <w:rFonts w:ascii="Times New Roman" w:hAnsi="Times New Roman"/>
          <w:color w:val="000000"/>
          <w:sz w:val="26"/>
          <w:szCs w:val="26"/>
        </w:rPr>
        <w:t>тдела</w:t>
      </w:r>
      <w:r>
        <w:rPr>
          <w:rFonts w:ascii="Times New Roman" w:hAnsi="Times New Roman"/>
          <w:sz w:val="26"/>
          <w:szCs w:val="26"/>
        </w:rPr>
        <w:t xml:space="preserve"> отвечает за организацию работы отдела и выполнение всех возложенных на него функций.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1"/>
    <w:lvl w:ilvl="0">
      <w:start w:val="1"/>
      <w:numFmt w:val="upperRoman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7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121520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6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_"/>
    <w:rPr>
      <w:sz w:val="26"/>
      <w:szCs w:val="26"/>
      <w:shd w:val="clear" w:fill="ffffff"/>
    </w:rPr>
  </w:style>
  <w:style w:type="character" w:styleId="char3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6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_"/>
    <w:rPr>
      <w:sz w:val="26"/>
      <w:szCs w:val="26"/>
      <w:shd w:val="clear" w:fill="ffffff"/>
    </w:rPr>
  </w:style>
  <w:style w:type="character" w:styleId="char3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5</cp:revision>
  <cp:lastPrinted>2020-01-31T07:22:34Z</cp:lastPrinted>
  <dcterms:created xsi:type="dcterms:W3CDTF">2020-01-30T14:07:00Z</dcterms:created>
  <dcterms:modified xsi:type="dcterms:W3CDTF">2021-01-21T07:46:49Z</dcterms:modified>
</cp:coreProperties>
</file>