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Обобщенная информация о результатах проведения в 3 квартале 2020 года </w:t>
      </w:r>
    </w:p>
    <w:p>
      <w:pPr>
        <w: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антикоррупционной экспертизы нормативных правовых актов </w:t>
      </w:r>
    </w:p>
    <w:p>
      <w:pPr>
        <w:spacing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Чувашской Республики и их проектов.</w:t>
      </w:r>
    </w:p>
    <w:p>
      <w:pPr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680"/>
        <w:rPr>
          <w:sz w:val="26"/>
          <w:szCs w:val="26"/>
        </w:rPr>
      </w:pPr>
      <w:r>
        <w:rPr>
          <w:sz w:val="26"/>
          <w:szCs w:val="26"/>
        </w:rPr>
        <w:t>Министерством строительства, архитектуры и жилищно-коммунального хозяйства Чувашской Республики в 3 квартале 2020 года проведена антикоррупционная экспертиза 33 проекта нормативно-правовых актов Чувашской Республики.</w:t>
      </w:r>
    </w:p>
    <w:p>
      <w:pPr>
        <w:ind w:firstLine="680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680"/>
        <w:rPr>
          <w:sz w:val="26"/>
          <w:szCs w:val="26"/>
        </w:rPr>
      </w:pPr>
      <w:r>
        <w:rPr>
          <w:sz w:val="26"/>
          <w:szCs w:val="26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view w:val="print"/>
  <w:defaultTabStop w:val="720"/>
  <w:autoHyphenation w:val="1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7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0"/>
      <w:tmLastPosIdx w:val="50"/>
    </w:tmLastPosCaret>
    <w:tmLastPosAnchor>
      <w:tmLastPosPgfIdx w:val="0"/>
      <w:tmLastPosIdx w:val="0"/>
    </w:tmLastPosAnchor>
    <w:tmLastPosTblRect w:left="0" w:top="0" w:right="0" w:bottom="0"/>
  </w:tmLastPos>
  <w:tmAppRevision w:date="1608902618" w:val="934" w:fileVer="341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widowControl w:val="0"/>
    </w:pPr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Маринкина</cp:lastModifiedBy>
  <cp:revision>7</cp:revision>
  <dcterms:created xsi:type="dcterms:W3CDTF">2019-05-23T07:35:06Z</dcterms:created>
  <dcterms:modified xsi:type="dcterms:W3CDTF">2020-12-25T13:23:38Z</dcterms:modified>
</cp:coreProperties>
</file>