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DE" w:rsidRDefault="008D74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74DE" w:rsidRDefault="008D74DE">
      <w:pPr>
        <w:pStyle w:val="ConsPlusNormal"/>
        <w:jc w:val="both"/>
        <w:outlineLvl w:val="0"/>
      </w:pPr>
    </w:p>
    <w:p w:rsidR="008D74DE" w:rsidRDefault="008D74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74DE" w:rsidRDefault="008D74DE">
      <w:pPr>
        <w:pStyle w:val="ConsPlusTitle"/>
        <w:jc w:val="center"/>
      </w:pPr>
    </w:p>
    <w:p w:rsidR="008D74DE" w:rsidRDefault="008D74DE">
      <w:pPr>
        <w:pStyle w:val="ConsPlusTitle"/>
        <w:jc w:val="center"/>
      </w:pPr>
      <w:r>
        <w:t>РАСПОРЯЖЕНИЕ</w:t>
      </w:r>
    </w:p>
    <w:p w:rsidR="008D74DE" w:rsidRDefault="008D74DE">
      <w:pPr>
        <w:pStyle w:val="ConsPlusTitle"/>
        <w:jc w:val="center"/>
      </w:pPr>
      <w:r>
        <w:t>от 27 июня 2019 г. N 1388-р</w:t>
      </w:r>
    </w:p>
    <w:p w:rsidR="008D74DE" w:rsidRDefault="008D74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74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4DE" w:rsidRDefault="008D74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4DE" w:rsidRDefault="008D74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28.12.2020 N 3579-р)</w:t>
            </w:r>
          </w:p>
        </w:tc>
      </w:tr>
    </w:tbl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ind w:firstLine="540"/>
        <w:jc w:val="both"/>
      </w:pPr>
      <w:r>
        <w:t>В целях повышения эффективности управления государственной собственностью: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30" w:history="1">
        <w:r>
          <w:rPr>
            <w:color w:val="0000FF"/>
          </w:rPr>
          <w:t>рекомендации</w:t>
        </w:r>
      </w:hyperlink>
      <w:r>
        <w:t xml:space="preserve"> по применению ключевых показателей эффективности деятельности хозяйственных обществ, в уставных капиталах которых доля участия Российской Федерации или субъекта Российской Федерации превышает 50 процентов, и показателей деятельности государственных унитарных предприятий в целях определения размера вознаграждения их руководящего состава (далее - методические рекомендации).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осуществляющим от имени Российской Федерации права собственника имущества федеральных государственных унитарных предприятий (далее - предприятия), обеспечить актуализацию программ их деятельности в соответствии с методическими </w:t>
      </w:r>
      <w:hyperlink w:anchor="P30" w:history="1">
        <w:r>
          <w:rPr>
            <w:color w:val="0000FF"/>
          </w:rPr>
          <w:t>рекомендациями</w:t>
        </w:r>
      </w:hyperlink>
      <w:r>
        <w:t>, предусмотрев применение актуализированных программ деятельности предприятий с 1 января 2020 г.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Минэкономразвития России совместно с Росимуществом, а также с федеральным органом исполнительной власти, осуществляющим нормативно-правовое регулирование и (или) контроль и координацию в установленных законодательством Российской Федерации сферах деятельности, в соответствии с методическими </w:t>
      </w:r>
      <w:hyperlink w:anchor="P30" w:history="1">
        <w:r>
          <w:rPr>
            <w:color w:val="0000FF"/>
          </w:rPr>
          <w:t>рекомендациями</w:t>
        </w:r>
      </w:hyperlink>
      <w:r>
        <w:t xml:space="preserve"> в отношении хозяйственных обществ, в уставных капиталах которых доля участия Российской Федерации превышает 50 процентов, а также их дочерних обществ (далее - общества) обеспечить:</w:t>
      </w:r>
      <w:proofErr w:type="gramEnd"/>
    </w:p>
    <w:p w:rsidR="008D74DE" w:rsidRDefault="008D74DE">
      <w:pPr>
        <w:pStyle w:val="ConsPlusNormal"/>
        <w:spacing w:before="220"/>
        <w:ind w:firstLine="540"/>
        <w:jc w:val="both"/>
      </w:pPr>
      <w:r>
        <w:t>разработку (актуализацию) внутренних документов обществ, регламентирующих формирование ключевых показателей эффективности их деятельности, предусмотрев применение разработанных (актуализированных) документов обществ с 1 января 2020 г.;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разработку (актуализацию) внутренних документов обществ, регламентирующих вознаграждение руководящего состава обществ, предусмотрев применение разработанных (актуализированных) документов обществ с 1 января 2020 г.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РФ от 28.12.2020 N 3579-р.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 в отношении хозяйственных обществ, в уставных капиталах которых доля участия субъекта Российской Федерации превышает 50 процентов, а также их дочерних обществ разработку (актуализацию) внутренних документов, регламентирующих формирование ключевых показателей эффективности деятельности указанных обществ, а в отношении государственных унитарных предприятий - документов, регламентирующих формирование показателей деятельности указанных предприятий</w:t>
      </w:r>
      <w:proofErr w:type="gramEnd"/>
      <w:r>
        <w:t xml:space="preserve">, в целях формирования вознаграждения их руководящего состава с учетом методических </w:t>
      </w:r>
      <w:hyperlink w:anchor="P30" w:history="1">
        <w:r>
          <w:rPr>
            <w:color w:val="0000FF"/>
          </w:rPr>
          <w:t>рекомендаций</w:t>
        </w:r>
      </w:hyperlink>
      <w:r>
        <w:t>.</w: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right"/>
      </w:pPr>
      <w:r>
        <w:t>Председатель Правительства</w:t>
      </w:r>
    </w:p>
    <w:p w:rsidR="008D74DE" w:rsidRDefault="008D74DE">
      <w:pPr>
        <w:pStyle w:val="ConsPlusNormal"/>
        <w:jc w:val="right"/>
      </w:pPr>
      <w:r>
        <w:lastRenderedPageBreak/>
        <w:t>Российской Федерации</w:t>
      </w:r>
    </w:p>
    <w:p w:rsidR="008D74DE" w:rsidRDefault="008D74DE">
      <w:pPr>
        <w:pStyle w:val="ConsPlusNormal"/>
        <w:jc w:val="right"/>
      </w:pPr>
      <w:r>
        <w:t>Д.МЕДВЕДЕВ</w: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right"/>
        <w:outlineLvl w:val="0"/>
      </w:pPr>
      <w:r>
        <w:t>Утверждены</w:t>
      </w:r>
    </w:p>
    <w:p w:rsidR="008D74DE" w:rsidRDefault="008D74DE">
      <w:pPr>
        <w:pStyle w:val="ConsPlusNormal"/>
        <w:jc w:val="right"/>
      </w:pPr>
      <w:r>
        <w:t>распоряжением Правительства</w:t>
      </w:r>
    </w:p>
    <w:p w:rsidR="008D74DE" w:rsidRDefault="008D74DE">
      <w:pPr>
        <w:pStyle w:val="ConsPlusNormal"/>
        <w:jc w:val="right"/>
      </w:pPr>
      <w:r>
        <w:t>Российской Федерации</w:t>
      </w:r>
    </w:p>
    <w:p w:rsidR="008D74DE" w:rsidRDefault="008D74DE">
      <w:pPr>
        <w:pStyle w:val="ConsPlusNormal"/>
        <w:jc w:val="right"/>
      </w:pPr>
      <w:r>
        <w:t>от 27 июня 2019 г. N 1388-р</w: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Title"/>
        <w:jc w:val="center"/>
      </w:pPr>
      <w:bookmarkStart w:id="0" w:name="P30"/>
      <w:bookmarkEnd w:id="0"/>
      <w:r>
        <w:t>МЕТОДИЧЕСКИЕ РЕКОМЕНДАЦИИ</w:t>
      </w:r>
    </w:p>
    <w:p w:rsidR="008D74DE" w:rsidRDefault="008D74DE">
      <w:pPr>
        <w:pStyle w:val="ConsPlusTitle"/>
        <w:jc w:val="center"/>
      </w:pPr>
      <w:r>
        <w:t>ПО ПРИМЕНЕНИЮ КЛЮЧЕВЫХ ПОКАЗАТЕЛЕЙ ЭФФЕКТИВНОСТИ</w:t>
      </w:r>
    </w:p>
    <w:p w:rsidR="008D74DE" w:rsidRDefault="008D74DE">
      <w:pPr>
        <w:pStyle w:val="ConsPlusTitle"/>
        <w:jc w:val="center"/>
      </w:pPr>
      <w:r>
        <w:t>ДЕЯТЕЛЬНОСТИ ХОЗЯЙСТВЕННЫХ ОБЩЕСТВ, В УСТАВНЫХ КАПИТАЛАХ</w:t>
      </w:r>
    </w:p>
    <w:p w:rsidR="008D74DE" w:rsidRDefault="008D74DE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ДОЛЯ УЧАСТИЯ РОССИЙСКОЙ ФЕДЕРАЦИИ ИЛИ СУБЪЕКТА</w:t>
      </w:r>
    </w:p>
    <w:p w:rsidR="008D74DE" w:rsidRDefault="008D74DE">
      <w:pPr>
        <w:pStyle w:val="ConsPlusTitle"/>
        <w:jc w:val="center"/>
      </w:pPr>
      <w:r>
        <w:t>РОССИЙСКОЙ ФЕДЕРАЦИИ ПРЕВЫШАЕТ 50 ПРОЦЕНТОВ, И ПОКАЗАТЕЛЕЙ</w:t>
      </w:r>
    </w:p>
    <w:p w:rsidR="008D74DE" w:rsidRDefault="008D74DE">
      <w:pPr>
        <w:pStyle w:val="ConsPlusTitle"/>
        <w:jc w:val="center"/>
      </w:pPr>
      <w:r>
        <w:t>ДЕЯТЕЛЬНОСТИ ГОСУДАРСТВЕННЫХ УНИТАРНЫХ ПРЕДПРИЯТИЙ</w:t>
      </w:r>
    </w:p>
    <w:p w:rsidR="008D74DE" w:rsidRDefault="008D74DE">
      <w:pPr>
        <w:pStyle w:val="ConsPlusTitle"/>
        <w:jc w:val="center"/>
      </w:pPr>
      <w:r>
        <w:t>В ЦЕЛЯХ ОПРЕДЕЛЕНИЯ РАЗМЕРА ВОЗНАГРАЖДЕНИЯ</w:t>
      </w:r>
    </w:p>
    <w:p w:rsidR="008D74DE" w:rsidRDefault="008D74DE">
      <w:pPr>
        <w:pStyle w:val="ConsPlusTitle"/>
        <w:jc w:val="center"/>
      </w:pPr>
      <w:r>
        <w:t>ИХ РУКОВОДЯЩЕГО СОСТАВА</w: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методические рекомендации разработаны в целях оказания содействия при формировании и применении ключевых показателей эффективности деятельности хозяйственных обществ, в уставных капиталах которых доля участия Российской Федерации или субъекта Российской Федерации превышает 50 процентов, а также их дочерних обществ (далее - общества) и показателей деятельности государственных унитарных предприятий (далее - предприятия) в целях определения размера вознаграждения их руководящего состава.</w:t>
      </w:r>
      <w:proofErr w:type="gramEnd"/>
    </w:p>
    <w:p w:rsidR="008D74DE" w:rsidRDefault="008D74DE">
      <w:pPr>
        <w:pStyle w:val="ConsPlusNormal"/>
        <w:spacing w:before="220"/>
        <w:ind w:firstLine="540"/>
        <w:jc w:val="both"/>
      </w:pPr>
      <w:r>
        <w:t>2. Понятия, используемые в настоящих методических рекомендациях, означают следующее: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"ключевой показатель эффективности" - показатель, на основании которого оценивается эффективность деятельности общества в целях определения размера вознаграждения его руководящего состава;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"показатель деятельности" - показатель, на основании которого оценивается эффективность деятельности предприятия в целях определения размера вознаграждения его руководящего состава;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"отраслевые ключевые показатели эффективности (дополнительные показатели деятельности)" - показатели, характеризующие деятельность общества или предприятия в соответствующей отрасли;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 xml:space="preserve">"организации оборонно-промышленного комплекса" - общества или предприятия, включенные в сводный реестр оборонно-промышленного комплекса, который формируется в порядке, установленном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"руководящий состав" - единоличный исполнительный орган предприятия или общества, коллегиальный исполнительный орган общества, а также иные должностные лица предприятия или общества в соответствии с внутренними и (или) учредительными документами предприятия или общества;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 xml:space="preserve">"целевое значение ключевого показателя эффективности (показателя деятельности)" - количественная характеристика показателя, определенная стратегией развития общества или предприятия, долгосрочной программой развития общества, программой деятельности </w:t>
      </w:r>
      <w:r>
        <w:lastRenderedPageBreak/>
        <w:t>предприятия;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"финансовые организации" - общества, осуществляющие финансовую и (или) страховую деятельность в соответствии с законодательством Российской Федерации и учредительными документами;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"финансово-экономические ключевые показатели эффективности (показатели экономической эффективности деятельности)" - показатели, характеризующие финансовую деятельность общества или предприятия.</w:t>
      </w:r>
    </w:p>
    <w:p w:rsidR="008D74DE" w:rsidRDefault="008D74DE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При формировании ключевых показателей эффективности обществ рекомендуется устанавливать финансово-экономические и отраслевые ключевые показатели эффективности, вес которых в совокупности составляет 100 процентов.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 xml:space="preserve">Перечень рекомендуемых финансово-экономических ключевых показателей эффективности обществ (за исключением финансовых организаций) приведен в </w:t>
      </w:r>
      <w:hyperlink w:anchor="P106" w:history="1">
        <w:r>
          <w:rPr>
            <w:color w:val="0000FF"/>
          </w:rPr>
          <w:t>приложении N 1</w:t>
        </w:r>
      </w:hyperlink>
      <w:r>
        <w:t>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 xml:space="preserve">Перечень рекомендуемых финансово-экономических ключевых показателей эффективности для финансовых организаций приведен в </w:t>
      </w:r>
      <w:hyperlink w:anchor="P200" w:history="1">
        <w:r>
          <w:rPr>
            <w:color w:val="0000FF"/>
          </w:rPr>
          <w:t>приложении N 2</w:t>
        </w:r>
      </w:hyperlink>
      <w:r>
        <w:t>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При формировании показателей деятельности предприятий рекомендуется устанавливать показатели экономической эффективности деятельности и дополнительные показатели деятельности предприятия, вес которых в совокупности составляет 100 процентов, в порядке, определенном собственником имущества предприятия.</w:t>
      </w:r>
    </w:p>
    <w:p w:rsidR="008D74DE" w:rsidRDefault="008D74DE">
      <w:pPr>
        <w:pStyle w:val="ConsPlusNormal"/>
        <w:spacing w:before="220"/>
        <w:ind w:firstLine="540"/>
        <w:jc w:val="both"/>
      </w:pPr>
      <w:proofErr w:type="gramStart"/>
      <w:r>
        <w:t xml:space="preserve">При этом формирование показателей экономической эффективности деятельности федеральных предприятий осуществляется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и утверждения программ деятельности и определения подлежащей перечислению в федеральный бюджет части прибыли федеральных государственных унитарных предприятий, утвержденными постановлением Правительства Российской Федерации от 10 апреля 2002 г. N 228 "О мерах по повышению эффективности использования федерального имущества, закрепленного в хозяйственном ведении федеральных государственных унитарных предприятий".</w:t>
      </w:r>
      <w:proofErr w:type="gramEnd"/>
    </w:p>
    <w:p w:rsidR="008D74DE" w:rsidRDefault="008D74DE">
      <w:pPr>
        <w:pStyle w:val="ConsPlusNormal"/>
        <w:spacing w:before="220"/>
        <w:ind w:firstLine="540"/>
        <w:jc w:val="both"/>
      </w:pPr>
      <w:r>
        <w:t>4. Наряду с ключевыми показателями эффективности обществ и показателями деятельности предприятий рекомендуется предусматривать показатели депремирования руководящего состава, которые могут снижать размер его вознаграждения, сформированного по результатам достижения обществами ключевых показателей эффективности и предприятиями показателей деятельности.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 xml:space="preserve">Показатели депремирования руководящего состава обществ или предприятий не должны влиять на общий вес показателей эффективности обществ и показателей деятельности предприятий, предусмотренный </w:t>
      </w:r>
      <w:hyperlink w:anchor="P49" w:history="1">
        <w:r>
          <w:rPr>
            <w:color w:val="0000FF"/>
          </w:rPr>
          <w:t>пунктом 3</w:t>
        </w:r>
      </w:hyperlink>
      <w:r>
        <w:t xml:space="preserve"> настоящих методических рекомендаций.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5. Ключевые показатели эффективности обществ рекомендуется устанавливать на краткосрочный (от 1 года до 3 лет), среднесрочный (от 3 лет до 5 лет) и долгосрочный (5 лет и более) периоды.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Иные ключевые показатели эффективности обществ, показатели деятельности предприятий и показатели депремирования их руководящего состава устанавливаются для обществ советом директоров (наблюдательным советом), в случае его отсутствия - общим собранием акционеров (участников) общества (далее - органы управления общества), для предприятий - органом исполнительной власти, осуществляющим права собственника в отношении имущества предприятия (далее - уполномоченный орган исполнительной власти), в том числе на основании решения Правительства Российской Федерации</w:t>
      </w:r>
      <w:proofErr w:type="gramEnd"/>
      <w:r>
        <w:t>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 xml:space="preserve">7. В основу расчета фактических значений финансово-экономических ключевых показателей </w:t>
      </w:r>
      <w:r>
        <w:lastRenderedPageBreak/>
        <w:t>эффективности обществ и показателей экономической эффективности деятельности предприятий рекомендуется закладывать бухгалтерскую (финансовую) отчетность, в случаях, установленных действующим законодательством Российской Федерации, - консолидированную финансовую отчетность.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8. Перечень ключевых показателей эффективности обществ, их целевые значения и вес для каждого общества определяются органами управления общества.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9. Перечень показателей деятельности предприятий, включая дополнительные показатели деятельности, и показателей депремирования руководящего состава, их целевые значения и вес для каждого предприятия определяются в составе программы деятельности предприятия, утверждаемой уполномоченным органом исполнительной власти.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10. При формировании ключевых показателей эффективности обще</w:t>
      </w:r>
      <w:proofErr w:type="gramStart"/>
      <w:r>
        <w:t>ств сл</w:t>
      </w:r>
      <w:proofErr w:type="gramEnd"/>
      <w:r>
        <w:t>едует предусмотреть невозможность корректировки их целевых значений за прошедший и текущий календарные годы.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11. Целевые значения ключевых показателей эффективности обществ не рекомендуется указывать интервалом значений.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12. Общее количество финансово-экономических ключевых показателей эффективности общества рекомендуется устанавливать в количестве не более 7 показателей.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При этом рекомендуется предусматривать не менее 2 финансово-экономических ключевых показателей эффективности, сумма веса которых должна составлять не менее 30 процентов общего веса всех финансово-экономических ключевых показателей эффективности общества.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13. Общее количество отраслевых ключевых показателей эффективности общества или дополнительных показателей деятельности предприятия рекомендуется устанавливать в количестве не более 4 показателей.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 xml:space="preserve">При этом для организаций оборонно-промышленного комплекса количество отраслевых ключевых показателей эффективности для обществ и дополнительных показателей деятельности для предприятий рекомендуется определять исходя </w:t>
      </w:r>
      <w:proofErr w:type="gramStart"/>
      <w:r>
        <w:t>из</w:t>
      </w:r>
      <w:proofErr w:type="gramEnd"/>
      <w:r>
        <w:t>: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специфики деятельности организаций оборонно-промышленного комплекса, поставленных перед ними задач, направленных на повышение безопасности и обороноспособности Российской Федерации;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диверсификации производства организаций оборонно-промышленного комплекса;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 xml:space="preserve">участия организаций оборонно-промышленного комплекса в реализации национальных и федеральных проектов согласно целям, предусмотренным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14. Рекомендуемыми показателями депремирования руководящего состава предприятий и обществ являются: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для всех предприятий и обществ: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"Наличие (отсутствие) задолженности по заработной плате перед работниками";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"Отношение объема совокупного долга к прибыли до вычета налоговых и процентных платежей и амортизации";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для всех обществ: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lastRenderedPageBreak/>
        <w:t>"Превышение установленного органами управления общества значения отношения "Суммы кредитов и займов" к "Прибыли до вычета";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для организаций оборонно-промышленного комплекса: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"Выполнение государственного оборонного заказа и мероприятий по импортозамещению";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"Выполнение мероприятий по диверсификации производства оборонно-промышленного комплекса и выпуску высокотехнологичной продукции гражданского и двойного назначения";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"Рост реализации гражданской продукции собственного производства";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для финансовых организаций - "Ухудшение динамики показателя "Доля просроченной задолженности" или превышение установленного органами управления общества показателя "Доля просроченной задолженности".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Наличие, состав, вес показателей депремирования, их целевое значение, а также размер депремирования для обществ определяются органами управления обществ, для предприятий - уполномоченным органом исполнительной власти.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 xml:space="preserve">15. В целях </w:t>
      </w:r>
      <w:proofErr w:type="gramStart"/>
      <w:r>
        <w:t>обеспечения достоверности расчетов ключевых показателей эффективности обществ</w:t>
      </w:r>
      <w:proofErr w:type="gramEnd"/>
      <w:r>
        <w:t xml:space="preserve"> органам управления обществ рекомендуется ежегодно обеспечивать проверку корректности расчетов целевого значения ключевых показателей эффективности, а также обоснованность размера вознаграждения руководящего состава общества (с учетом фактического достижения целевых значений ключевых показателей эффективности) с привлечением представителей внутреннего и (или) внешнего аудита.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 xml:space="preserve">16. В отношении предприятий в целях </w:t>
      </w:r>
      <w:proofErr w:type="gramStart"/>
      <w:r>
        <w:t>обеспечения достоверности расчетов показателей деятельности предприятий</w:t>
      </w:r>
      <w:proofErr w:type="gramEnd"/>
      <w:r>
        <w:t xml:space="preserve"> уполномоченным органам исполнительной власти рекомендуется обеспечивать ежегодную проверку корректности расчетов целевых значений показателей деятельности, а также обоснованность размера вознаграждения руководящего состава предприятий (с учетом фактического достижения целевых значений показателей деятельности).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17. При рассмотрении вопросов выплаты вознаграждения руководящему составу предприятия или общества учитываются: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фактически достигнутые в отчетном году значения ключевых показателей эффективности (показателей деятельности);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причины отклонений (невыполнение или перевыполнение) фактически достигнутых целевых значений ключевых показателей эффективности (показателей деятельности) от их установленных целевых значений;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показатели депремирования руководящего состава.</w: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right"/>
        <w:outlineLvl w:val="1"/>
      </w:pPr>
      <w:r>
        <w:t>Приложение N 1</w:t>
      </w:r>
    </w:p>
    <w:p w:rsidR="008D74DE" w:rsidRDefault="008D74DE">
      <w:pPr>
        <w:pStyle w:val="ConsPlusNormal"/>
        <w:jc w:val="right"/>
      </w:pPr>
      <w:r>
        <w:t>к методическим рекомендациям</w:t>
      </w:r>
    </w:p>
    <w:p w:rsidR="008D74DE" w:rsidRDefault="008D74DE">
      <w:pPr>
        <w:pStyle w:val="ConsPlusNormal"/>
        <w:jc w:val="right"/>
      </w:pPr>
      <w:r>
        <w:t>по применению ключевых показателей</w:t>
      </w:r>
    </w:p>
    <w:p w:rsidR="008D74DE" w:rsidRDefault="008D74DE">
      <w:pPr>
        <w:pStyle w:val="ConsPlusNormal"/>
        <w:jc w:val="right"/>
      </w:pPr>
      <w:r>
        <w:t>эффективности деятельности</w:t>
      </w:r>
    </w:p>
    <w:p w:rsidR="008D74DE" w:rsidRDefault="008D74DE">
      <w:pPr>
        <w:pStyle w:val="ConsPlusNormal"/>
        <w:jc w:val="right"/>
      </w:pPr>
      <w:r>
        <w:t xml:space="preserve">хозяйственных обществ, </w:t>
      </w:r>
      <w:proofErr w:type="gramStart"/>
      <w:r>
        <w:t>в</w:t>
      </w:r>
      <w:proofErr w:type="gramEnd"/>
      <w:r>
        <w:t xml:space="preserve"> уставных</w:t>
      </w:r>
    </w:p>
    <w:p w:rsidR="008D74DE" w:rsidRDefault="008D74DE">
      <w:pPr>
        <w:pStyle w:val="ConsPlusNormal"/>
        <w:jc w:val="right"/>
      </w:pPr>
      <w:proofErr w:type="gramStart"/>
      <w:r>
        <w:t>капиталах</w:t>
      </w:r>
      <w:proofErr w:type="gramEnd"/>
      <w:r>
        <w:t xml:space="preserve"> которых доля участия</w:t>
      </w:r>
    </w:p>
    <w:p w:rsidR="008D74DE" w:rsidRDefault="008D74DE">
      <w:pPr>
        <w:pStyle w:val="ConsPlusNormal"/>
        <w:jc w:val="right"/>
      </w:pPr>
      <w:r>
        <w:t>Российской Федерации или субъекта</w:t>
      </w:r>
    </w:p>
    <w:p w:rsidR="008D74DE" w:rsidRDefault="008D74DE">
      <w:pPr>
        <w:pStyle w:val="ConsPlusNormal"/>
        <w:jc w:val="right"/>
      </w:pPr>
      <w:r>
        <w:lastRenderedPageBreak/>
        <w:t>Российской Федерации превышает 50</w:t>
      </w:r>
    </w:p>
    <w:p w:rsidR="008D74DE" w:rsidRDefault="008D74DE">
      <w:pPr>
        <w:pStyle w:val="ConsPlusNormal"/>
        <w:jc w:val="right"/>
      </w:pPr>
      <w:r>
        <w:t>процентов, и показателей деятельности</w:t>
      </w:r>
    </w:p>
    <w:p w:rsidR="008D74DE" w:rsidRDefault="008D74DE">
      <w:pPr>
        <w:pStyle w:val="ConsPlusNormal"/>
        <w:jc w:val="right"/>
      </w:pPr>
      <w:r>
        <w:t>государственных унитарных предприятий</w:t>
      </w:r>
    </w:p>
    <w:p w:rsidR="008D74DE" w:rsidRDefault="008D74DE">
      <w:pPr>
        <w:pStyle w:val="ConsPlusNormal"/>
        <w:jc w:val="right"/>
      </w:pPr>
      <w:r>
        <w:t>в целях определения размера</w:t>
      </w:r>
    </w:p>
    <w:p w:rsidR="008D74DE" w:rsidRDefault="008D74DE">
      <w:pPr>
        <w:pStyle w:val="ConsPlusNormal"/>
        <w:jc w:val="right"/>
      </w:pPr>
      <w:r>
        <w:t>вознаграждения их руководящего состава</w: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Title"/>
        <w:jc w:val="center"/>
      </w:pPr>
      <w:bookmarkStart w:id="2" w:name="P106"/>
      <w:bookmarkEnd w:id="2"/>
      <w:r>
        <w:t>ПЕРЕЧЕНЬ</w:t>
      </w:r>
    </w:p>
    <w:p w:rsidR="008D74DE" w:rsidRDefault="008D74DE">
      <w:pPr>
        <w:pStyle w:val="ConsPlusTitle"/>
        <w:jc w:val="center"/>
      </w:pPr>
      <w:r>
        <w:t>РЕКОМЕНДУЕМЫХ ФИНАНСОВО-ЭКОНОМИЧЕСКИХ КЛЮЧЕВЫХ ПОКАЗАТЕЛЕЙ</w:t>
      </w:r>
    </w:p>
    <w:p w:rsidR="008D74DE" w:rsidRDefault="008D74DE">
      <w:pPr>
        <w:pStyle w:val="ConsPlusTitle"/>
        <w:jc w:val="center"/>
      </w:pPr>
      <w:proofErr w:type="gramStart"/>
      <w:r>
        <w:t>ЭФФЕКТИВНОСТИ ОБЩЕСТВ (ЗА ИСКЛЮЧЕНИЕМ</w:t>
      </w:r>
      <w:proofErr w:type="gramEnd"/>
    </w:p>
    <w:p w:rsidR="008D74DE" w:rsidRDefault="008D74DE">
      <w:pPr>
        <w:pStyle w:val="ConsPlusTitle"/>
        <w:jc w:val="center"/>
      </w:pPr>
      <w:proofErr w:type="gramStart"/>
      <w:r>
        <w:t>ФИНАНСОВЫХ ОРГАНИЗАЦИЙ)</w:t>
      </w:r>
      <w:proofErr w:type="gramEnd"/>
    </w:p>
    <w:p w:rsidR="008D74DE" w:rsidRDefault="008D74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531"/>
        <w:gridCol w:w="4422"/>
        <w:gridCol w:w="1296"/>
        <w:gridCol w:w="1282"/>
      </w:tblGrid>
      <w:tr w:rsidR="008D74DE">
        <w:tc>
          <w:tcPr>
            <w:tcW w:w="6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4DE" w:rsidRDefault="008D74D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Вес показателя</w:t>
            </w:r>
          </w:p>
        </w:tc>
      </w:tr>
      <w:tr w:rsidR="008D74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  <w:outlineLvl w:val="2"/>
            </w:pPr>
            <w:r>
              <w:t>Рекомендуемые показатели</w:t>
            </w:r>
          </w:p>
        </w:tc>
      </w:tr>
      <w:tr w:rsidR="008D74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для публичных акционерных обществ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 xml:space="preserve">совокупная акционерная доходность </w:t>
            </w:r>
            <w:hyperlink w:anchor="P168" w:history="1">
              <w:r>
                <w:rPr>
                  <w:color w:val="0000FF"/>
                </w:rPr>
                <w:t>&lt;1&gt;</w:t>
              </w:r>
            </w:hyperlink>
            <w:r>
              <w:t xml:space="preserve"> за прошедший год (рекомендуется учитывать или использовать динамику изменений отраслевого индекса)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не менее 10 процентов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общий вес не менее 30 процентов</w:t>
            </w:r>
          </w:p>
        </w:tc>
      </w:tr>
      <w:tr w:rsidR="008D74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для всех акционерных обществ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 xml:space="preserve">рентабельность продаж по "Прибыли до вычета"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</w:tr>
      <w:tr w:rsidR="008D74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для всех обществ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 xml:space="preserve">коэффициент рентабельности инвестированного капитала </w:t>
            </w:r>
            <w:hyperlink w:anchor="P173" w:history="1">
              <w:r>
                <w:rPr>
                  <w:color w:val="0000FF"/>
                </w:rPr>
                <w:t>&lt;3&gt;</w:t>
              </w:r>
            </w:hyperlink>
            <w:r>
              <w:t xml:space="preserve">, коэффициент рентабельности собственного капитала </w:t>
            </w:r>
            <w:hyperlink w:anchor="P174" w:history="1">
              <w:r>
                <w:rPr>
                  <w:color w:val="0000FF"/>
                </w:rPr>
                <w:t>&lt;4&gt;</w:t>
              </w:r>
            </w:hyperlink>
            <w:r>
              <w:t xml:space="preserve"> (органами управления </w:t>
            </w:r>
            <w:hyperlink w:anchor="P178" w:history="1">
              <w:r>
                <w:rPr>
                  <w:color w:val="0000FF"/>
                </w:rPr>
                <w:t>&lt;5&gt;</w:t>
              </w:r>
            </w:hyperlink>
            <w:r>
              <w:t xml:space="preserve"> выбирается один из показателей, а также устанавливает целевое значение)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не менее 15 процентов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</w:tr>
      <w:tr w:rsidR="008D74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  <w:outlineLvl w:val="2"/>
            </w:pPr>
            <w:r>
              <w:t>Показатели, которые вводятся по усмотрению органов управления (для всех обществ)</w:t>
            </w:r>
          </w:p>
        </w:tc>
      </w:tr>
      <w:tr w:rsidR="008D74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динамика размера "Прибыли на усмотрение до вычета" к предыдущему году органов управления (рост показателя)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на усмотрение органов управления</w:t>
            </w:r>
          </w:p>
        </w:tc>
      </w:tr>
      <w:tr w:rsidR="008D74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 xml:space="preserve">рентабельность по "Прибыли до вычета" (рост показателя в сравнении со средним показателем за 3 </w:t>
            </w:r>
            <w:proofErr w:type="gramStart"/>
            <w:r>
              <w:t>последних</w:t>
            </w:r>
            <w:proofErr w:type="gramEnd"/>
            <w:r>
              <w:t xml:space="preserve"> года)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на усмотрение органов управления</w:t>
            </w:r>
          </w:p>
        </w:tc>
      </w:tr>
      <w:tr w:rsidR="008D74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динамика удельной выручки (за вычетом нерегулярных составляющих) за год из расчета на одного сотрудника (рост по отношению к предыдущему году)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на усмотрение органов управления</w:t>
            </w:r>
          </w:p>
        </w:tc>
      </w:tr>
      <w:tr w:rsidR="008D74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снижение затрат на приобретение товаров (работ, услуг) на единицу продукции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на усмотрение органов управления</w:t>
            </w:r>
          </w:p>
        </w:tc>
      </w:tr>
      <w:tr w:rsidR="008D74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соотношение объема капитальных вложений к чистому денежному потоку от операционной деятельности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на усмотрение органов управления</w:t>
            </w:r>
          </w:p>
        </w:tc>
      </w:tr>
      <w:tr w:rsidR="008D74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соотношение объема капитальных вложений к амортизационным начислениям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на усмотрение органов управления</w:t>
            </w:r>
          </w:p>
        </w:tc>
      </w:tr>
      <w:tr w:rsidR="008D74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доля закупок товаров, работ, услуг, осуществленных конкурентными способами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на усмотрение органов управления</w:t>
            </w:r>
          </w:p>
        </w:tc>
      </w:tr>
      <w:tr w:rsidR="008D74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 xml:space="preserve">доля непрофильных активов </w:t>
            </w:r>
            <w:hyperlink w:anchor="P17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на усмотрение органов управления</w:t>
            </w:r>
          </w:p>
        </w:tc>
      </w:tr>
      <w:tr w:rsidR="008D74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4DE" w:rsidRDefault="008D74DE">
            <w:pPr>
              <w:pStyle w:val="ConsPlusNormal"/>
            </w:pPr>
            <w:r>
              <w:t>дополнительный показатель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4DE" w:rsidRDefault="008D74DE">
            <w:pPr>
              <w:pStyle w:val="ConsPlusNormal"/>
            </w:pPr>
            <w:r>
              <w:t>на усмотрение органов управления</w:t>
            </w:r>
          </w:p>
        </w:tc>
      </w:tr>
    </w:tbl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ind w:firstLine="540"/>
        <w:jc w:val="both"/>
      </w:pPr>
      <w:r>
        <w:t>--------------------------------</w:t>
      </w:r>
    </w:p>
    <w:p w:rsidR="008D74DE" w:rsidRDefault="008D74DE">
      <w:pPr>
        <w:pStyle w:val="ConsPlusNormal"/>
        <w:spacing w:before="220"/>
        <w:ind w:firstLine="540"/>
        <w:jc w:val="both"/>
      </w:pPr>
      <w:bookmarkStart w:id="3" w:name="P168"/>
      <w:bookmarkEnd w:id="3"/>
      <w:r>
        <w:t>&lt;1&gt; Совокупная акционерная доходность - обобщающий показатель для оценки годовых результатов, который представляет собой норму доходности акционеров в результате изменения биржевых котировок акций и начисления дивидендов. Указанный показатель рассчитывается:</w: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center"/>
      </w:pPr>
      <w:r w:rsidRPr="00C13CEA">
        <w:rPr>
          <w:position w:val="-46"/>
        </w:rPr>
        <w:pict>
          <v:shape id="_x0000_i1025" style="width:388.2pt;height:57.6pt" coordsize="" o:spt="100" adj="0,,0" path="" filled="f" stroked="f">
            <v:stroke joinstyle="miter"/>
            <v:imagedata r:id="rId11" o:title="base_1_372766_32768"/>
            <v:formulas/>
            <v:path o:connecttype="segments"/>
          </v:shape>
        </w:pic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ind w:firstLine="540"/>
        <w:jc w:val="both"/>
      </w:pPr>
      <w:bookmarkStart w:id="4" w:name="P172"/>
      <w:bookmarkEnd w:id="4"/>
      <w:r>
        <w:t>&lt;2&gt; Прибыль до вычета - показатель для определения конкурентоспособности и эффективности деятельности вне зависимости от размера задолженности по кредитам, налогового режима и способа расчета амортизационных отчислений (рассчитывается как сумма прибыли до налогообложения, процентов к уплате, амортизации основных средств и нематериальных активов).</w:t>
      </w:r>
    </w:p>
    <w:p w:rsidR="008D74DE" w:rsidRDefault="008D74DE">
      <w:pPr>
        <w:pStyle w:val="ConsPlusNormal"/>
        <w:spacing w:before="220"/>
        <w:ind w:firstLine="540"/>
        <w:jc w:val="both"/>
      </w:pPr>
      <w:bookmarkStart w:id="5" w:name="P173"/>
      <w:bookmarkEnd w:id="5"/>
      <w:r>
        <w:t>&lt;3&gt; Коэффициент рентабельности инвестированного капитала - показатель, рассчитываемый как отношение чистой операционной прибыли после вычета налогов к суммарному инвестированному капиталу.</w:t>
      </w:r>
    </w:p>
    <w:p w:rsidR="008D74DE" w:rsidRDefault="008D74DE">
      <w:pPr>
        <w:pStyle w:val="ConsPlusNormal"/>
        <w:spacing w:before="220"/>
        <w:ind w:firstLine="540"/>
        <w:jc w:val="both"/>
      </w:pPr>
      <w:bookmarkStart w:id="6" w:name="P174"/>
      <w:bookmarkEnd w:id="6"/>
      <w:r>
        <w:t>&lt;4&gt; Коэффициент рентабельности собственного капитала рассчитывается:</w: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center"/>
      </w:pPr>
      <w:r w:rsidRPr="00C13CEA">
        <w:rPr>
          <w:position w:val="-46"/>
        </w:rPr>
        <w:pict>
          <v:shape id="_x0000_i1026" style="width:168.6pt;height:57.6pt" coordsize="" o:spt="100" adj="0,,0" path="" filled="f" stroked="f">
            <v:stroke joinstyle="miter"/>
            <v:imagedata r:id="rId12" o:title="base_1_372766_32769"/>
            <v:formulas/>
            <v:path o:connecttype="segments"/>
          </v:shape>
        </w:pic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ind w:firstLine="540"/>
        <w:jc w:val="both"/>
      </w:pPr>
      <w:bookmarkStart w:id="7" w:name="P178"/>
      <w:bookmarkEnd w:id="7"/>
      <w:r>
        <w:t>&lt;5&gt; Органы управления - совет директоров (наблюдательный совет), а в случае его отсутствия общее собрание акционеров (участников) общества.</w:t>
      </w:r>
    </w:p>
    <w:p w:rsidR="008D74DE" w:rsidRDefault="008D74DE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&lt;6&gt; Доля непрофильных активов - устанавливаемый с учетом позиции уполномоченного органа исполнительной власти допустимый уровень непрофильных активов, который рассчитывается:</w: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center"/>
      </w:pPr>
      <w:r w:rsidRPr="00C13CEA">
        <w:rPr>
          <w:position w:val="-66"/>
        </w:rPr>
        <w:pict>
          <v:shape id="_x0000_i1027" style="width:201.6pt;height:77.4pt" coordsize="" o:spt="100" adj="0,,0" path="" filled="f" stroked="f">
            <v:stroke joinstyle="miter"/>
            <v:imagedata r:id="rId13" o:title="base_1_372766_32770"/>
            <v:formulas/>
            <v:path o:connecttype="segments"/>
          </v:shape>
        </w:pic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right"/>
        <w:outlineLvl w:val="1"/>
      </w:pPr>
      <w:r>
        <w:t>Приложение N 2</w:t>
      </w:r>
    </w:p>
    <w:p w:rsidR="008D74DE" w:rsidRDefault="008D74DE">
      <w:pPr>
        <w:pStyle w:val="ConsPlusNormal"/>
        <w:jc w:val="right"/>
      </w:pPr>
      <w:r>
        <w:t>к методическим рекомендациям</w:t>
      </w:r>
    </w:p>
    <w:p w:rsidR="008D74DE" w:rsidRDefault="008D74DE">
      <w:pPr>
        <w:pStyle w:val="ConsPlusNormal"/>
        <w:jc w:val="right"/>
      </w:pPr>
      <w:r>
        <w:t>по применению ключевых показателей</w:t>
      </w:r>
    </w:p>
    <w:p w:rsidR="008D74DE" w:rsidRDefault="008D74DE">
      <w:pPr>
        <w:pStyle w:val="ConsPlusNormal"/>
        <w:jc w:val="right"/>
      </w:pPr>
      <w:r>
        <w:t>эффективности деятельности</w:t>
      </w:r>
    </w:p>
    <w:p w:rsidR="008D74DE" w:rsidRDefault="008D74DE">
      <w:pPr>
        <w:pStyle w:val="ConsPlusNormal"/>
        <w:jc w:val="right"/>
      </w:pPr>
      <w:r>
        <w:t xml:space="preserve">хозяйственных обществ, </w:t>
      </w:r>
      <w:proofErr w:type="gramStart"/>
      <w:r>
        <w:t>в</w:t>
      </w:r>
      <w:proofErr w:type="gramEnd"/>
      <w:r>
        <w:t xml:space="preserve"> уставных</w:t>
      </w:r>
    </w:p>
    <w:p w:rsidR="008D74DE" w:rsidRDefault="008D74DE">
      <w:pPr>
        <w:pStyle w:val="ConsPlusNormal"/>
        <w:jc w:val="right"/>
      </w:pPr>
      <w:proofErr w:type="gramStart"/>
      <w:r>
        <w:t>капиталах</w:t>
      </w:r>
      <w:proofErr w:type="gramEnd"/>
      <w:r>
        <w:t xml:space="preserve"> которых доля участия</w:t>
      </w:r>
    </w:p>
    <w:p w:rsidR="008D74DE" w:rsidRDefault="008D74DE">
      <w:pPr>
        <w:pStyle w:val="ConsPlusNormal"/>
        <w:jc w:val="right"/>
      </w:pPr>
      <w:r>
        <w:t>Российской Федерации или субъекта</w:t>
      </w:r>
    </w:p>
    <w:p w:rsidR="008D74DE" w:rsidRDefault="008D74DE">
      <w:pPr>
        <w:pStyle w:val="ConsPlusNormal"/>
        <w:jc w:val="right"/>
      </w:pPr>
      <w:r>
        <w:t>Российской Федерации превышает 50</w:t>
      </w:r>
    </w:p>
    <w:p w:rsidR="008D74DE" w:rsidRDefault="008D74DE">
      <w:pPr>
        <w:pStyle w:val="ConsPlusNormal"/>
        <w:jc w:val="right"/>
      </w:pPr>
      <w:r>
        <w:t>процентов, и показателей деятельности</w:t>
      </w:r>
    </w:p>
    <w:p w:rsidR="008D74DE" w:rsidRDefault="008D74DE">
      <w:pPr>
        <w:pStyle w:val="ConsPlusNormal"/>
        <w:jc w:val="right"/>
      </w:pPr>
      <w:r>
        <w:t>государственных унитарных предприятий</w:t>
      </w:r>
    </w:p>
    <w:p w:rsidR="008D74DE" w:rsidRDefault="008D74DE">
      <w:pPr>
        <w:pStyle w:val="ConsPlusNormal"/>
        <w:jc w:val="right"/>
      </w:pPr>
      <w:r>
        <w:t>в целях определения размера</w:t>
      </w:r>
    </w:p>
    <w:p w:rsidR="008D74DE" w:rsidRDefault="008D74DE">
      <w:pPr>
        <w:pStyle w:val="ConsPlusNormal"/>
        <w:jc w:val="right"/>
      </w:pPr>
      <w:r>
        <w:t>вознаграждения их руководящего состава</w:t>
      </w:r>
    </w:p>
    <w:p w:rsidR="008D74DE" w:rsidRDefault="008D74DE">
      <w:pPr>
        <w:pStyle w:val="ConsPlusNormal"/>
        <w:jc w:val="right"/>
      </w:pPr>
    </w:p>
    <w:p w:rsidR="008D74DE" w:rsidRDefault="008D74DE">
      <w:pPr>
        <w:pStyle w:val="ConsPlusTitle"/>
        <w:jc w:val="center"/>
      </w:pPr>
      <w:bookmarkStart w:id="9" w:name="P200"/>
      <w:bookmarkEnd w:id="9"/>
      <w:r>
        <w:t>ПЕРЕЧЕНЬ</w:t>
      </w:r>
    </w:p>
    <w:p w:rsidR="008D74DE" w:rsidRDefault="008D74DE">
      <w:pPr>
        <w:pStyle w:val="ConsPlusTitle"/>
        <w:jc w:val="center"/>
      </w:pPr>
      <w:r>
        <w:t>РЕКОМЕНДУЕМЫХ ФИНАНСОВО-ЭКОНОМИЧЕСКИХ КЛЮЧЕВЫХ ПОКАЗАТЕЛЕЙ</w:t>
      </w:r>
    </w:p>
    <w:p w:rsidR="008D74DE" w:rsidRDefault="008D74DE">
      <w:pPr>
        <w:pStyle w:val="ConsPlusTitle"/>
        <w:jc w:val="center"/>
      </w:pPr>
      <w:r>
        <w:t>ЭФФЕКТИВНОСТИ ДЛЯ ФИНАНСОВЫХ ОРГАНИЗАЦИЙ</w:t>
      </w:r>
    </w:p>
    <w:p w:rsidR="008D74DE" w:rsidRDefault="008D74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531"/>
        <w:gridCol w:w="4422"/>
        <w:gridCol w:w="1296"/>
        <w:gridCol w:w="1282"/>
      </w:tblGrid>
      <w:tr w:rsidR="008D74DE">
        <w:tc>
          <w:tcPr>
            <w:tcW w:w="6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4DE" w:rsidRDefault="008D74D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4DE" w:rsidRDefault="008D74DE">
            <w:pPr>
              <w:pStyle w:val="ConsPlusNormal"/>
              <w:jc w:val="center"/>
            </w:pPr>
            <w:r>
              <w:t>Вес показателя</w:t>
            </w:r>
          </w:p>
        </w:tc>
      </w:tr>
      <w:tr w:rsidR="008D74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  <w:outlineLvl w:val="2"/>
            </w:pPr>
            <w:r>
              <w:t>Рекомендуемые</w:t>
            </w:r>
          </w:p>
        </w:tc>
      </w:tr>
      <w:tr w:rsidR="008D74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для публичных акционерных обществ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 xml:space="preserve">совокупная акционерная доходность </w:t>
            </w:r>
            <w:hyperlink w:anchor="P244" w:history="1">
              <w:r>
                <w:rPr>
                  <w:color w:val="0000FF"/>
                </w:rPr>
                <w:t>&lt;1&gt;</w:t>
              </w:r>
            </w:hyperlink>
            <w:r>
              <w:t xml:space="preserve"> за прошедший год (рекомендуется учитывать или использовать динамику изменений отраслевого индекса)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не менее 10 процентов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общий вес не менее 30 процентов</w:t>
            </w:r>
          </w:p>
        </w:tc>
      </w:tr>
      <w:tr w:rsidR="008D74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для всех обществ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 xml:space="preserve">коэффициент рентабельности инвестированного капитала </w:t>
            </w:r>
            <w:hyperlink w:anchor="P248" w:history="1">
              <w:r>
                <w:rPr>
                  <w:color w:val="0000FF"/>
                </w:rPr>
                <w:t>&lt;2&gt;</w:t>
              </w:r>
            </w:hyperlink>
            <w:r>
              <w:t xml:space="preserve">, коэффициент рентабельности собственного капитала </w:t>
            </w:r>
            <w:hyperlink w:anchor="P249" w:history="1">
              <w:r>
                <w:rPr>
                  <w:color w:val="0000FF"/>
                </w:rPr>
                <w:t>&lt;3&gt;</w:t>
              </w:r>
            </w:hyperlink>
            <w:r>
              <w:t xml:space="preserve"> (органы управления </w:t>
            </w:r>
            <w:hyperlink w:anchor="P253" w:history="1">
              <w:r>
                <w:rPr>
                  <w:color w:val="0000FF"/>
                </w:rPr>
                <w:t>&lt;4&gt;</w:t>
              </w:r>
            </w:hyperlink>
            <w:r>
              <w:t xml:space="preserve"> выбирают один из показателей, а также устанавливают целевое значение)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не менее 15 процентов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</w:tr>
      <w:tr w:rsidR="008D74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  <w:outlineLvl w:val="2"/>
            </w:pPr>
            <w:r>
              <w:t>Показатели, которые вводятся по усмотрению органов управления (для всех обществ)</w:t>
            </w:r>
          </w:p>
        </w:tc>
      </w:tr>
      <w:tr w:rsidR="008D74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 xml:space="preserve">прирост портфеля кредитов </w:t>
            </w:r>
            <w:hyperlink w:anchor="P254" w:history="1">
              <w:r>
                <w:rPr>
                  <w:color w:val="0000FF"/>
                </w:rPr>
                <w:t>&lt;5&gt;</w:t>
              </w:r>
            </w:hyperlink>
            <w:r>
              <w:t xml:space="preserve"> (положительная динамика)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на усмотрение органов управления</w:t>
            </w:r>
          </w:p>
        </w:tc>
      </w:tr>
      <w:tr w:rsidR="008D74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прирост денежных сре</w:t>
            </w:r>
            <w:proofErr w:type="gramStart"/>
            <w:r>
              <w:t>дств кл</w:t>
            </w:r>
            <w:proofErr w:type="gramEnd"/>
            <w:r>
              <w:t xml:space="preserve">иентов на счетах (включая депозиты) </w:t>
            </w:r>
            <w:hyperlink w:anchor="P255" w:history="1">
              <w:r>
                <w:rPr>
                  <w:color w:val="0000FF"/>
                </w:rPr>
                <w:t>&lt;6&gt;</w:t>
              </w:r>
            </w:hyperlink>
            <w:r>
              <w:t xml:space="preserve"> (положительная динамика)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на усмотрение органов управления</w:t>
            </w:r>
          </w:p>
        </w:tc>
      </w:tr>
      <w:tr w:rsidR="008D74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 xml:space="preserve">обеспечение заданного уровня маржи </w:t>
            </w:r>
            <w:hyperlink w:anchor="P25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на усмотрение органов управления</w:t>
            </w:r>
          </w:p>
        </w:tc>
      </w:tr>
      <w:tr w:rsidR="008D74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 xml:space="preserve">рост комиссионных доходов </w:t>
            </w:r>
            <w:hyperlink w:anchor="P25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на усмотрение органов управления</w:t>
            </w:r>
          </w:p>
        </w:tc>
      </w:tr>
      <w:tr w:rsidR="008D74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 xml:space="preserve">доля непрофильных активов </w:t>
            </w:r>
            <w:hyperlink w:anchor="P259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4DE" w:rsidRDefault="008D74DE">
            <w:pPr>
              <w:pStyle w:val="ConsPlusNormal"/>
            </w:pPr>
            <w:r>
              <w:t>на усмотрение органов управления</w:t>
            </w:r>
          </w:p>
        </w:tc>
      </w:tr>
      <w:tr w:rsidR="008D74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4DE" w:rsidRDefault="008D74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4DE" w:rsidRDefault="008D74D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4DE" w:rsidRDefault="008D74DE">
            <w:pPr>
              <w:pStyle w:val="ConsPlusNormal"/>
            </w:pPr>
            <w:r>
              <w:t>дополнительный показатель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4DE" w:rsidRDefault="008D74DE">
            <w:pPr>
              <w:pStyle w:val="ConsPlusNormal"/>
            </w:pPr>
            <w:r>
              <w:t>на усмотрение органов управления</w:t>
            </w:r>
          </w:p>
        </w:tc>
      </w:tr>
    </w:tbl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D74DE" w:rsidRDefault="008D74DE">
      <w:pPr>
        <w:pStyle w:val="ConsPlusNormal"/>
        <w:spacing w:before="220"/>
        <w:ind w:firstLine="540"/>
        <w:jc w:val="both"/>
      </w:pPr>
      <w:bookmarkStart w:id="10" w:name="P244"/>
      <w:bookmarkEnd w:id="10"/>
      <w:r>
        <w:t>&lt;1&gt; Совокупная акционерная доходность - обобщающий показатель для оценки годовых результатов, который представляет собой норму доходности акционеров в результате изменения биржевых котировок акций и начисления дивидендов. Указанный показатель рассчитывается:</w: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center"/>
      </w:pPr>
      <w:r w:rsidRPr="00C13CEA">
        <w:rPr>
          <w:position w:val="-46"/>
        </w:rPr>
        <w:pict>
          <v:shape id="_x0000_i1028" style="width:388.2pt;height:57.6pt" coordsize="" o:spt="100" adj="0,,0" path="" filled="f" stroked="f">
            <v:stroke joinstyle="miter"/>
            <v:imagedata r:id="rId11" o:title="base_1_372766_32771"/>
            <v:formulas/>
            <v:path o:connecttype="segments"/>
          </v:shape>
        </w:pic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ind w:firstLine="540"/>
        <w:jc w:val="both"/>
      </w:pPr>
      <w:bookmarkStart w:id="11" w:name="P248"/>
      <w:bookmarkEnd w:id="11"/>
      <w:r>
        <w:t>&lt;2&gt; Коэффициент рентабельности инвестированного капитала рассчитывается как отношение чистой операционной прибыли после вычета налогов к суммарному инвестированному капиталу.</w:t>
      </w:r>
    </w:p>
    <w:p w:rsidR="008D74DE" w:rsidRDefault="008D74DE">
      <w:pPr>
        <w:pStyle w:val="ConsPlusNormal"/>
        <w:spacing w:before="220"/>
        <w:ind w:firstLine="540"/>
        <w:jc w:val="both"/>
      </w:pPr>
      <w:bookmarkStart w:id="12" w:name="P249"/>
      <w:bookmarkEnd w:id="12"/>
      <w:r>
        <w:t>&lt;3&gt; Коэффициент рентабельности собственного капитала рассчитывается:</w: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center"/>
      </w:pPr>
      <w:r w:rsidRPr="00C13CEA">
        <w:rPr>
          <w:position w:val="-46"/>
        </w:rPr>
        <w:pict>
          <v:shape id="_x0000_i1029" style="width:168.6pt;height:57.6pt" coordsize="" o:spt="100" adj="0,,0" path="" filled="f" stroked="f">
            <v:stroke joinstyle="miter"/>
            <v:imagedata r:id="rId12" o:title="base_1_372766_32772"/>
            <v:formulas/>
            <v:path o:connecttype="segments"/>
          </v:shape>
        </w:pic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ind w:firstLine="540"/>
        <w:jc w:val="both"/>
      </w:pPr>
      <w:bookmarkStart w:id="13" w:name="P253"/>
      <w:bookmarkEnd w:id="13"/>
      <w:r>
        <w:t>&lt;4&gt; Органы управления - совет директоров (наблюдательный совет), а в случае его отсутствия общее собрание акционеров (участников) общества.</w:t>
      </w:r>
    </w:p>
    <w:p w:rsidR="008D74DE" w:rsidRDefault="008D74DE">
      <w:pPr>
        <w:pStyle w:val="ConsPlusNormal"/>
        <w:spacing w:before="220"/>
        <w:ind w:firstLine="540"/>
        <w:jc w:val="both"/>
      </w:pPr>
      <w:bookmarkStart w:id="14" w:name="P254"/>
      <w:bookmarkEnd w:id="14"/>
      <w:r>
        <w:t xml:space="preserve">&lt;5&gt; Прирост портфеля кредитов рассчитывается как разница кредитного портфеля на конец года, предшествующего </w:t>
      </w:r>
      <w:proofErr w:type="gramStart"/>
      <w:r>
        <w:t>отчетному</w:t>
      </w:r>
      <w:proofErr w:type="gramEnd"/>
      <w:r>
        <w:t>, и кредитного портфеля на конец отчетного года.</w:t>
      </w:r>
    </w:p>
    <w:p w:rsidR="008D74DE" w:rsidRDefault="008D74DE">
      <w:pPr>
        <w:pStyle w:val="ConsPlusNormal"/>
        <w:spacing w:before="220"/>
        <w:ind w:firstLine="540"/>
        <w:jc w:val="both"/>
      </w:pPr>
      <w:bookmarkStart w:id="15" w:name="P255"/>
      <w:bookmarkEnd w:id="15"/>
      <w:r>
        <w:t>&lt;6&gt; Прирост денежных сре</w:t>
      </w:r>
      <w:proofErr w:type="gramStart"/>
      <w:r>
        <w:t>дств кл</w:t>
      </w:r>
      <w:proofErr w:type="gramEnd"/>
      <w:r>
        <w:t>иентов на счетах (включая депозиты) - показатель рассчитывается как разница денежных средств клиентов на счетах, включая депозиты, на начало отчетного года и денежных средств клиентов на счетах, включая депозиты, к концу отчетного года.</w:t>
      </w:r>
    </w:p>
    <w:p w:rsidR="008D74DE" w:rsidRDefault="008D74DE">
      <w:pPr>
        <w:pStyle w:val="ConsPlusNormal"/>
        <w:spacing w:before="220"/>
        <w:ind w:firstLine="540"/>
        <w:jc w:val="both"/>
      </w:pPr>
      <w:bookmarkStart w:id="16" w:name="P256"/>
      <w:bookmarkEnd w:id="16"/>
      <w:r>
        <w:t>&lt;7&gt; Обеспечение заданного уровня маржи рассчитывается:</w:t>
      </w:r>
    </w:p>
    <w:p w:rsidR="008D74DE" w:rsidRDefault="008D74DE">
      <w:pPr>
        <w:pStyle w:val="ConsPlusNormal"/>
        <w:spacing w:before="220"/>
        <w:ind w:firstLine="540"/>
        <w:jc w:val="both"/>
      </w:pPr>
      <w:r>
        <w:t>(ставка по привлечению денежных средств в отчетном году - ставка для выдачи кредитов, денежных средств в отчетном году) - (ставка по привлечению денежных сре</w:t>
      </w:r>
      <w:proofErr w:type="gramStart"/>
      <w:r>
        <w:t>дств в г</w:t>
      </w:r>
      <w:proofErr w:type="gramEnd"/>
      <w:r>
        <w:t>оду, предшествующему отчетному - ставка для выдачи кредитов, денежных средств в году, предшествующему отчетному).</w:t>
      </w:r>
    </w:p>
    <w:p w:rsidR="008D74DE" w:rsidRDefault="008D74DE">
      <w:pPr>
        <w:pStyle w:val="ConsPlusNormal"/>
        <w:spacing w:before="220"/>
        <w:ind w:firstLine="540"/>
        <w:jc w:val="both"/>
      </w:pPr>
      <w:bookmarkStart w:id="17" w:name="P258"/>
      <w:bookmarkEnd w:id="17"/>
      <w:r>
        <w:t xml:space="preserve">&lt;8&gt; Рост комиссионных доходов - показатель рассчитывается как разница комиссионных расходов на конец отчетного года и комиссионных расходов на конец года, предшествовавшего </w:t>
      </w:r>
      <w:proofErr w:type="gramStart"/>
      <w:r>
        <w:t>отчетному</w:t>
      </w:r>
      <w:proofErr w:type="gramEnd"/>
      <w:r>
        <w:t>.</w:t>
      </w:r>
    </w:p>
    <w:p w:rsidR="008D74DE" w:rsidRDefault="008D74DE">
      <w:pPr>
        <w:pStyle w:val="ConsPlusNormal"/>
        <w:spacing w:before="220"/>
        <w:ind w:firstLine="540"/>
        <w:jc w:val="both"/>
      </w:pPr>
      <w:bookmarkStart w:id="18" w:name="P259"/>
      <w:bookmarkEnd w:id="18"/>
      <w:r>
        <w:t>&lt;9&gt; Доля непрофильных активов - устанавливаемый с учетом позиции уполномоченного органа исполнительной власти допустимый уровень непрофильных активов, который рассчитывается:</w: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center"/>
      </w:pPr>
      <w:r w:rsidRPr="00C13CEA">
        <w:rPr>
          <w:position w:val="-66"/>
        </w:rPr>
        <w:pict>
          <v:shape id="_x0000_i1030" style="width:201.6pt;height:77.4pt" coordsize="" o:spt="100" adj="0,,0" path="" filled="f" stroked="f">
            <v:stroke joinstyle="miter"/>
            <v:imagedata r:id="rId13" o:title="base_1_372766_32773"/>
            <v:formulas/>
            <v:path o:connecttype="segments"/>
          </v:shape>
        </w:pict>
      </w: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jc w:val="both"/>
      </w:pPr>
    </w:p>
    <w:p w:rsidR="008D74DE" w:rsidRDefault="008D74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682" w:rsidRDefault="008D74DE">
      <w:bookmarkStart w:id="19" w:name="_GoBack"/>
      <w:bookmarkEnd w:id="19"/>
    </w:p>
    <w:sectPr w:rsidR="00082682" w:rsidSect="005C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DE"/>
    <w:rsid w:val="003A4869"/>
    <w:rsid w:val="008D74DE"/>
    <w:rsid w:val="00C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CBF09D0EE2CD56FD98BD17B1A2DD3587F72F42AD90A778A019F568F4A46610B61C9FE33F3F7DA58028C5A1DMFy3G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8CBF09D0EE2CD56FD98BD17B1A2DD35A7075F52ED60A778A019F568F4A4661196191F232FBE9DA5017DA0B5BA7C608FD568301E60BE7F4M5y2G" TargetMode="External"/><Relationship Id="rId12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CBF09D0EE2CD56FD98BD17B1A2DD35A7075F52ED60A778A019F568F4A4661196191F232FBE9DA5017DA0B5BA7C608FD568301E60BE7F4M5y2G" TargetMode="External"/><Relationship Id="rId11" Type="http://schemas.openxmlformats.org/officeDocument/2006/relationships/image" Target="media/image1.wmf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8CBF09D0EE2CD56FD98BD17B1A2DD35A727FF32CD90A778A019F568F4A46610B61C9FE33F3F7DA58028C5A1DMFy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CBF09D0EE2CD56FD98BD17B1A2DD35A777EF72BDB0A778A019F568F4A4661196191F232FBEFD95817DA0B5BA7C608FD568301E60BE7F4M5y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Анастасия Никольская</dc:creator>
  <cp:lastModifiedBy>Минюст Чувашии Анастасия Никольская</cp:lastModifiedBy>
  <cp:revision>1</cp:revision>
  <dcterms:created xsi:type="dcterms:W3CDTF">2021-01-18T06:50:00Z</dcterms:created>
  <dcterms:modified xsi:type="dcterms:W3CDTF">2021-01-18T06:50:00Z</dcterms:modified>
</cp:coreProperties>
</file>