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819"/>
      </w:tblGrid>
      <w:tr w:rsidR="00D213F1" w:rsidRPr="00D213F1" w:rsidTr="00637221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4DF" w:rsidRPr="00D213F1" w:rsidRDefault="003204DF">
            <w:pPr>
              <w:pStyle w:val="ConsPlusNormal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13F1">
              <w:rPr>
                <w:rFonts w:asciiTheme="minorHAnsi" w:hAnsiTheme="minorHAnsi" w:cstheme="minorHAnsi"/>
                <w:b/>
                <w:sz w:val="24"/>
                <w:szCs w:val="24"/>
              </w:rPr>
              <w:t>Извлечение</w:t>
            </w:r>
          </w:p>
        </w:tc>
      </w:tr>
      <w:tr w:rsidR="00A717DC" w:rsidRPr="00A717DC" w:rsidTr="00A71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</w:tcPr>
          <w:p w:rsidR="00A717DC" w:rsidRPr="00A717DC" w:rsidRDefault="00A717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717DC">
              <w:rPr>
                <w:rFonts w:cstheme="minorHAnsi"/>
                <w:sz w:val="24"/>
                <w:szCs w:val="24"/>
              </w:rPr>
              <w:t>10 ноября 1997 года</w:t>
            </w:r>
          </w:p>
        </w:tc>
        <w:tc>
          <w:tcPr>
            <w:tcW w:w="4819" w:type="dxa"/>
          </w:tcPr>
          <w:p w:rsidR="00A717DC" w:rsidRPr="00A717DC" w:rsidRDefault="00A717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717DC">
              <w:rPr>
                <w:rFonts w:cstheme="minorHAnsi"/>
                <w:sz w:val="24"/>
                <w:szCs w:val="24"/>
              </w:rPr>
              <w:t>N 21</w:t>
            </w:r>
          </w:p>
        </w:tc>
      </w:tr>
    </w:tbl>
    <w:p w:rsidR="00A717DC" w:rsidRPr="00A717DC" w:rsidRDefault="00A717DC" w:rsidP="00A717D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717DC">
        <w:rPr>
          <w:rFonts w:cstheme="minorHAnsi"/>
          <w:b/>
          <w:bCs/>
          <w:sz w:val="24"/>
          <w:szCs w:val="24"/>
        </w:rPr>
        <w:t>ЗАКОН</w:t>
      </w: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717DC">
        <w:rPr>
          <w:rFonts w:cstheme="minorHAnsi"/>
          <w:b/>
          <w:bCs/>
          <w:sz w:val="24"/>
          <w:szCs w:val="24"/>
        </w:rPr>
        <w:t>ЧУВАШСКОЙ РЕСПУБЛИКИ</w:t>
      </w: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717DC">
        <w:rPr>
          <w:rFonts w:cstheme="minorHAnsi"/>
          <w:b/>
          <w:bCs/>
          <w:sz w:val="24"/>
          <w:szCs w:val="24"/>
        </w:rPr>
        <w:t>О ПРОЖИТОЧНОМ МИНИМУМЕ В ЧУВАШСКОЙ РЕСПУБЛИКЕ</w:t>
      </w: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gramStart"/>
      <w:r w:rsidRPr="00A717DC">
        <w:rPr>
          <w:rFonts w:cstheme="minorHAnsi"/>
          <w:sz w:val="24"/>
          <w:szCs w:val="24"/>
        </w:rPr>
        <w:t>Принят</w:t>
      </w:r>
      <w:proofErr w:type="gramEnd"/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>Государственным Советом</w:t>
      </w: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>Чувашской Республики</w:t>
      </w: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>22 октября 1997 года</w:t>
      </w: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>Список изменяющих документов</w:t>
      </w: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 w:rsidRPr="00A717DC">
        <w:rPr>
          <w:rFonts w:cstheme="minorHAnsi"/>
          <w:sz w:val="24"/>
          <w:szCs w:val="24"/>
        </w:rPr>
        <w:t xml:space="preserve">(в ред. Законов ЧР от 18.10.2004 </w:t>
      </w:r>
      <w:hyperlink r:id="rId7" w:history="1">
        <w:r w:rsidRPr="00A717DC">
          <w:rPr>
            <w:rFonts w:cstheme="minorHAnsi"/>
            <w:sz w:val="24"/>
            <w:szCs w:val="24"/>
          </w:rPr>
          <w:t>N 21</w:t>
        </w:r>
      </w:hyperlink>
      <w:r w:rsidRPr="00A717DC">
        <w:rPr>
          <w:rFonts w:cstheme="minorHAnsi"/>
          <w:sz w:val="24"/>
          <w:szCs w:val="24"/>
        </w:rPr>
        <w:t xml:space="preserve">, от 19.10.2009 </w:t>
      </w:r>
      <w:hyperlink r:id="rId8" w:history="1">
        <w:r w:rsidRPr="00A717DC">
          <w:rPr>
            <w:rFonts w:cstheme="minorHAnsi"/>
            <w:sz w:val="24"/>
            <w:szCs w:val="24"/>
          </w:rPr>
          <w:t>N 58</w:t>
        </w:r>
      </w:hyperlink>
      <w:r w:rsidRPr="00A717DC">
        <w:rPr>
          <w:rFonts w:cstheme="minorHAnsi"/>
          <w:sz w:val="24"/>
          <w:szCs w:val="24"/>
        </w:rPr>
        <w:t>,</w:t>
      </w:r>
      <w:proofErr w:type="gramEnd"/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 xml:space="preserve">от 10.05.2012 </w:t>
      </w:r>
      <w:hyperlink r:id="rId9" w:history="1">
        <w:r w:rsidRPr="00A717DC">
          <w:rPr>
            <w:rFonts w:cstheme="minorHAnsi"/>
            <w:sz w:val="24"/>
            <w:szCs w:val="24"/>
          </w:rPr>
          <w:t>N 31</w:t>
        </w:r>
      </w:hyperlink>
      <w:r w:rsidRPr="00A717DC">
        <w:rPr>
          <w:rFonts w:cstheme="minorHAnsi"/>
          <w:sz w:val="24"/>
          <w:szCs w:val="24"/>
        </w:rPr>
        <w:t xml:space="preserve">, от 06.03.2013 </w:t>
      </w:r>
      <w:hyperlink r:id="rId10" w:history="1">
        <w:r w:rsidRPr="00A717DC">
          <w:rPr>
            <w:rFonts w:cstheme="minorHAnsi"/>
            <w:sz w:val="24"/>
            <w:szCs w:val="24"/>
          </w:rPr>
          <w:t>N 8</w:t>
        </w:r>
      </w:hyperlink>
      <w:r w:rsidRPr="00A717DC">
        <w:rPr>
          <w:rFonts w:cstheme="minorHAnsi"/>
          <w:sz w:val="24"/>
          <w:szCs w:val="24"/>
        </w:rPr>
        <w:t xml:space="preserve">, от 28.04.2018 </w:t>
      </w:r>
      <w:hyperlink r:id="rId11" w:history="1">
        <w:r w:rsidRPr="00A717DC">
          <w:rPr>
            <w:rFonts w:cstheme="minorHAnsi"/>
            <w:sz w:val="24"/>
            <w:szCs w:val="24"/>
          </w:rPr>
          <w:t>N 20</w:t>
        </w:r>
      </w:hyperlink>
      <w:r w:rsidRPr="00A717DC">
        <w:rPr>
          <w:rFonts w:cstheme="minorHAnsi"/>
          <w:sz w:val="24"/>
          <w:szCs w:val="24"/>
        </w:rPr>
        <w:t>,</w:t>
      </w:r>
    </w:p>
    <w:p w:rsidR="00985571" w:rsidRPr="00A717DC" w:rsidRDefault="00A717DC" w:rsidP="00A717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 xml:space="preserve">от 25.10.2018 </w:t>
      </w:r>
      <w:hyperlink r:id="rId12" w:history="1">
        <w:r w:rsidRPr="00A717DC">
          <w:rPr>
            <w:rFonts w:cstheme="minorHAnsi"/>
            <w:sz w:val="24"/>
            <w:szCs w:val="24"/>
          </w:rPr>
          <w:t>N 75</w:t>
        </w:r>
      </w:hyperlink>
      <w:r w:rsidRPr="00A717DC">
        <w:rPr>
          <w:rFonts w:cstheme="minorHAnsi"/>
          <w:sz w:val="24"/>
          <w:szCs w:val="24"/>
        </w:rPr>
        <w:t xml:space="preserve">, от 04.06.2019 </w:t>
      </w:r>
      <w:hyperlink r:id="rId13" w:history="1">
        <w:r w:rsidRPr="00A717DC">
          <w:rPr>
            <w:rFonts w:cstheme="minorHAnsi"/>
            <w:sz w:val="24"/>
            <w:szCs w:val="24"/>
          </w:rPr>
          <w:t>N 41</w:t>
        </w:r>
      </w:hyperlink>
      <w:r w:rsidRPr="00A717DC">
        <w:rPr>
          <w:rFonts w:cstheme="minorHAnsi"/>
          <w:sz w:val="24"/>
          <w:szCs w:val="24"/>
        </w:rPr>
        <w:t xml:space="preserve">, от 02.03.2020 </w:t>
      </w:r>
      <w:hyperlink r:id="rId14" w:history="1">
        <w:r w:rsidRPr="00A717DC">
          <w:rPr>
            <w:rFonts w:cstheme="minorHAnsi"/>
            <w:sz w:val="24"/>
            <w:szCs w:val="24"/>
          </w:rPr>
          <w:t>N 1</w:t>
        </w:r>
      </w:hyperlink>
      <w:r w:rsidRPr="00A717DC">
        <w:rPr>
          <w:rFonts w:cstheme="minorHAnsi"/>
          <w:sz w:val="24"/>
          <w:szCs w:val="24"/>
        </w:rPr>
        <w:t>)</w:t>
      </w:r>
    </w:p>
    <w:p w:rsidR="00A717DC" w:rsidRDefault="00A717DC" w:rsidP="00A717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</w:p>
    <w:p w:rsidR="00A717DC" w:rsidRPr="00D213F1" w:rsidRDefault="00A717DC" w:rsidP="00A717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>Настоящий Закон регулирует порядок определения и учета прожиточного минимума в Чувашской Республике при осуществлении необходимых мер социальной поддержки граждан, проживающих в Чувашской Республике.</w:t>
      </w:r>
    </w:p>
    <w:p w:rsidR="00637221" w:rsidRPr="00A717DC" w:rsidRDefault="00637221" w:rsidP="0063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A717DC">
        <w:rPr>
          <w:rFonts w:cstheme="minorHAnsi"/>
          <w:b/>
          <w:bCs/>
          <w:sz w:val="24"/>
          <w:szCs w:val="24"/>
        </w:rPr>
        <w:t>Статья 1. Основные понятия, используемые в настоящем Законе Чувашской Республики</w:t>
      </w: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>В настоящем Законе Чувашской Республики используются следующие основные понятия:</w:t>
      </w:r>
    </w:p>
    <w:p w:rsidR="00A717DC" w:rsidRPr="00A717DC" w:rsidRDefault="00A717DC" w:rsidP="00A717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>потребительская корзина - необходимые для сохранения здоровья человека и обеспечения его жизнедеятельности минимальный набор продуктов питания, а также непродовольственные товары и услуги, стоимость которых определяется в соотношении со стоимостью минимального набора продуктов питания;</w:t>
      </w:r>
    </w:p>
    <w:p w:rsidR="00A717DC" w:rsidRPr="00A717DC" w:rsidRDefault="00A717DC" w:rsidP="00A717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>прожиточный минимум - стоимостная оценка потребительской корзины, а также обязательные платежи и сборы;</w:t>
      </w:r>
    </w:p>
    <w:p w:rsidR="00A717DC" w:rsidRPr="00A717DC" w:rsidRDefault="00A717DC" w:rsidP="00A717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>семья - лица, связанные родством и (или) свойством, совместно проживающие и ведущие совместное хозяйство;</w:t>
      </w:r>
    </w:p>
    <w:p w:rsidR="00A717DC" w:rsidRPr="00A717DC" w:rsidRDefault="00A717DC" w:rsidP="00A717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>основные социально-демографические группы населения - трудоспособное население, пенсионеры, дети;</w:t>
      </w:r>
    </w:p>
    <w:p w:rsidR="00A717DC" w:rsidRPr="00A717DC" w:rsidRDefault="00A717DC" w:rsidP="00A717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>среднедушевой доход семьи (одиноко проживающего гражданина) - совокупная сумма доходов каждого члена семьи (одиноко проживающего гражданина), деленная на число всех членов семьи.</w:t>
      </w:r>
    </w:p>
    <w:p w:rsidR="00A717DC" w:rsidRDefault="00A717DC" w:rsidP="0063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</w:p>
    <w:p w:rsidR="00A717DC" w:rsidRDefault="00A717DC" w:rsidP="0063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</w:p>
    <w:p w:rsidR="00A717DC" w:rsidRDefault="00A717DC" w:rsidP="0063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A717DC">
        <w:rPr>
          <w:rFonts w:cstheme="minorHAnsi"/>
          <w:b/>
          <w:bCs/>
          <w:sz w:val="24"/>
          <w:szCs w:val="24"/>
        </w:rPr>
        <w:lastRenderedPageBreak/>
        <w:t>Статья 2. Назначение прожиточного минимума</w:t>
      </w: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 xml:space="preserve">Прожиточный минимум в целом по Чувашской Республике предназначается </w:t>
      </w:r>
      <w:proofErr w:type="gramStart"/>
      <w:r w:rsidRPr="00A717DC">
        <w:rPr>
          <w:rFonts w:cstheme="minorHAnsi"/>
          <w:sz w:val="24"/>
          <w:szCs w:val="24"/>
        </w:rPr>
        <w:t>для</w:t>
      </w:r>
      <w:proofErr w:type="gramEnd"/>
      <w:r w:rsidRPr="00A717DC">
        <w:rPr>
          <w:rFonts w:cstheme="minorHAnsi"/>
          <w:sz w:val="24"/>
          <w:szCs w:val="24"/>
        </w:rPr>
        <w:t>:</w:t>
      </w:r>
    </w:p>
    <w:p w:rsidR="00A717DC" w:rsidRPr="00A717DC" w:rsidRDefault="00A717DC" w:rsidP="00A717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>оценки уровня жизни населения Чувашской Республики при разработке и реализации республиканских социальных программ;</w:t>
      </w:r>
    </w:p>
    <w:p w:rsidR="00A717DC" w:rsidRPr="00A717DC" w:rsidRDefault="00A717DC" w:rsidP="00A717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>оказания необходимой социальной поддержки малоимущим гражданам;</w:t>
      </w:r>
    </w:p>
    <w:p w:rsidR="00A717DC" w:rsidRPr="00A717DC" w:rsidRDefault="00A717DC" w:rsidP="00A717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>формирования республиканского бюджета Чувашской Республики;</w:t>
      </w:r>
    </w:p>
    <w:p w:rsidR="00A717DC" w:rsidRPr="00A717DC" w:rsidRDefault="00A717DC" w:rsidP="00A717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 xml:space="preserve">других установленных федеральным </w:t>
      </w:r>
      <w:hyperlink r:id="rId15" w:history="1">
        <w:r w:rsidRPr="00A717DC">
          <w:rPr>
            <w:rFonts w:cstheme="minorHAnsi"/>
            <w:color w:val="0000FF"/>
            <w:sz w:val="24"/>
            <w:szCs w:val="24"/>
          </w:rPr>
          <w:t>законом</w:t>
        </w:r>
      </w:hyperlink>
      <w:r w:rsidRPr="00A717DC">
        <w:rPr>
          <w:rFonts w:cstheme="minorHAnsi"/>
          <w:sz w:val="24"/>
          <w:szCs w:val="24"/>
        </w:rPr>
        <w:t xml:space="preserve"> целей.</w:t>
      </w: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A717DC">
        <w:rPr>
          <w:rFonts w:cstheme="minorHAnsi"/>
          <w:b/>
          <w:bCs/>
          <w:sz w:val="24"/>
          <w:szCs w:val="24"/>
        </w:rPr>
        <w:t>Статья 3. Определение потребительской корзины, порядок ее установления</w:t>
      </w: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 xml:space="preserve">1. Потребительская корзина для основных социально-демографических групп населения в целом по Чувашской Республике </w:t>
      </w:r>
      <w:proofErr w:type="gramStart"/>
      <w:r w:rsidRPr="00A717DC">
        <w:rPr>
          <w:rFonts w:cstheme="minorHAnsi"/>
          <w:sz w:val="24"/>
          <w:szCs w:val="24"/>
        </w:rPr>
        <w:t>разрабатывается с участием Республиканской трехсторонней комиссии по регулированию социально-трудовых отношений и определяется</w:t>
      </w:r>
      <w:proofErr w:type="gramEnd"/>
      <w:r w:rsidRPr="00A717DC">
        <w:rPr>
          <w:rFonts w:cstheme="minorHAnsi"/>
          <w:sz w:val="24"/>
          <w:szCs w:val="24"/>
        </w:rPr>
        <w:t xml:space="preserve"> не реже одного раза в пять лет на основе методических </w:t>
      </w:r>
      <w:hyperlink r:id="rId16" w:history="1">
        <w:r w:rsidRPr="00A717DC">
          <w:rPr>
            <w:rFonts w:cstheme="minorHAnsi"/>
            <w:color w:val="0000FF"/>
            <w:sz w:val="24"/>
            <w:szCs w:val="24"/>
          </w:rPr>
          <w:t>рекомендаций</w:t>
        </w:r>
      </w:hyperlink>
      <w:r w:rsidRPr="00A717DC">
        <w:rPr>
          <w:rFonts w:cstheme="minorHAnsi"/>
          <w:sz w:val="24"/>
          <w:szCs w:val="24"/>
        </w:rPr>
        <w:t>, утверждаемых Правительством Российской Федерации.</w:t>
      </w:r>
    </w:p>
    <w:p w:rsidR="00A717DC" w:rsidRPr="00A717DC" w:rsidRDefault="00A717DC" w:rsidP="00A717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 xml:space="preserve">2. Потребительская корзина в целом по Чувашской Республике устанавливается </w:t>
      </w:r>
      <w:hyperlink r:id="rId17" w:history="1">
        <w:r w:rsidRPr="00A717DC">
          <w:rPr>
            <w:rFonts w:cstheme="minorHAnsi"/>
            <w:color w:val="0000FF"/>
            <w:sz w:val="24"/>
            <w:szCs w:val="24"/>
          </w:rPr>
          <w:t>законом</w:t>
        </w:r>
      </w:hyperlink>
      <w:r w:rsidRPr="00A717DC">
        <w:rPr>
          <w:rFonts w:cstheme="minorHAnsi"/>
          <w:sz w:val="24"/>
          <w:szCs w:val="24"/>
        </w:rPr>
        <w:t xml:space="preserve"> Чувашской Республики по представлению Кабинета Министров Чувашской Республики с учетом природно-климатических условий, национальных традиций и местных особенностей потребления продуктов питания, непродовольственных товаров и услуг основными социально-демографическими группами населения.</w:t>
      </w: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A717DC">
        <w:rPr>
          <w:rFonts w:cstheme="minorHAnsi"/>
          <w:b/>
          <w:bCs/>
          <w:sz w:val="24"/>
          <w:szCs w:val="24"/>
        </w:rPr>
        <w:t>Статья 4. Величина прожиточного минимума, периодичность ее исчисления и порядок установления</w:t>
      </w: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 xml:space="preserve">1. </w:t>
      </w:r>
      <w:proofErr w:type="gramStart"/>
      <w:r w:rsidRPr="00A717DC">
        <w:rPr>
          <w:rFonts w:cstheme="minorHAnsi"/>
          <w:sz w:val="24"/>
          <w:szCs w:val="24"/>
        </w:rPr>
        <w:t xml:space="preserve">Величина прожиточного минимума на душу населения в целом по Чувашской Республике и по основным социально-демографическим группам населения (за исключением случаев, предусмотренных </w:t>
      </w:r>
      <w:hyperlink w:anchor="Par26" w:history="1">
        <w:r w:rsidRPr="00A717DC">
          <w:rPr>
            <w:rFonts w:cstheme="minorHAnsi"/>
            <w:color w:val="0000FF"/>
            <w:sz w:val="24"/>
            <w:szCs w:val="24"/>
          </w:rPr>
          <w:t>пунктом 3</w:t>
        </w:r>
      </w:hyperlink>
      <w:r w:rsidRPr="00A717DC">
        <w:rPr>
          <w:rFonts w:cstheme="minorHAnsi"/>
          <w:sz w:val="24"/>
          <w:szCs w:val="24"/>
        </w:rPr>
        <w:t xml:space="preserve"> настоящей статьи) устанавливается ежеквартально на основании потребительской корзины и данных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об уровне потребительских цен</w:t>
      </w:r>
      <w:proofErr w:type="gramEnd"/>
      <w:r w:rsidRPr="00A717DC">
        <w:rPr>
          <w:rFonts w:cstheme="minorHAnsi"/>
          <w:sz w:val="24"/>
          <w:szCs w:val="24"/>
        </w:rPr>
        <w:t xml:space="preserve"> на продукты питания и </w:t>
      </w:r>
      <w:proofErr w:type="gramStart"/>
      <w:r w:rsidRPr="00A717DC">
        <w:rPr>
          <w:rFonts w:cstheme="minorHAnsi"/>
          <w:sz w:val="24"/>
          <w:szCs w:val="24"/>
        </w:rPr>
        <w:t>индексах</w:t>
      </w:r>
      <w:proofErr w:type="gramEnd"/>
      <w:r w:rsidRPr="00A717DC">
        <w:rPr>
          <w:rFonts w:cstheme="minorHAnsi"/>
          <w:sz w:val="24"/>
          <w:szCs w:val="24"/>
        </w:rPr>
        <w:t xml:space="preserve"> потребительских цен на продукты питания, непродовольственные товары и услуги и расходов по обязательным платежам и сборам.</w:t>
      </w:r>
    </w:p>
    <w:p w:rsidR="00A717DC" w:rsidRPr="00A717DC" w:rsidRDefault="00A717DC" w:rsidP="00A717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 xml:space="preserve">1.1. При снижении расчетной величины прожиточного минимума на душу населения в целом по Чувашской Республике и </w:t>
      </w:r>
      <w:proofErr w:type="gramStart"/>
      <w:r w:rsidRPr="00A717DC">
        <w:rPr>
          <w:rFonts w:cstheme="minorHAnsi"/>
          <w:sz w:val="24"/>
          <w:szCs w:val="24"/>
        </w:rPr>
        <w:t>по</w:t>
      </w:r>
      <w:proofErr w:type="gramEnd"/>
      <w:r w:rsidRPr="00A717DC">
        <w:rPr>
          <w:rFonts w:cstheme="minorHAnsi"/>
          <w:sz w:val="24"/>
          <w:szCs w:val="24"/>
        </w:rPr>
        <w:t xml:space="preserve"> </w:t>
      </w:r>
      <w:proofErr w:type="gramStart"/>
      <w:r w:rsidRPr="00A717DC">
        <w:rPr>
          <w:rFonts w:cstheme="minorHAnsi"/>
          <w:sz w:val="24"/>
          <w:szCs w:val="24"/>
        </w:rPr>
        <w:t>основным</w:t>
      </w:r>
      <w:proofErr w:type="gramEnd"/>
      <w:r w:rsidRPr="00A717DC">
        <w:rPr>
          <w:rFonts w:cstheme="minorHAnsi"/>
          <w:sz w:val="24"/>
          <w:szCs w:val="24"/>
        </w:rPr>
        <w:t xml:space="preserve"> социально-демографическим группам населения на очередной квартал величина прожиточного минимума на душу населения в целом по Чувашской Республике и по основным социально-демографическим группам населения устанавливается на уровне предыдущего квартала.</w:t>
      </w:r>
    </w:p>
    <w:p w:rsidR="00A717DC" w:rsidRPr="00A717DC" w:rsidRDefault="00A717DC" w:rsidP="00A717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A717DC">
        <w:rPr>
          <w:rFonts w:cstheme="minorHAnsi"/>
          <w:sz w:val="24"/>
          <w:szCs w:val="24"/>
        </w:rPr>
        <w:t xml:space="preserve">2. </w:t>
      </w:r>
      <w:r w:rsidRPr="00A717DC">
        <w:rPr>
          <w:rFonts w:cstheme="minorHAnsi"/>
          <w:sz w:val="24"/>
          <w:szCs w:val="24"/>
        </w:rPr>
        <w:fldChar w:fldCharType="begin"/>
      </w:r>
      <w:r w:rsidRPr="00A717DC">
        <w:rPr>
          <w:rFonts w:cstheme="minorHAnsi"/>
          <w:sz w:val="24"/>
          <w:szCs w:val="24"/>
        </w:rPr>
        <w:instrText xml:space="preserve">HYPERLINK consultantplus://offline/ref=5AEFAF025FADDA5A38F2EBA1F889C133C78E43CC801520B5BD02B7ADDB63CCBFFFC7D83B375794946F720C20A31A5BCE0CFAA907C2B0336A042F88I4j9G </w:instrText>
      </w:r>
      <w:r w:rsidRPr="00A717DC">
        <w:rPr>
          <w:rFonts w:cstheme="minorHAnsi"/>
          <w:sz w:val="24"/>
          <w:szCs w:val="24"/>
        </w:rPr>
      </w:r>
      <w:r w:rsidRPr="00A717DC">
        <w:rPr>
          <w:rFonts w:cstheme="minorHAnsi"/>
          <w:sz w:val="24"/>
          <w:szCs w:val="24"/>
        </w:rPr>
        <w:fldChar w:fldCharType="separate"/>
      </w:r>
      <w:r w:rsidRPr="00A717DC">
        <w:rPr>
          <w:rFonts w:cstheme="minorHAnsi"/>
          <w:color w:val="0000FF"/>
          <w:sz w:val="24"/>
          <w:szCs w:val="24"/>
        </w:rPr>
        <w:t>Величина</w:t>
      </w:r>
      <w:r w:rsidRPr="00A717DC">
        <w:rPr>
          <w:rFonts w:cstheme="minorHAnsi"/>
          <w:sz w:val="24"/>
          <w:szCs w:val="24"/>
        </w:rPr>
        <w:fldChar w:fldCharType="end"/>
      </w:r>
      <w:r w:rsidRPr="00A717DC">
        <w:rPr>
          <w:rFonts w:cstheme="minorHAnsi"/>
          <w:sz w:val="24"/>
          <w:szCs w:val="24"/>
        </w:rPr>
        <w:t xml:space="preserve"> прожиточного минимума на душу населения в целом по Чувашской Республике и по основным социально-демографическим группам населения (за исключением случаев, предусмотренных </w:t>
      </w:r>
      <w:hyperlink w:anchor="Par26" w:history="1">
        <w:r w:rsidRPr="00A717DC">
          <w:rPr>
            <w:rFonts w:cstheme="minorHAnsi"/>
            <w:color w:val="0000FF"/>
            <w:sz w:val="24"/>
            <w:szCs w:val="24"/>
          </w:rPr>
          <w:t>пунктом 3</w:t>
        </w:r>
      </w:hyperlink>
      <w:r w:rsidRPr="00A717DC">
        <w:rPr>
          <w:rFonts w:cstheme="minorHAnsi"/>
          <w:sz w:val="24"/>
          <w:szCs w:val="24"/>
        </w:rPr>
        <w:t xml:space="preserve"> настоящей статьи) устанавливается </w:t>
      </w:r>
      <w:r w:rsidRPr="00A717DC">
        <w:rPr>
          <w:rFonts w:cstheme="minorHAnsi"/>
          <w:sz w:val="24"/>
          <w:szCs w:val="24"/>
        </w:rPr>
        <w:lastRenderedPageBreak/>
        <w:t>Кабинетом Министров Чувашской Республики не позднее 20 числа второго месяца, следующего за отчетным кварталом.</w:t>
      </w:r>
    </w:p>
    <w:p w:rsidR="00A717DC" w:rsidRPr="00A717DC" w:rsidRDefault="00A717DC" w:rsidP="00A717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bookmarkStart w:id="1" w:name="Par26"/>
      <w:bookmarkEnd w:id="1"/>
      <w:r w:rsidRPr="00A717DC">
        <w:rPr>
          <w:rFonts w:cstheme="minorHAnsi"/>
          <w:sz w:val="24"/>
          <w:szCs w:val="24"/>
        </w:rPr>
        <w:t xml:space="preserve">3. </w:t>
      </w:r>
      <w:hyperlink r:id="rId18" w:history="1">
        <w:proofErr w:type="gramStart"/>
        <w:r w:rsidRPr="00A717DC">
          <w:rPr>
            <w:rFonts w:cstheme="minorHAnsi"/>
            <w:color w:val="0000FF"/>
            <w:sz w:val="24"/>
            <w:szCs w:val="24"/>
          </w:rPr>
          <w:t>Величина</w:t>
        </w:r>
      </w:hyperlink>
      <w:r w:rsidRPr="00A717DC">
        <w:rPr>
          <w:rFonts w:cstheme="minorHAnsi"/>
          <w:sz w:val="24"/>
          <w:szCs w:val="24"/>
        </w:rPr>
        <w:t xml:space="preserve"> прожиточного минимума пенсионера в Чувашской Республике в целях установления социальной доплаты к пенсии, предусмотренной Федеральным </w:t>
      </w:r>
      <w:hyperlink r:id="rId19" w:history="1">
        <w:r w:rsidRPr="00A717DC">
          <w:rPr>
            <w:rFonts w:cstheme="minorHAnsi"/>
            <w:color w:val="0000FF"/>
            <w:sz w:val="24"/>
            <w:szCs w:val="24"/>
          </w:rPr>
          <w:t>законом</w:t>
        </w:r>
      </w:hyperlink>
      <w:r w:rsidRPr="00A717DC">
        <w:rPr>
          <w:rFonts w:cstheme="minorHAnsi"/>
          <w:sz w:val="24"/>
          <w:szCs w:val="24"/>
        </w:rPr>
        <w:t xml:space="preserve"> от 17 июля 1999 года N 178-ФЗ "О государственной социальной помощи", устанавливается на соответствующий финансовый год законом Чувашской Республики в соответствии с правилами определения величины прожиточного минимума пенсионера, утверждаемыми в соответствии с законодательством Российской Федерации Правительством Российской Федерации, и доводится уполномоченным органом исполнительной</w:t>
      </w:r>
      <w:proofErr w:type="gramEnd"/>
      <w:r w:rsidRPr="00A717DC">
        <w:rPr>
          <w:rFonts w:cstheme="minorHAnsi"/>
          <w:sz w:val="24"/>
          <w:szCs w:val="24"/>
        </w:rPr>
        <w:t xml:space="preserve"> власти Чувашской Республики, определяемым Кабинетом Министров Чувашской Республики, до сведения Пенсионного фонда Российской Федерации не позднее 15 сентября года, предшествующего наступлению финансового года, на который она установлена.</w:t>
      </w:r>
    </w:p>
    <w:p w:rsidR="00A717DC" w:rsidRPr="00A717DC" w:rsidRDefault="00A717DC" w:rsidP="0063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A717DC">
        <w:rPr>
          <w:rFonts w:cstheme="minorHAnsi"/>
          <w:b/>
          <w:bCs/>
          <w:sz w:val="24"/>
          <w:szCs w:val="24"/>
        </w:rPr>
        <w:t>Статья 5. Учет величины прожиточного минимума при оказании социальной поддержки гражданам в Чувашской Республике</w:t>
      </w:r>
    </w:p>
    <w:p w:rsidR="00A717DC" w:rsidRDefault="00A717DC" w:rsidP="00A71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>1. Семья (одиноко проживающий гражданин), среднедушевой доход которой (доход которого) ниже величины установленного прожиточного минимума в Чувашской Республике считается малоимущей (малоимущим) и имеет право на получение социальной поддержки.</w:t>
      </w:r>
    </w:p>
    <w:p w:rsidR="00A717DC" w:rsidRPr="00A717DC" w:rsidRDefault="00A717DC" w:rsidP="00A717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A717DC">
        <w:rPr>
          <w:rFonts w:cstheme="minorHAnsi"/>
          <w:sz w:val="24"/>
          <w:szCs w:val="24"/>
        </w:rPr>
        <w:t>2. Условия и порядок предоставления социальной поддержки малоимущим семьям (гражданам) устанавливаются в соответствии с законодательством Чувашской Республики.</w:t>
      </w: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A717DC">
        <w:rPr>
          <w:rFonts w:cstheme="minorHAnsi"/>
          <w:b/>
          <w:bCs/>
          <w:sz w:val="24"/>
          <w:szCs w:val="24"/>
        </w:rPr>
        <w:t>Статья 6. Публикация сведений о величине прожиточного минимума</w:t>
      </w: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17DC" w:rsidRPr="00A717DC" w:rsidRDefault="00A717DC" w:rsidP="00A71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A717DC">
        <w:rPr>
          <w:rFonts w:cstheme="minorHAnsi"/>
          <w:sz w:val="24"/>
          <w:szCs w:val="24"/>
        </w:rPr>
        <w:t>Сведения о величине прожиточного минимума на душу населения в целом по Чувашской Республике и по основным социально-демографическим группам населения подлежат ежеквартальному официальному опубликованию, а также в соответствии с законодательством Российской Федерации размещению на официальном сайте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в информационно-телекоммуникационной</w:t>
      </w:r>
      <w:proofErr w:type="gramEnd"/>
      <w:r w:rsidRPr="00A717DC">
        <w:rPr>
          <w:rFonts w:cstheme="minorHAnsi"/>
          <w:sz w:val="24"/>
          <w:szCs w:val="24"/>
        </w:rPr>
        <w:t xml:space="preserve"> сети "Интернет".</w:t>
      </w:r>
    </w:p>
    <w:p w:rsidR="00A717DC" w:rsidRDefault="00A717DC" w:rsidP="0063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sectPr w:rsidR="00A717DC" w:rsidSect="00A717DC">
      <w:headerReference w:type="default" r:id="rId20"/>
      <w:pgSz w:w="11905" w:h="16838"/>
      <w:pgMar w:top="1135" w:right="850" w:bottom="568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F3" w:rsidRDefault="00BB4EF3" w:rsidP="003204DF">
      <w:pPr>
        <w:spacing w:after="0" w:line="240" w:lineRule="auto"/>
      </w:pPr>
      <w:r>
        <w:separator/>
      </w:r>
    </w:p>
  </w:endnote>
  <w:endnote w:type="continuationSeparator" w:id="0">
    <w:p w:rsidR="00BB4EF3" w:rsidRDefault="00BB4EF3" w:rsidP="0032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F3" w:rsidRDefault="00BB4EF3" w:rsidP="003204DF">
      <w:pPr>
        <w:spacing w:after="0" w:line="240" w:lineRule="auto"/>
      </w:pPr>
      <w:r>
        <w:separator/>
      </w:r>
    </w:p>
  </w:footnote>
  <w:footnote w:type="continuationSeparator" w:id="0">
    <w:p w:rsidR="00BB4EF3" w:rsidRDefault="00BB4EF3" w:rsidP="0032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785890"/>
      <w:docPartObj>
        <w:docPartGallery w:val="Page Numbers (Top of Page)"/>
        <w:docPartUnique/>
      </w:docPartObj>
    </w:sdtPr>
    <w:sdtEndPr/>
    <w:sdtContent>
      <w:p w:rsidR="00A15E08" w:rsidRDefault="00A15E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A84">
          <w:rPr>
            <w:noProof/>
          </w:rPr>
          <w:t>3</w:t>
        </w:r>
        <w:r>
          <w:fldChar w:fldCharType="end"/>
        </w:r>
      </w:p>
    </w:sdtContent>
  </w:sdt>
  <w:p w:rsidR="00A15E08" w:rsidRDefault="00A15E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F"/>
    <w:rsid w:val="000738D9"/>
    <w:rsid w:val="000C51D8"/>
    <w:rsid w:val="001F066F"/>
    <w:rsid w:val="001F6899"/>
    <w:rsid w:val="001F70D9"/>
    <w:rsid w:val="00202BEF"/>
    <w:rsid w:val="00217165"/>
    <w:rsid w:val="00244D29"/>
    <w:rsid w:val="002601A7"/>
    <w:rsid w:val="00273481"/>
    <w:rsid w:val="002752B1"/>
    <w:rsid w:val="003204DF"/>
    <w:rsid w:val="00331D0F"/>
    <w:rsid w:val="003826AF"/>
    <w:rsid w:val="003A35CA"/>
    <w:rsid w:val="003B541F"/>
    <w:rsid w:val="003C35F4"/>
    <w:rsid w:val="003E17CA"/>
    <w:rsid w:val="004A52E6"/>
    <w:rsid w:val="004B6F7D"/>
    <w:rsid w:val="00506C3F"/>
    <w:rsid w:val="005259D5"/>
    <w:rsid w:val="00616E22"/>
    <w:rsid w:val="00637221"/>
    <w:rsid w:val="006711BE"/>
    <w:rsid w:val="00682AC1"/>
    <w:rsid w:val="00695B88"/>
    <w:rsid w:val="006C3AED"/>
    <w:rsid w:val="006D7142"/>
    <w:rsid w:val="00711A75"/>
    <w:rsid w:val="007716DD"/>
    <w:rsid w:val="007734BC"/>
    <w:rsid w:val="008243EE"/>
    <w:rsid w:val="00843823"/>
    <w:rsid w:val="00985571"/>
    <w:rsid w:val="009D4BE1"/>
    <w:rsid w:val="00A06C74"/>
    <w:rsid w:val="00A15E08"/>
    <w:rsid w:val="00A717DC"/>
    <w:rsid w:val="00A81B78"/>
    <w:rsid w:val="00A84AD3"/>
    <w:rsid w:val="00AB0793"/>
    <w:rsid w:val="00AB29CF"/>
    <w:rsid w:val="00AD7748"/>
    <w:rsid w:val="00AE182C"/>
    <w:rsid w:val="00B46BE2"/>
    <w:rsid w:val="00B86F54"/>
    <w:rsid w:val="00BA3441"/>
    <w:rsid w:val="00BB4EF3"/>
    <w:rsid w:val="00BB73D6"/>
    <w:rsid w:val="00C23181"/>
    <w:rsid w:val="00C234A9"/>
    <w:rsid w:val="00D213F1"/>
    <w:rsid w:val="00D47F86"/>
    <w:rsid w:val="00D75C47"/>
    <w:rsid w:val="00DA5A84"/>
    <w:rsid w:val="00DC11C8"/>
    <w:rsid w:val="00E66FEC"/>
    <w:rsid w:val="00E83286"/>
    <w:rsid w:val="00ED456D"/>
    <w:rsid w:val="00F35D8E"/>
    <w:rsid w:val="00F4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Balloon Text"/>
    <w:basedOn w:val="a"/>
    <w:link w:val="a8"/>
    <w:uiPriority w:val="99"/>
    <w:semiHidden/>
    <w:unhideWhenUsed/>
    <w:rsid w:val="003E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7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43EE"/>
    <w:pPr>
      <w:ind w:left="720"/>
      <w:contextualSpacing/>
    </w:pPr>
  </w:style>
  <w:style w:type="paragraph" w:styleId="aa">
    <w:name w:val="No Spacing"/>
    <w:uiPriority w:val="1"/>
    <w:qFormat/>
    <w:rsid w:val="00244D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Balloon Text"/>
    <w:basedOn w:val="a"/>
    <w:link w:val="a8"/>
    <w:uiPriority w:val="99"/>
    <w:semiHidden/>
    <w:unhideWhenUsed/>
    <w:rsid w:val="003E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7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43EE"/>
    <w:pPr>
      <w:ind w:left="720"/>
      <w:contextualSpacing/>
    </w:pPr>
  </w:style>
  <w:style w:type="paragraph" w:styleId="aa">
    <w:name w:val="No Spacing"/>
    <w:uiPriority w:val="1"/>
    <w:qFormat/>
    <w:rsid w:val="00244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5078190CD2C03031578E816DDA4BD5D4F4537078B6C9CF6AA485371B2202AFBB0A2C421F7415D98C187E3DCB1CDDF8164E2BAB826F95AAA2DA2BG9h8G" TargetMode="External"/><Relationship Id="rId13" Type="http://schemas.openxmlformats.org/officeDocument/2006/relationships/hyperlink" Target="consultantplus://offline/ref=2F5078190CD2C03031578E816DDA4BD5D4F453707AB4CBCC69A9D83D137B0EADBC057355183D19D88C187E35C843D8ED071626A3947197B6BED8299BG4h7G" TargetMode="External"/><Relationship Id="rId18" Type="http://schemas.openxmlformats.org/officeDocument/2006/relationships/hyperlink" Target="consultantplus://offline/ref=5AEFAF025FADDA5A38F2EBA1F889C133C78E43CC801520B5BD02B7ADDB63CCBFFFC7D83B375794946F720D29A31A5BCE0CFAA907C2B0336A042F88I4j9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F5078190CD2C03031578E816DDA4BD5D4F453707AB6CBC86BA485371B2202AFBB0A2C421F7415D98C187E32CB1CDDF8164E2BAB826F95AAA2DA2BG9h8G" TargetMode="External"/><Relationship Id="rId12" Type="http://schemas.openxmlformats.org/officeDocument/2006/relationships/hyperlink" Target="consultantplus://offline/ref=2F5078190CD2C03031578E816DDA4BD5D4F453707AB6CFCD6FAED83D137B0EADBC057355183D19D88C187E35C843D8ED071626A3947197B6BED8299BG4h7G" TargetMode="External"/><Relationship Id="rId17" Type="http://schemas.openxmlformats.org/officeDocument/2006/relationships/hyperlink" Target="consultantplus://offline/ref=5AEFAF025FADDA5A38F2EBA1F889C133C78E43CC801722B7B308EAA7D33AC0BDF8C8872C221EC0996F7A1720AA50088A5BIFj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EFAF025FADDA5A38F2F5ACEEE59F37CC8419C6861F29E1E65DECF08C6AC6E8B8888179735A95956B795D71EC1B078A51E9A90DC2B23176I0j7G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5078190CD2C03031578E816DDA4BD5D4F453707AB5CCCA65ACD83D137B0EADBC057355183D19D88C187E35C843D8ED071626A3947197B6BED8299BG4h7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AEFAF025FADDA5A38F2F5ACEEE59F37CC821FC9871729E1E65DECF08C6AC6E8B8888179735A95916C795D71EC1B078A51E9A90DC2B23176I0j7G" TargetMode="External"/><Relationship Id="rId10" Type="http://schemas.openxmlformats.org/officeDocument/2006/relationships/hyperlink" Target="consultantplus://offline/ref=2F5078190CD2C03031578E816DDA4BD5D4F453707EB0CBC16AA485371B2202AFBB0A2C421F7415D98C187E3DCB1CDDF8164E2BAB826F95AAA2DA2BG9h8G" TargetMode="External"/><Relationship Id="rId19" Type="http://schemas.openxmlformats.org/officeDocument/2006/relationships/hyperlink" Target="consultantplus://offline/ref=5AEFAF025FADDA5A38F2F5ACEEE59F37CC801AC0841129E1E65DECF08C6AC6E8B888817970529EC03E365C2DA846148A5BE9AB0FDEIBj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5078190CD2C03031578E816DDA4BD5D4F453707FBCC6CE6AA485371B2202AFBB0A2C421F7415D98C187E3DCB1CDDF8164E2BAB826F95AAA2DA2BG9h8G" TargetMode="External"/><Relationship Id="rId14" Type="http://schemas.openxmlformats.org/officeDocument/2006/relationships/hyperlink" Target="consultantplus://offline/ref=2F5078190CD2C03031578E816DDA4BD5D4F453707AB7CCC865AED83D137B0EADBC057355183D19D88C187E35C843D8ED071626A3947197B6BED8299BG4h7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Митюков Николай Иванович</cp:lastModifiedBy>
  <cp:revision>34</cp:revision>
  <cp:lastPrinted>2020-03-02T07:26:00Z</cp:lastPrinted>
  <dcterms:created xsi:type="dcterms:W3CDTF">2017-05-25T10:32:00Z</dcterms:created>
  <dcterms:modified xsi:type="dcterms:W3CDTF">2021-02-08T06:41:00Z</dcterms:modified>
</cp:coreProperties>
</file>