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8D" w:rsidRPr="00BC648E" w:rsidRDefault="00071A8D" w:rsidP="00071A8D">
      <w:pPr>
        <w:spacing w:line="276" w:lineRule="auto"/>
        <w:jc w:val="center"/>
        <w:rPr>
          <w:sz w:val="40"/>
          <w:szCs w:val="40"/>
        </w:rPr>
      </w:pPr>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9"/>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денежных доходов, а доля доходов, направленная на оплату товаров за 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drawing>
          <wp:inline distT="0" distB="0" distL="0" distR="0">
            <wp:extent cx="6677025" cy="4705350"/>
            <wp:effectExtent l="0" t="0" r="0" b="0"/>
            <wp:docPr id="3" name="Диаграмма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0" w:name="_Toc536102396"/>
    </w:p>
    <w:bookmarkEnd w:id="0"/>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drawing>
          <wp:inline distT="0" distB="0" distL="0" distR="0">
            <wp:extent cx="5676265" cy="3987209"/>
            <wp:effectExtent l="0" t="0" r="635" b="0"/>
            <wp:docPr id="4" name="Диаграмма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Также российское гражданство приобрели 455 детей (-24,5%), над 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63"/>
        <w:gridCol w:w="3902"/>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w:t>
      </w:r>
      <w:proofErr w:type="gramStart"/>
      <w:r w:rsidRPr="00124062">
        <w:rPr>
          <w:sz w:val="28"/>
          <w:szCs w:val="28"/>
        </w:rPr>
        <w:t>ортопедо-хирургическое</w:t>
      </w:r>
      <w:proofErr w:type="gramEnd"/>
      <w:r w:rsidRPr="00124062">
        <w:rPr>
          <w:sz w:val="28"/>
          <w:szCs w:val="28"/>
        </w:rPr>
        <w:t xml:space="preserve">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2017 г. – 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3"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2017 г. – 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proofErr w:type="gramStart"/>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roofErr w:type="gramEnd"/>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бюджетам субъектов 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ВИЧ-инфицированных беременных химиопрофилактикой,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w:t>
      </w:r>
      <w:proofErr w:type="gramStart"/>
      <w:r>
        <w:rPr>
          <w:rFonts w:eastAsia="Calibri"/>
          <w:sz w:val="28"/>
          <w:szCs w:val="28"/>
        </w:rPr>
        <w:t xml:space="preserve">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roofErr w:type="gramEnd"/>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хвачены горячими завтраками, 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(с 7% 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 xml:space="preserve">доступность дошкольного образования для детей от 2 месяцев до 3 лет (согласно правилу математического округления чисел до целого в интервале от 99,9% </w:t>
      </w:r>
      <w:proofErr w:type="gramStart"/>
      <w:r w:rsidR="00C247A0" w:rsidRPr="00C247A0">
        <w:rPr>
          <w:color w:val="000000"/>
          <w:sz w:val="28"/>
          <w:szCs w:val="28"/>
          <w:lang w:bidi="ru-RU"/>
        </w:rPr>
        <w:t>до</w:t>
      </w:r>
      <w:proofErr w:type="gramEnd"/>
      <w:r w:rsidR="00C247A0" w:rsidRPr="00C247A0">
        <w:rPr>
          <w:color w:val="000000"/>
          <w:sz w:val="28"/>
          <w:szCs w:val="28"/>
          <w:lang w:bidi="ru-RU"/>
        </w:rPr>
        <w:t xml:space="preserve">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6"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7"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92"/>
        <w:gridCol w:w="2393"/>
        <w:gridCol w:w="2393"/>
        <w:gridCol w:w="2393"/>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gramStart"/>
            <w:r>
              <w:rPr>
                <w:color w:val="000000"/>
                <w:sz w:val="28"/>
                <w:szCs w:val="28"/>
                <w:lang w:bidi="ru-RU"/>
              </w:rPr>
              <w:t>заоч-ная</w:t>
            </w:r>
            <w:proofErr w:type="gramEnd"/>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gramStart"/>
            <w:r>
              <w:rPr>
                <w:color w:val="000000"/>
                <w:sz w:val="28"/>
                <w:szCs w:val="28"/>
                <w:lang w:bidi="ru-RU"/>
              </w:rPr>
              <w:t>заоч-ная</w:t>
            </w:r>
            <w:proofErr w:type="gramEnd"/>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4 129 тьюторов и 697 ассистентов (помощников).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9 443 человека (77,8%)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ания лиц с 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соревнованиях по 12 компетенциям (9 основные и 3 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3039"/>
        <w:gridCol w:w="1632"/>
        <w:gridCol w:w="1634"/>
        <w:gridCol w:w="1633"/>
        <w:gridCol w:w="1633"/>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В региональном 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на представления была обеспечена 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8"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1"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2"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Всего в 2019 году временным трудоустройством в свободное от учебы время охвачены 13,5 тыс. несовершеннолетних в возрасте от 14 до 18 лет, из 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3" w:history="1">
        <w:r w:rsidRPr="001F0C65">
          <w:rPr>
            <w:sz w:val="28"/>
            <w:szCs w:val="28"/>
          </w:rPr>
          <w:t>на дому</w:t>
        </w:r>
      </w:hyperlink>
      <w:r w:rsidRPr="001F0C65">
        <w:rPr>
          <w:sz w:val="28"/>
          <w:szCs w:val="28"/>
        </w:rPr>
        <w:t xml:space="preserve">, в </w:t>
      </w:r>
      <w:hyperlink r:id="rId24" w:history="1">
        <w:r w:rsidRPr="001F0C65">
          <w:rPr>
            <w:sz w:val="28"/>
            <w:szCs w:val="28"/>
          </w:rPr>
          <w:t>полустационарной</w:t>
        </w:r>
      </w:hyperlink>
      <w:r w:rsidRPr="001F0C65">
        <w:rPr>
          <w:sz w:val="28"/>
          <w:szCs w:val="28"/>
        </w:rPr>
        <w:t xml:space="preserve"> форме, в </w:t>
      </w:r>
      <w:hyperlink r:id="rId25"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6"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Реализация в 2019 году указанных решений способствовала 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несовершеннолетних и защите их прав неразрывно связано с 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7"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8"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9"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30"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1"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7"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1" w:name="Par178"/>
      <w:bookmarkEnd w:id="1"/>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8"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тяжести. В то же время увеличилось 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из них 34,8 тыс. помещены в учреждения системы профилактики безнадзорности и 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663"/>
        <w:gridCol w:w="1373"/>
        <w:gridCol w:w="1472"/>
        <w:gridCol w:w="1670"/>
        <w:gridCol w:w="139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2" w:name="DigSignature"/>
      <w:bookmarkEnd w:id="2"/>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9"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40"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1"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365"/>
        <w:gridCol w:w="1832"/>
        <w:gridCol w:w="1795"/>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2"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3"/>
          <w:headerReference w:type="default" r:id="rId44"/>
          <w:footerReference w:type="even" r:id="rId45"/>
          <w:footerReference w:type="default" r:id="rId46"/>
          <w:headerReference w:type="first" r:id="rId47"/>
          <w:footerReference w:type="first" r:id="rId48"/>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2"/>
        <w:gridCol w:w="1402"/>
        <w:gridCol w:w="1400"/>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604"/>
        <w:gridCol w:w="1604"/>
        <w:gridCol w:w="1604"/>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1498"/>
        <w:gridCol w:w="1498"/>
        <w:gridCol w:w="1496"/>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51"/>
        <w:gridCol w:w="1214"/>
        <w:gridCol w:w="1153"/>
        <w:gridCol w:w="1271"/>
        <w:gridCol w:w="1306"/>
        <w:gridCol w:w="1541"/>
        <w:gridCol w:w="1445"/>
        <w:gridCol w:w="1135"/>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1"/>
        <w:gridCol w:w="1989"/>
        <w:gridCol w:w="2162"/>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8"/>
        <w:gridCol w:w="1166"/>
        <w:gridCol w:w="1166"/>
        <w:gridCol w:w="1166"/>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853"/>
        <w:gridCol w:w="1894"/>
        <w:gridCol w:w="1894"/>
        <w:gridCol w:w="1894"/>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939"/>
        <w:gridCol w:w="943"/>
        <w:gridCol w:w="891"/>
        <w:gridCol w:w="959"/>
        <w:gridCol w:w="950"/>
        <w:gridCol w:w="961"/>
        <w:gridCol w:w="1003"/>
        <w:gridCol w:w="923"/>
        <w:gridCol w:w="991"/>
        <w:gridCol w:w="895"/>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97"/>
        <w:gridCol w:w="2128"/>
        <w:gridCol w:w="2128"/>
        <w:gridCol w:w="2128"/>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7"/>
        <w:gridCol w:w="2021"/>
        <w:gridCol w:w="2021"/>
        <w:gridCol w:w="2011"/>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3"/>
        <w:gridCol w:w="1407"/>
        <w:gridCol w:w="1407"/>
        <w:gridCol w:w="140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9701E1"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9701E1"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9701E1"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807AA9" w:rsidRPr="00E6744E" w:rsidRDefault="00807AA9" w:rsidP="00807AA9">
            <w:pPr>
              <w:jc w:val="center"/>
            </w:pPr>
            <w:r>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беременные женщины и кормящие матери</w:t>
            </w:r>
          </w:p>
        </w:tc>
        <w:tc>
          <w:tcPr>
            <w:tcW w:w="1276" w:type="dxa"/>
            <w:shd w:val="clear" w:color="auto" w:fill="auto"/>
            <w:vAlign w:val="bottom"/>
          </w:tcPr>
          <w:p w:rsidR="00C71D1F" w:rsidRPr="00372E58" w:rsidRDefault="00C71D1F" w:rsidP="00C71D1F">
            <w:pPr>
              <w:jc w:val="center"/>
            </w:pPr>
            <w:r w:rsidRPr="00372E58">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50"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E1" w:rsidRDefault="009701E1" w:rsidP="0087728D">
      <w:r>
        <w:separator/>
      </w:r>
    </w:p>
  </w:endnote>
  <w:endnote w:type="continuationSeparator" w:id="0">
    <w:p w:rsidR="009701E1" w:rsidRDefault="009701E1"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01405B">
          <w:rPr>
            <w:noProof/>
          </w:rPr>
          <w:t>3</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EB1720">
      <w:rPr>
        <w:noProof/>
      </w:rPr>
      <w:t>417</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E1" w:rsidRDefault="009701E1" w:rsidP="0087728D">
      <w:r>
        <w:separator/>
      </w:r>
    </w:p>
  </w:footnote>
  <w:footnote w:type="continuationSeparator" w:id="0">
    <w:p w:rsidR="009701E1" w:rsidRDefault="009701E1"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5B"/>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1E1"/>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EFDB57193D14C5CA77C676E398566683411EBA94B00E81491C6A83C6F0584EF2624EF10DBCF1D3643B1675294A5068DF88B6558A3FFE8BL5D4L" TargetMode="External"/><Relationship Id="rId18" Type="http://schemas.openxmlformats.org/officeDocument/2006/relationships/hyperlink" Target="http://www.meloman.ru/kids/concerts/?kids_age=1-3" TargetMode="External"/><Relationship Id="rId26" Type="http://schemas.openxmlformats.org/officeDocument/2006/relationships/hyperlink" Target="consultantplus://offline/ref=E419163D878211DD63E1888A7D2105B521B475D1BA9D1D2AF6222001073ABAC7DE876CB4398AA9A777Y6N" TargetMode="External"/><Relationship Id="rId39" Type="http://schemas.openxmlformats.org/officeDocument/2006/relationships/hyperlink" Target="http://fedim.ru/services-of-mediation/programs/" TargetMode="External"/><Relationship Id="rId3" Type="http://schemas.openxmlformats.org/officeDocument/2006/relationships/styles" Target="styles.xml"/><Relationship Id="rId21" Type="http://schemas.openxmlformats.org/officeDocument/2006/relationships/hyperlink" Target="http://www.meloman.ru/kids/concerts/?kids_age=9-12"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yperlink" Target="consultantplus://offline/ref=578D69790F5AEBC5C0AF851CEF9321C968073C69879170F32441119F7BRBO9I" TargetMode="External"/><Relationship Id="rId47" Type="http://schemas.openxmlformats.org/officeDocument/2006/relationships/header" Target="header3.xml"/><Relationship Id="rId50" Type="http://schemas.openxmlformats.org/officeDocument/2006/relationships/hyperlink" Target="http://www.gks.ru/free_doc/new_site/population/urov/rashod_cb.htm"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bilet.worldskills.ru/" TargetMode="External"/><Relationship Id="rId25" Type="http://schemas.openxmlformats.org/officeDocument/2006/relationships/hyperlink" Target="consultantplus://offline/ref=4FA992B59F725A780330F47FF739006C612C9F4A3720C8A4626DDFAE1CFB2A58BC5FA6E59F8027B0u0A2K" TargetMode="External"/><Relationship Id="rId33" Type="http://schemas.openxmlformats.org/officeDocument/2006/relationships/hyperlink" Target="consultantplus://offline/ref=3C69A132B5997849DD6BB080FDDD5A9C7D2C7ACB89F5CDBAEEC7744001D363C1E3BFBF6669AF62DF558C80C2E5E36491046DF4DA4EF1ADE6bF15I" TargetMode="External"/><Relationship Id="rId38" Type="http://schemas.openxmlformats.org/officeDocument/2006/relationships/hyperlink" Target="consultantplus://offline/ref=BD7E87E57D82ABDB4A64083D3D1D72CE209A79420C78572CDA82D841745F2A198855166CC0F794071ACF2638C6C5738AC52A488622AF9FDA3Er6O"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iro.ranepa.ru/navigator-programm-do" TargetMode="External"/><Relationship Id="rId20" Type="http://schemas.openxmlformats.org/officeDocument/2006/relationships/hyperlink" Target="http://www.meloman.ru/kids/concerts/?kids_age=6-9" TargetMode="External"/><Relationship Id="rId29" Type="http://schemas.openxmlformats.org/officeDocument/2006/relationships/hyperlink" Target="consultantplus://offline/ref=5B835DB76C7A4EE3DD364FAC02A229D063C12AD69A90E38ACCF1F91E8A36F0BBC5DEA579CCCB9B4B2EE18CD34AT0lCH" TargetMode="External"/><Relationship Id="rId41" Type="http://schemas.openxmlformats.org/officeDocument/2006/relationships/hyperlink" Target="http://bdd-eor.edu.ru/eor/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consultantplus://offline/ref=4FA992B59F725A780330F47FF739006C612C9E4A3625C8A4626DDFAE1CFB2A58BC5FA6E59F8027B1u0ABK" TargetMode="External"/><Relationship Id="rId32" Type="http://schemas.openxmlformats.org/officeDocument/2006/relationships/hyperlink" Target="consultantplus://offline/ref=3C69A132B5997849DD6BB080FDDD5A9C7D2C7ACB89F5CDBAEEC7744001D363C1E3BFBF6669AF62DC578C80C2E5E36491046DF4DA4EF1ADE6bF15I" TargetMode="External"/><Relationship Id="rId37" Type="http://schemas.openxmlformats.org/officeDocument/2006/relationships/hyperlink" Target="consultantplus://offline/ref=3C69A132B5997849DD6BB080FDDD5A9C7D2C7ACB89F5CDBAEEC7744001D363C1E3BFBF6669AF62DE578C80C2E5E36491046DF4DA4EF1ADE6bF15I" TargetMode="External"/><Relationship Id="rId40" Type="http://schemas.openxmlformats.org/officeDocument/2006/relationships/hyperlink" Target="http://www.bdd-eor.edu.r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consultantplus://offline/ref=4FA992B59F725A780330F47FF739006C612C99433C23C8A4626DDFAE1CFB2A58BC5FA6E59F8027B0u0A2K" TargetMode="External"/><Relationship Id="rId28" Type="http://schemas.openxmlformats.org/officeDocument/2006/relationships/hyperlink" Target="consultantplus://offline/ref=72AD45FEA0A9048E01E2A6DC855D3D052B4844801B3CE4963AD7CBB4B76C0BAF2A0E0147E68D6FA7D941539D13M2OCO"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1.xml"/><Relationship Id="rId19" Type="http://schemas.openxmlformats.org/officeDocument/2006/relationships/hyperlink" Target="http://www.meloman.ru/kids/concerts/?kids_age=3-6" TargetMode="External"/><Relationship Id="rId31" Type="http://schemas.openxmlformats.org/officeDocument/2006/relationships/hyperlink" Target="consultantplus://offline/ref=D02ED8D20B0B2608001BBD5276076223C0F7DC48E397B1EF9AF7ACE000BF1DB5D10B65501CC13B201648890E41h8NAO" TargetMode="External"/><Relationship Id="rId44" Type="http://schemas.openxmlformats.org/officeDocument/2006/relationships/header" Target="header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consultantplus://offline/ref=8963CA5B10A9AACC386E7F0878B87A9D7400CA7A16BF073764F2B79592097ED6940969550208BCE0720FD5BEB7xBsAO" TargetMode="External"/><Relationship Id="rId27" Type="http://schemas.openxmlformats.org/officeDocument/2006/relationships/hyperlink" Target="http://www.ya-roditel.ru" TargetMode="External"/><Relationship Id="rId30" Type="http://schemas.openxmlformats.org/officeDocument/2006/relationships/hyperlink" Target="consultantplus://offline/ref=5B835DB76C7A4EE3DD364FAC02A229D063C023DE9991E38ACCF1F91E8A36F0BBD7DEFD76CACC8E1E7FBBDBDE4A014C35AD5873E2FET6lDH"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1.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C1B5-E9F2-45C6-842E-05275682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Евгения Олеговна</dc:creator>
  <cp:keywords/>
  <dc:description/>
  <cp:lastModifiedBy>Хуртина Валерия Алексеевна</cp:lastModifiedBy>
  <cp:revision>2</cp:revision>
  <cp:lastPrinted>2021-01-12T12:52:00Z</cp:lastPrinted>
  <dcterms:created xsi:type="dcterms:W3CDTF">2021-01-13T10:35:00Z</dcterms:created>
  <dcterms:modified xsi:type="dcterms:W3CDTF">2021-01-13T10:35:00Z</dcterms:modified>
</cp:coreProperties>
</file>