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E" w:rsidRDefault="008E4FDE" w:rsidP="0059156B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4FDE"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:rsidR="00462B0B" w:rsidRPr="008E4FDE" w:rsidRDefault="00462B0B" w:rsidP="0059156B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E4FDE" w:rsidRPr="008E4FDE" w:rsidRDefault="008E4FDE" w:rsidP="0059156B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4FDE">
        <w:rPr>
          <w:rFonts w:ascii="Times New Roman" w:eastAsia="Calibri" w:hAnsi="Times New Roman"/>
          <w:b/>
          <w:sz w:val="24"/>
          <w:szCs w:val="24"/>
        </w:rPr>
        <w:t>к проекту закона Чувашской Республики «Об исполнении республиканского бюджета Чувашской Республики за 2020 год</w:t>
      </w:r>
      <w:r w:rsidR="00462B0B">
        <w:rPr>
          <w:rFonts w:ascii="Times New Roman" w:eastAsia="Calibri" w:hAnsi="Times New Roman"/>
          <w:b/>
          <w:sz w:val="24"/>
          <w:szCs w:val="24"/>
        </w:rPr>
        <w:t>»</w:t>
      </w:r>
    </w:p>
    <w:p w:rsidR="008E4FDE" w:rsidRPr="008E4FDE" w:rsidRDefault="008E4FDE" w:rsidP="0059156B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республиканского бюджета Чувашской Республики в 2020 году по доходам осуществлялось с учетом сложившейся макроэкономической ситуации в условиях распространения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и принимаемых мер по снижению рисков воздействия распространения пандемии на организации и субъекты малого и среднего предпринимательства, предусматривающих внесение изменений в налоговое законодательство Российской Федерации и законодательство Чувашской Республики.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Федеральным законом от 1 апреля 2020 г. № 102-ФЗ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– Федеральный закон № 102-ФЗ) Правительству Российской Федерации и высшим исполнительным органам государственной власти субъектов Российской Федерации предоставлены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дополнительные полномочия по принятию в 2020 году нормативных правовых актов по отдельным вопросам налогового регулирования.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закона № 102-ФЗ принято постановление Правительства Российской Федерации от 2 апреля 2020 г. № 409 «О мерах по обеспечению устойчивого развития экономики», предусматривающее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перечень которых утверждается Правительством Российской Федерации, и включенных по состоянию на 1 марта 2020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в единый реестр субъектов малого и среднего предпринимательства (далее – МСП), продление установленных законодательством о налогах и сборах сроков уплаты налогов (авансовых платежей по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налогам).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Этим же постановлением установлены дополнительные основания предоставления в 2020 году отсрочки (рассрочки) по уплате налогов, (авансовых платежей по налогам), изменения порядка и условий ее предоставления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а также стратегическим, системообразующим и градообразующим организациям в соответствии с отдельными решениями Правительства Российской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Также, в 2020 году принят Федеральный закон от 8 июня 2020 г. № 172-ФЗ 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внесении изменений в часть вторую Налогового кодекса Российской Федерации», которым предусмотрено освобождение от исполнения обязанности по уплате налогов, указанных в статье 2 данного Федерального закона (налога, взимаемого в связи с применением упрощенной системы налогообложения, единого налога на вмененный доход для отдельных видов деятельности, транспортного налога, налога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организаций и т.д.), начисленных за II квартал 2020 года для индивидуальных предпринимателей, а также организаций, отнесенных к субъектам МСП,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а также для отдельных некоммерческих организаций.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предоставленными Федеральным законом № 102-ФЗ полномочиями, в рамках поддержки субъектов МСП, на региональном уровне принято решение о продлении сроков уплаты авансовых платежей по налогу на имущество организаций, транспортному и земельному налогам за I квартал 2020 года до 30 декабря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2020 года включительно (постановление Кабинета Министров Чувашской Республики от 20 апреля 2020 г. № 180). 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поддержки предпринимательской активности в условиях распространения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Законами Чувашской Республики от 29 апреля 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г. № 33 «О внесении изменений в Закон Чувашской Республики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(далее – Закон от 29 апреля 2020 г. № 33), от 26 ноября 2020 г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103 «О внесении изменений в отдельные законодательные акты Чувашской Республики» (далее - Закон от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ноября 2020 г. № 103):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налогу, взимаемому в связи с применением упрощенной системы налогообложения (далее – УСН), для налогоплательщиков, включенных в перечень пострадавших отраслей, а также налогоплательщиков, зарегистрированных в период пандемии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юридических лиц или индивидуальных предпринимателей (за исключением применяющих «налоговые каникулы») снижены налоговые ставки в случае, если объектом налогообложения являются доходы, уменьшенные на величину расходов, в 2020 году - до 5 процентов, в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году - до 10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процентов; в случае, если объектом налогообложения являются доходы, в 2020 году - до 1 процента, в 2021 году – до 4 процентов;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налогу, взимаемому в связи с применением патентной системы налогообложения (далее – ПСН) снижен в два раза размер потенциально возможного к получению индивидуальным предпринимателем годового дохода в отношении 13 видов предпринимательской деятельности;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продлены до 1 января 2024 года «налоговые каникулы», т.е. возможность применения налоговой ставки в размере 0 процентов по УСН и ПСН для впервые зарегистрированных индивидуальных предпринимателей,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Данная норма направлена на дальнейшее стимулирование развития малого предпринимательства за счет снижения барьеров для старта предпринимательской деятельности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налогу на имущество организаций: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снижена налоговая ставка в отношении отдельных объектов недвижимого имущества, налоговая база по которым определяется исходя из их кадастровой стоимости, на 2020-2021 годы до 1,0 процента (вместо 1,5 и 2,0 процента соответственно), с поэтапным ежегодным увеличением до 2,0 процентов в 2025 году;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уменьшена до 50 процентов сумма налога для арендодателей, снизивших арендную плату субъектам малого и среднего предпринимательства, в наибольшей степени пострадавших в условиях ухудшения ситуации в результате распространения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 целях укрепления доходной базы бюджетов муниципальных районов и городских округов с 1 января 2020 года Законом Чувашской Республики от 7 мая 2019 г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    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35 «О внесении изменений в отдельные законодательные акты Чувашской Республики» установлены нормативы отчислений от УСН в бюджеты муниципальных районов по нормативу 5 процентов, в бюджеты городских округов – по нормативу 2 процента.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Соответственно, поступление УСН в республиканский бюджет Чувашской Республики в 2020 году с территорий городских округов составляло по нормативу 98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процентов, с территорий муниципальных районов – по нормативу 95 процентов 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2019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 – 100 процентов).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Также, в 2020 году продолжали действовать ранее принятые на федеральном уровне нормы, влияющие на формирование доходной части бюджетов субъектов Российской Федерации.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частности, Федеральными законами от 30 ноября 2016 г. № 401-ФЗ «О внесении изменений в части первую и вторую Налогового кодекса Российской Федерации и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отдельные законодательные акты Российской Федерации» (далее – Федеральный закон №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401-ФЗ) и от 3 августа 2018 г. № 301-ФЗ «О внесении изменений в часть вторую Налогового кодекса Российской Федерации» на период с 1 января 2017 года по 31 декабря 2024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изменено существующее соотношение налоговых ставок по налогу на прибыль организаций между федеральным бюджетом и бюджетом субъектов Российской Федерации: для субъектов Российской Федерации налоговая ставка уменьшена с 18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процентов (действовала до 1 января 2017 г.) до 17 процентов, для федерального бюджета увеличена с 2 процентов до 3 процентов.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период с 1 января 2017 года по 31 декабря 2020 года установлено ограничение по переносу убытков, полученных в предыдущих налоговых периодах, предусматривающее, что в отчетные (налоговые) периоды налоговую базу по налогу на прибыль организаций нельзя уменьшать на сумму убытков, полученных в предыдущих налоговых периодах, более чем на 50 процентов (Федеральный закон № 401-ФЗ).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3 августа 2018 г. № 302-ФЗ «О внесении изменений в части первую и вторую Налогового кодекса Российской Федерации» с 1 января 2019 года из объектов налогообложения налогом на имущество организаций исключено все движимое имущество, что также привело к выпадающим доходам бюджетов субъектов Российской Федерации, в том числе и Чувашской Республики. 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компенсации выпадающих доходов бюджетов субъектов Российской Федерации от отмены налога на имущество организаций на движимое имущество изменен порядок зачисления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сусла, и (или) винного дистиллята, и (или) фруктового дистиллята (далее – акцизы на крепкую алкогольную продукцию) (Федеральный закон от 2 декабря 2019 г. № 380-ФЗ «О федеральном бюджете на 2020 год и на плановый период 2021 и 2022 годов» (далее – Федеральный закон № 380-ФЗ)).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Акцизы на крепкую алкогольную продукцию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и бюджетом города Байконура в следующем порядке: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62,5 процента доходов до дня (включительно) достижения данными доходами величины, указанной в </w:t>
      </w:r>
      <w:hyperlink r:id="rId8" w:history="1">
        <w:r w:rsidRPr="007B75B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приложении 4</w:t>
        </w:r>
      </w:hyperlink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Федеральному закону № 380-ФЗ: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процентов - по нормативам, установленным в таблице 1 приложения 6 к Федеральному закону № 380-ФЗ;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 процентов - пропорционально объемам розничных продаж указанной продукции в порядке, установленном Министерством финансов Российской Федерации;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дня, следующего за днем превышения доходами величины, указанной в приложении 4 к Федеральному закону № 380-ФЗ, - пропорционально объемам розничных продаж указанной продукции в порядке, установленном Министерством финансов Российской Федерации;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37,5 процента доходов от акцизов на крепкую алкогольную продукцию - по нормативам, установленным в таблице 2 приложения 6 к Федеральному закону № 380-ФЗ,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(для Чувашской Республики на 2020 год – 0,2558 %).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увеличения доходного потенциала республики за счет стимулирования инвестиционной активности на территории республики Законом от 29 апреля 2020 г. № 33 инвестиционные налоговые льготы по налогу на имущество организаций и налогу на прибыль организаций в части, подлежащей зачислению в бюджет субъекта Российской Федерации, распространены на обособленные подразделения организаций, осуществляющих инвестиции на территории республики.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Этим же законом установлены налоговые льготы по налогу на имущество организаций (ставка в размере 0,1%) и налогу на прибыль организаций в пределах суммы налога, подлежащей зачислению в республиканский бюджет Чувашской Республики (в размере 0%), для организаций, получивших статус налогоплательщика - участника специального инвестиционного контракта (далее - СПИК).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от 20 декабря 2019 г. № 88 «О внесении изменений в отдельные законодательные акты Чувашской Республики» (далее – Закон от 20 декабря 2019 г. № 88) продлена до 1 января 2023 года налоговая льгота по транспортному налогу 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топлива.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этом размер льготы увеличен до 50 процентов от ставки налога на каждую лошадиную силу (ранее ставка налога на каждую лошадиную силу мощности двигателя транспортного средства была снижена на 20% на срок до 2020 года).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регулирования притока иностранной рабочей силы в республику Законом Чувашской Республики от 11 сентября 2019 г. № 61 «Об установлении в Чувашской Республике коэффициента, отражающего региональные особенности рынка труда, на 2020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год» на территории Чувашской Республики региональный коэффициент на 2020 год установлен в размере 2, т.е. на уровне 2019 года.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обеспечения благоприятных условий осуществления деятельности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самозанятыми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гражданами и легализации трудового дохода Законом Чувашской Республики от 26 мая 2020 г. № 45 «О введении в действие на территории Чувашской Республики специального налогового режима «Налог на профессиональный доход» с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июля 2020 года на территории республики введен указанный специальный налоговый режим. По состоянию на 1 января 2021 года на территории Чувашской Республики зарегистрировано 8811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поддержки семей с детьми-инвалидами Законом от 20 декабря 2019 г. № 88 установлены налоговые льготы по транспортному налогу. Один из родителей, опекунов, усыновителей, попечителей ребенка инвалида до 18 лет, проживающий совместно с ним, освобождается от уплаты транспортного налога на легковые автомобили мощностью до 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150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включительно 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выбору на одно транспортное средство.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контроля результативности процесса предоставления налоговых льгот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соответствия общественным интересам, в соответствии с Порядком оценки социально-экономической эффективности налоговых льгот, утвержденным постановлением Кабинета Министра Чувашской Республики 25 июня 2007 г. № 151, ежегодно проводится оценка эффективности налоговых расходов Чувашской Республики.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оценки неэффективные налоговые льготы подлежат отмене.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Законом Чувашской Республики от 18 февраля 2019 г. № 4 «О внесении изменений в Закон Чувашской Республики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с 1 января 2020 года в связи с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невостребованностью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отменен ряд налоговых льгот: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 налогу на прибыль организаций: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вновь создаваемых организаций (включая иностранные и с иностранным участием), занимающихся производством товаров народного потребления и переработкой сельскохозяйственной продукции (не менее 70 процентов от общего объема);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вновь создающихся с 1 января 2003 года организаций, зарегистрированных на территории Чувашской Республики, в течение одного года с момента государственной регистрации;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 налогу на имущество организаций в отношении: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организаций, зарегистрированных на территории Чувашской Республики, а также организаций, зарегистрированных за пределами Чувашской Республики, в отношении их обособленных подразделений, имеющих отдельный баланс, осуществляющих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продукции, и привлекающих с 2008 года инвестиции на сумму не менее 100 млн. рублей;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–производственных организаций и учреждений, хозяйственных товариществ и обще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Вс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ероссийского общества слепых, в которых более 50% работающих составляют инвалиды по зрению;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обслуживающих организаций агропромышленного комплекса Чувашской Республики;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 создающихся с 1 января 2003 года организаций, зарегистрированных на территории Чувашской Республики;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 транспортному налогу в отношении вновь создающихся с 1 января 2003 года организаций, зарегистрированных на территории Чувашской Республики.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проведенной работы республиканский бюджет Чувашской Республики за 2020 год исполнен в целом по доходам в объеме 70244010,8 тыс. рублей, или на 99,1% к годовым плановым назначениям. Собственные (налоговые и неналоговые) доходы республиканского бюджета Чувашской Республики исполнены в сумме 31296781,7 тыс. рублей, на 103,0% к годовым плановым назначениям.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5B0" w:rsidRPr="007B75B0" w:rsidRDefault="007B75B0" w:rsidP="007B75B0">
      <w:pPr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ДОХОДЫ РЕСПУБЛИКАНСКОГО БЮДЖЕТА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Республиканский бюджет Чувашской Республики за 2020 год исполнен по доходам в целом в объеме 70244010,8 тыс. рублей, с ростом к уровню 2019 года на 19,6 %, в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собственным (налоговым и неналоговым) доходам в объеме 31296781,7 тыс. рублей, с ростом к уровню 2019 года на 2,2%.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Налоговые доходы в бюджет республики поступили в объеме 30045169,0 тыс. рублей, с ростом к уровню 2019 года на 2,3 %, в том числе по налогу на доходы физических лиц – на 5,6 %, акцизам по подакцизным товарам (продукции), производимым на территории Российской Федерации, – на 1,8%, налогам на совокупный доход – на 5,3%, транспортному налогу – на 8,2%.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безвозмездных поступлений в республиканский бюджет Чувашской Республики в 2020 году составил 38947229,1 тыс. рублей, с ростом к уровню 2019 года на 38,6 %.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поступлении доходов в республиканский бюджет Чувашской Республики за 2019–2020 годы приведены в следующей таблице: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1588"/>
        <w:gridCol w:w="1588"/>
        <w:gridCol w:w="1417"/>
      </w:tblGrid>
      <w:tr w:rsidR="007B75B0" w:rsidRPr="007B75B0" w:rsidTr="00D12D99">
        <w:trPr>
          <w:trHeight w:val="571"/>
          <w:tblHeader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shd w:val="clear" w:color="auto" w:fill="auto"/>
          </w:tcPr>
          <w:p w:rsidR="007B75B0" w:rsidRPr="007B75B0" w:rsidRDefault="007B75B0" w:rsidP="00D12D99">
            <w:pPr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2019 год,</w:t>
            </w:r>
          </w:p>
          <w:p w:rsidR="007B75B0" w:rsidRPr="007B75B0" w:rsidRDefault="007B75B0" w:rsidP="00D12D99">
            <w:pPr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тыс. рублей</w:t>
            </w:r>
          </w:p>
        </w:tc>
        <w:tc>
          <w:tcPr>
            <w:tcW w:w="1588" w:type="dxa"/>
            <w:shd w:val="clear" w:color="auto" w:fill="auto"/>
          </w:tcPr>
          <w:p w:rsidR="007B75B0" w:rsidRPr="007B75B0" w:rsidRDefault="007B75B0" w:rsidP="00D12D99">
            <w:pPr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2020 год,</w:t>
            </w:r>
          </w:p>
          <w:p w:rsidR="007B75B0" w:rsidRPr="007B75B0" w:rsidRDefault="007B75B0" w:rsidP="00D12D99">
            <w:pPr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shd w:val="clear" w:color="auto" w:fill="auto"/>
          </w:tcPr>
          <w:p w:rsidR="007B75B0" w:rsidRPr="007B75B0" w:rsidRDefault="007B75B0" w:rsidP="00D12D99">
            <w:pPr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Темп</w:t>
            </w:r>
          </w:p>
          <w:p w:rsidR="007B75B0" w:rsidRPr="007B75B0" w:rsidRDefault="007B75B0" w:rsidP="00D12D99">
            <w:pPr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роста</w:t>
            </w:r>
          </w:p>
          <w:p w:rsidR="007B75B0" w:rsidRPr="007B75B0" w:rsidRDefault="007B75B0" w:rsidP="00D12D99">
            <w:pPr>
              <w:ind w:left="-108" w:right="-93"/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(снижения),</w:t>
            </w:r>
          </w:p>
          <w:p w:rsidR="007B75B0" w:rsidRPr="007B75B0" w:rsidRDefault="007B75B0" w:rsidP="00D12D99">
            <w:pPr>
              <w:ind w:left="-108" w:right="-93"/>
              <w:contextualSpacing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%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Налоговые доходы, всего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29374249,4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30045169,0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102,3</w:t>
            </w:r>
          </w:p>
        </w:tc>
      </w:tr>
      <w:tr w:rsidR="007B75B0" w:rsidRPr="007B75B0" w:rsidTr="00D12D99">
        <w:trPr>
          <w:trHeight w:val="316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из них: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8540963,0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8519071,4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99,7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9868724,2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10421450,1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105,6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Федерации, всего,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4380597,4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4459872,2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101,8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из них: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4"/>
                <w:szCs w:val="24"/>
              </w:rPr>
            </w:pP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акцизы на этиловый спирт из пищевого и непищевого сырья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-4204,0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80481,5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–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акцизы на алкогольную продукцию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828186,0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826911,8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99,8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lastRenderedPageBreak/>
              <w:t>акцизы на пиво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1204523,8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1133898,4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94,1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инжекторных</w:t>
            </w:r>
            <w:proofErr w:type="spellEnd"/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) двигателей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2355406,1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2424158,5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102,9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прочие акцизы (средние дистилляты)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–3314,5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–5578,0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–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2772286,0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2918300,4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105,3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3685091,3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3646863,1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99,0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Неналоговые доходы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1238928,7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1251612,7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101,0</w:t>
            </w:r>
          </w:p>
        </w:tc>
      </w:tr>
      <w:tr w:rsidR="007B75B0" w:rsidRPr="007B75B0" w:rsidTr="00D12D99">
        <w:trPr>
          <w:trHeight w:val="386"/>
        </w:trPr>
        <w:tc>
          <w:tcPr>
            <w:tcW w:w="4691" w:type="dxa"/>
            <w:shd w:val="clear" w:color="auto" w:fill="auto"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Налоговые и неналоговые доходы – всего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30613178,1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31296781,7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102,2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28106168,1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38947229,1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138,6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     из них: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дотации, всего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13036481,3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16314512,8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125,1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     из них: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left="331"/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11114859,2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12226345,1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110,0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субсидии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6396373,6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10254905,9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160,3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субвенции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2408571,5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4095788,3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170,1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3262531,5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6104624,0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187,1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безвозмездные поступления от государственных (муниципальных) организаций (Фонд содействия реформированию ЖКХ)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18943,8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88054,0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в 4,6 раза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безвозмездные поступления от негосударственных организаций (Фонд развития моногородов)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116453,8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-30500,0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–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прочие безвозмездные поступления (с учетом остатков)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2866812,6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2119844,1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spacing w:val="4"/>
                <w:sz w:val="24"/>
                <w:szCs w:val="24"/>
              </w:rPr>
              <w:t>73,9</w:t>
            </w:r>
          </w:p>
        </w:tc>
      </w:tr>
      <w:tr w:rsidR="007B75B0" w:rsidRPr="007B75B0" w:rsidTr="00D12D99">
        <w:trPr>
          <w:trHeight w:val="287"/>
        </w:trPr>
        <w:tc>
          <w:tcPr>
            <w:tcW w:w="4691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Доходы – всего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58719346,2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5B0" w:rsidRPr="007B75B0" w:rsidRDefault="007B75B0" w:rsidP="001D7224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70244010,8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4"/>
                <w:szCs w:val="24"/>
              </w:rPr>
              <w:t>119,6</w:t>
            </w:r>
          </w:p>
        </w:tc>
      </w:tr>
    </w:tbl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2020 года в республиканский бюджет Чувашской Республики изменения вносились дважды – законами Чувашской Республики «О внесении изменений в Закон Чувашской Республики «О республиканском бюджете Чувашской Республики на 2020 год и на плановый период 2021 и 2022 годов» от 12 марта 2020 г. </w:t>
      </w:r>
      <w:hyperlink r:id="rId9" w:history="1">
        <w:r w:rsidRPr="007B75B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№</w:t>
        </w:r>
      </w:hyperlink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15, от 18 ноября 2020 г. </w:t>
      </w:r>
      <w:hyperlink r:id="rId10" w:history="1">
        <w:r w:rsidRPr="007B75B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№</w:t>
        </w:r>
        <w:r w:rsidRPr="007B75B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 </w:t>
        </w:r>
        <w:r w:rsidRPr="007B75B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95. </w:t>
        </w:r>
      </w:hyperlink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Плановые назначения по доходам в целом против первоначально предусмотренных увеличены на 14298074,7 тыс. рублей, или на 25,7%, в том числе по собственным доходам уменьшены на 1218069,3 тыс. рублей, или на 3,9%, по безвозмездным поступлениям увеличены на 15516144,0 тыс. рублей, или 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64,7%.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вышеуказанных уточнений плановые назначения по доходам составили всего 69865996,1 тыс. рублей, в том числе по собственным доходам – 30371134,5 тыс. рублей, по безвозмездным поступлениям – 39494861,6 тыс. рублей, из них объем межбюджетных трансфертов, получаемых из бюджетов бюджетной системы Российской 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Федерации, – 37581620,9 тыс. рублей. Утвержденные годовые плановые назначения по доходам исполнены на 100,5%.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(налоговые и неналоговые) доходы республиканского бюджета Чувашской Республики исполнены в сумме 31296781,7 тыс. рублей, на 103,0% к годовым плановым назначениям (рост к уровню 2019 года – на 2,2%, или на 683603,6 тыс. рублей).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 назначения по налоговым доходам исполнены в целом на 102,3%, сверхплановое поступление – 679931,4 тыс. рублей, в том числе по налогу на прибыль организации – на 101,1% (+89451,4 тыс. рублей), налогу на доходы физических лиц – на 102,1% (+ 218119,0 тыс. рублей), акцизам на этиловый спирт из пищевого и непищевого сырья – на 129,0% (+18093,8 тыс. рублей), акцизам на автомобильный бензин, прямогонный бензин, дизельное топливо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моторные масла для дизельных и (или) карбюраторных (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инжекторных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двигателей – на 101,0% (+24632,5 тыс. рублей), налогам на совокупный доход – на 107,1 % (+ 192985,9 тыс. рублей), налогам на имущество – на 105,4 % (+ 185669,0 тыс. рублей).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динамику роста поступлений налога на доходы физических лиц повлияло увеличение перечисления сумм налога на доходы физических лиц, полученных в виде дивидендов от долевого участия в деятельности организаций и рост среднемесячной номинальной начисленной заработной платы работников организаций по сравнению с 2019 годом на 6,9 %.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поступлений налога, взимаемого в связи с применением упрощенной системы налогообложения, связан с переходом налогоплательщиков с иных режимов налогообложения (в частности, с системы налогообложения в виде единого налога на вмененный доход для отдельных видов деятельности), на данный режим.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поступления транспортного налога связано с ростом числа плательщиков транспортного налога с физических лиц на 2209 человек, а также вовлечением в налоговый оборот более 6 тысяч новых объектов.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выполнены плановые назначения по акцизам на алкогольную продукцию – на 3,7%,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недопоступление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32045,5 тыс. рублей, акцизам на пиво – на 1,2%,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недопоступление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13356,4 тыс. рублей, что связано со снижением объема реализации пива основным налогоплательщиком за декабрь 2019 – ноябрь 2020 года на 8,8%, или на 4952 тыс. литров, государственной пошлины – на 3,3 %,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недопоступление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2743,4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рублей, что связано с применением понижающего коэффициента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подачи заявления о совершении юридически значимых действий и уплаты государственной пошлины с использованием единого портала государственных и муниципальных услуг.</w:t>
      </w:r>
    </w:p>
    <w:p w:rsidR="007B75B0" w:rsidRPr="007B75B0" w:rsidRDefault="007B75B0" w:rsidP="007B75B0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 назначения по неналоговым доходам в целом исполнены на 124,4%, сверхплановое поступление – 245715,8 тыс. рублей. Рост в основном обеспечен за счет поступлений доходов от продажи материальных и нематериальных активов.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 назначения, утвержденные Законом Чувашской Республики от 3 декабря 2019 г. № 83 «О республиканском бюджете Чувашской Республики на 2020 год и на плановый период 2021 и 2022 годов» (с учетом внесенных изменений Законами Чувашской Республики от 12.03.2020 № 15, от 18.11.2020 № 95) (далее – Закон о бюджете), по безвозмездным поступлениям исполнены в целом на 98,6% (по Закону о бюджете – 39494861,6 тыс. рублей</w:t>
      </w:r>
      <w:proofErr w:type="gram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исполнение – 38947229,1 тыс. рублей),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недопоступление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сальдированной сумме) составило 547632,5 тыс. рублей.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сверх объемов, утвержденных Законом о бюджете на 2020 год, в установленном статьей 217 Бюджетного кодекса Российской Федерации порядке,                       в сводной бюджетной росписи республиканского бюджета Чувашской Республики на 2020 год учтены межбюджетные трансферты из бюджетов бюджетной системы Российской Федерации в сальдированной сумме 1024787,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тыс. рублей, в том числе:</w:t>
      </w:r>
      <w:proofErr w:type="gramEnd"/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увеличены бюджетные ассигнования в сумме 1207076,6 тыс. рублей, в том числе: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101698,0 тыс. рублей – дотации на поддержку мер по обеспечению сбалансированности бюджетов на финансовое обеспечение мероприятий по борьбе с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 (COVID-19);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116124,1 тыс. рублей – дотации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контактирующим с пациентами с установленным диагнозом новой </w:t>
      </w:r>
      <w:proofErr w:type="spellStart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инфекции;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781,0 тыс. рублей – на сокращение доли загрязненных сточных вод;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82627,3 тыс. рублей –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34405,1 тыс. рублей – на реализацию мероприятий в области мелиорации земель сельскохозяйственного назначения;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15503,7 тыс. рублей – в рамках обеспечения комплексного развития сельских территорий;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437418,1 тыс. рублей – на осуществление ежемесячных выплат на детей в возрасте от трех до семи лет включительно;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393,9 тыс. рублей –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2329,6 тыс. рублей – на обеспечение деятельности депутатов Государственной Думы и их помощников в избирательных округах;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609,3 тыс. рублей – на обеспечение членов Совета Федерации и их помощников в субъектах Российской Федерации;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7,9 тыс. рублей – на социальную поддержку Героев Советского Союза, Героев Российской Федерации и полных кавалеров ордена Славы;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41425,0 тыс. рублей – на возмещение части прямых понесенных затрат на создание и (или) модернизацию объектов агропромышленного комплекса;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373753,6 тыс. рублей – за счет средств резервного фонда Правительства Российской Федерации;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уменьшены бюджетные ассигнования в сумме 182288,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из них: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68322,4 тыс. рублей –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99484,4 тыс. рублей – на осуществление ежемесячной выплаты в связи с рождением (усыновлением) первого ребенка и т.д. 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исполнении республиканского бюджета Чувашской Республики по доходам за 2020 год приведены в следующей таблице:</w:t>
      </w:r>
    </w:p>
    <w:p w:rsidR="007B75B0" w:rsidRPr="007B75B0" w:rsidRDefault="007B75B0" w:rsidP="007B75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1418"/>
        <w:gridCol w:w="1417"/>
        <w:gridCol w:w="1419"/>
        <w:gridCol w:w="1133"/>
        <w:gridCol w:w="992"/>
      </w:tblGrid>
      <w:tr w:rsidR="007B75B0" w:rsidRPr="007B75B0" w:rsidTr="00D12D99">
        <w:trPr>
          <w:trHeight w:val="802"/>
          <w:tblHeader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7" w:right="-109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Бюджетные назначения (по росписи),</w:t>
            </w:r>
          </w:p>
          <w:p w:rsidR="007B75B0" w:rsidRPr="007B75B0" w:rsidRDefault="007B75B0" w:rsidP="00D12D99">
            <w:pPr>
              <w:ind w:left="-107" w:right="-109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B0" w:rsidRPr="007B75B0" w:rsidRDefault="007B75B0" w:rsidP="00D12D99">
            <w:pPr>
              <w:ind w:left="-107" w:right="-109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Бюджетные назначения (по Закону о бюджете),</w:t>
            </w:r>
          </w:p>
          <w:p w:rsidR="007B75B0" w:rsidRPr="007B75B0" w:rsidRDefault="007B75B0" w:rsidP="00D12D99">
            <w:pPr>
              <w:ind w:left="-107" w:right="-109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тыс.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B0" w:rsidRPr="007B75B0" w:rsidRDefault="007B75B0" w:rsidP="00D12D99">
            <w:pPr>
              <w:ind w:left="-107" w:right="-108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Фактическое исполнение, 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B0" w:rsidRPr="007B75B0" w:rsidRDefault="007B75B0" w:rsidP="00D12D99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% </w:t>
            </w:r>
          </w:p>
          <w:p w:rsidR="007B75B0" w:rsidRPr="007B75B0" w:rsidRDefault="007B75B0" w:rsidP="00D12D99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proofErr w:type="spellStart"/>
            <w:proofErr w:type="gramStart"/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7B75B0" w:rsidRPr="007B75B0" w:rsidRDefault="007B75B0" w:rsidP="00D12D99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к Закону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7B75B0" w:rsidRPr="007B75B0" w:rsidRDefault="007B75B0" w:rsidP="00D12D99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к росписи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Налоговые доходы, всего,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29365237,6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29365237,6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30045169,0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102,3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8429620,0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8429620,0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8519071,4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101,1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10203331,1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10203331,1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10421450,1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102,1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акцизы по подакцизным </w:t>
            </w: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lastRenderedPageBreak/>
              <w:t>товарам (продукции), производимым на территории Российской Федерации,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lastRenderedPageBreak/>
              <w:t>4463425,8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4463425,8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4459872,2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99,9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7"/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   акцизы на этиловый спирт из пищевого и непищевого сырья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62387,7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62387,7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80481,5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129,0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   акцизы на алкогольную продукцию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858957,3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858957,3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826911,8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96,3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   акцизы на пиво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1147254,8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1147254,8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1133898,4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98,8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   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инжекторных</w:t>
            </w:r>
            <w:proofErr w:type="spellEnd"/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2399526,0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2399526,0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2424158,5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101,0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   прочие акцизы (топливо печное бытовое, средние дистилляты)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-4700,0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-4700,0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-5578,0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2725314,5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2725314,5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2918300,4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107,1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3461194,1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3461194,1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3646863,1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105,4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1005896,9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1005896,9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1251612,7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124,4</w:t>
            </w:r>
          </w:p>
        </w:tc>
      </w:tr>
      <w:tr w:rsidR="007B75B0" w:rsidRPr="007B75B0" w:rsidTr="00D12D99">
        <w:trPr>
          <w:trHeight w:val="4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  <w:lang w:val="en-US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30371134,5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30371134,5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31296781,7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103,0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Безвозмездные поступления, всего,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color w:val="000000"/>
                <w:spacing w:val="4"/>
                <w:sz w:val="22"/>
                <w:szCs w:val="22"/>
                <w:lang w:val="en-US"/>
              </w:rPr>
            </w:pPr>
            <w:r w:rsidRPr="007B75B0">
              <w:rPr>
                <w:rFonts w:ascii="Times New Roman" w:eastAsia="Calibri" w:hAnsi="Times New Roman"/>
                <w:b/>
                <w:color w:val="000000"/>
                <w:spacing w:val="4"/>
                <w:sz w:val="22"/>
                <w:szCs w:val="22"/>
                <w:lang w:val="en-US"/>
              </w:rPr>
              <w:t>40519649</w:t>
            </w:r>
            <w:r w:rsidRPr="007B75B0">
              <w:rPr>
                <w:rFonts w:ascii="Times New Roman" w:eastAsia="Calibri" w:hAnsi="Times New Roman"/>
                <w:b/>
                <w:color w:val="000000"/>
                <w:spacing w:val="4"/>
                <w:sz w:val="22"/>
                <w:szCs w:val="22"/>
              </w:rPr>
              <w:t>,</w:t>
            </w:r>
            <w:r w:rsidRPr="007B75B0">
              <w:rPr>
                <w:rFonts w:ascii="Times New Roman" w:eastAsia="Calibri" w:hAnsi="Times New Roman"/>
                <w:b/>
                <w:color w:val="000000"/>
                <w:spacing w:val="4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b/>
                <w:color w:val="FF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color w:val="000000"/>
                <w:spacing w:val="4"/>
                <w:sz w:val="22"/>
                <w:szCs w:val="22"/>
              </w:rPr>
              <w:t>39494861,6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38947229,1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96,1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bCs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bCs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189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38606408,8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FF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37581620,9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36769831,1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95,2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bCs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bCs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Cs/>
                <w:spacing w:val="4"/>
                <w:sz w:val="22"/>
                <w:szCs w:val="22"/>
              </w:rPr>
            </w:pP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16314512,8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FF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16096690,7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16314512,8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100,0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11930323,0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11369342,6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10254905,9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86,0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4195548,8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4367688,8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4095788,3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97,6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иные межбюджетные трансферты, имеющие целевое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6166024,2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5747898,8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6104624,0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99,0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безвозмездные поступления от государственных (муниципальных) организаций (Фонд содействия реформированию ЖКХ)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83600,6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83600,6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1D7224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88054,0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105,3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ind w:firstLine="472"/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lastRenderedPageBreak/>
              <w:t>безвозмездные поступления от негосударственных организаций (Фонд развития моногородов)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7B75B0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-30500,0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-</w:t>
            </w:r>
          </w:p>
        </w:tc>
      </w:tr>
      <w:tr w:rsidR="007B75B0" w:rsidRPr="007B75B0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 xml:space="preserve">прочие безвозмездные поступления (с учетом остатков)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7B75B0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1829640,1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7B75B0">
            <w:pPr>
              <w:ind w:left="-108"/>
              <w:jc w:val="right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</w:rPr>
              <w:t>1829640,1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7B75B0">
            <w:pPr>
              <w:ind w:left="-107"/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2119844,1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spacing w:val="4"/>
                <w:sz w:val="22"/>
                <w:szCs w:val="22"/>
              </w:rPr>
              <w:t>115,9</w:t>
            </w:r>
          </w:p>
        </w:tc>
      </w:tr>
      <w:tr w:rsidR="007B75B0" w:rsidRPr="008146FF" w:rsidTr="00D12D99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B0" w:rsidRPr="007B75B0" w:rsidRDefault="007B75B0" w:rsidP="00D12D99">
            <w:pPr>
              <w:contextualSpacing/>
              <w:jc w:val="both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Доходы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7B75B0">
            <w:pPr>
              <w:ind w:left="-108"/>
              <w:jc w:val="right"/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2"/>
                <w:szCs w:val="22"/>
              </w:rPr>
              <w:t>70890784,0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7B75B0">
            <w:pPr>
              <w:ind w:left="-108"/>
              <w:jc w:val="right"/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2"/>
                <w:szCs w:val="22"/>
              </w:rPr>
              <w:t>69865996,1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7B75B0">
            <w:pPr>
              <w:ind w:left="-107"/>
              <w:jc w:val="right"/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spacing w:val="4"/>
                <w:sz w:val="22"/>
                <w:szCs w:val="22"/>
              </w:rPr>
              <w:t>70244010,8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bCs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bCs/>
                <w:spacing w:val="4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B0" w:rsidRPr="007B75B0" w:rsidRDefault="007B75B0" w:rsidP="00D12D99">
            <w:pPr>
              <w:jc w:val="right"/>
              <w:rPr>
                <w:rFonts w:ascii="Times New Roman" w:eastAsia="Calibri" w:hAnsi="Times New Roman"/>
                <w:b/>
                <w:bCs/>
                <w:spacing w:val="4"/>
                <w:sz w:val="22"/>
                <w:szCs w:val="22"/>
              </w:rPr>
            </w:pPr>
            <w:r w:rsidRPr="007B75B0">
              <w:rPr>
                <w:rFonts w:ascii="Times New Roman" w:eastAsia="Calibri" w:hAnsi="Times New Roman"/>
                <w:b/>
                <w:bCs/>
                <w:spacing w:val="4"/>
                <w:sz w:val="22"/>
                <w:szCs w:val="22"/>
              </w:rPr>
              <w:t>99,1</w:t>
            </w:r>
          </w:p>
        </w:tc>
      </w:tr>
    </w:tbl>
    <w:p w:rsidR="007B75B0" w:rsidRDefault="007B75B0" w:rsidP="007B75B0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РАСХОДЫ РЕСПУБЛИКАНСКОГО БЮДЖЕТА</w:t>
      </w:r>
    </w:p>
    <w:p w:rsidR="00C54634" w:rsidRPr="005E784E" w:rsidRDefault="00C54634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бюджет Чувашской Республики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2020 год исполнен по расходам в объеме 69521157,8 тыс. рублей, или 95,5% к годов</w:t>
      </w:r>
      <w:r w:rsidR="005E7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плановым назначениям (72781210,0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</w:t>
      </w:r>
      <w:r w:rsidR="00C54634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4634" w:rsidRPr="005E784E" w:rsidRDefault="00C54634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Общегосударственные вопросы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54634" w:rsidRPr="005E784E" w:rsidRDefault="00C54634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Общегосударственные вопросы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1381301,8 тыс. рублей, или 94,1% к годовым плановым назначениям (1467608</w:t>
      </w:r>
      <w:r w:rsidR="00C54634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E7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рублей), из них за счет средств, поступивших из федерального бюджета, – 115366</w:t>
      </w:r>
      <w:r w:rsidR="00C54634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100% к годовым плановым назначениям.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54634" w:rsidRPr="005E784E" w:rsidRDefault="00C54634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р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амках государственной программы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91453,6 тыс. рублей (99,9%), из них за счет средств, поступивших из федерального бюджета, – 22752,8 тыс. рублей (100%),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- 44,7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(61,1%)</w:t>
      </w:r>
      <w:r w:rsid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0648">
        <w:t xml:space="preserve"> </w:t>
      </w:r>
      <w:r w:rsidR="003D0648" w:rsidRP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 w:rsidRP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обеспечения реализации государственной программы Чувашской Респу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блики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- 91408,9 тыс. рублей (99,9%), из них за счет средств, поступивших из федерального бюджета, – 22752,8 тыс. рублей (100%),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- 68637,2 тыс. рублей (99,9%);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- 18,9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обеспечение деятельности депутатов Государственной Думы и их помощников в избирательных округах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иных межбюджетных трансфертов, выделяемых из федерального бюджета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- 16955,5 тыс. рублей (100%)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членов Совета Федерации и их помощников в субъектах Российской Федерации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иных межбюджетных трансфертов, выделяемых из федерального бюдже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- 5797,3 тыс. рублей (100%).</w:t>
      </w:r>
    </w:p>
    <w:p w:rsidR="00147935" w:rsidRDefault="0014793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3B292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B2925" w:rsidRPr="005E784E" w:rsidRDefault="003B2925" w:rsidP="003B292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170827,3 тыс. рублей, или 97,3% к годовым плановым назначениям (175499,5 тыс. рублей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общественного порядка и противодействие преступности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- 17195,5 тыс. рублей (99,5%),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детской беспризорности, безнадзорности и правонарушений несовершеннолетних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комиссий по делам несовершеннолетних и защите их прав и организаци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таких комиссий - 16979,7 тыс. рублей (99,5%);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общественного порядка и противодействие преступности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административных комиссий для рассмотрения дел об административных правонарушениях - 215,8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хранения, комплектования, учета и использования документов Архивного фонда Чувашской Республики - 618,1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образования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осуществление деятельности по опеке и попечительству - 28874,4 тыс. рублей (95,8%);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- 124002,3 тыс. рублей (97,4%),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- 113,8 тыс. рублей (58,8%)</w:t>
      </w:r>
      <w:r w:rsid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F0169" w:rsidRPr="007F0169">
        <w:t xml:space="preserve"> 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- 123888,5 тыс. рублей (97,5%),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беспечение функций государственных органов - 119224,6 тыс. рублей (97,8%);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 по обязательствам Чувашской Республики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Кабинета Министров Чувашской Республики - 1073,7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комплексных исследований социального благополучия населения, изучени</w:t>
      </w:r>
      <w:r w:rsidR="00620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общественного мнения о работе органов государственной власти Чувашской Республики и органов местного самоуправления - 604,2 тыс. рублей (68,2%)</w:t>
      </w:r>
      <w:r w:rsid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D0648" w:rsidRP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обеспечение деятельности Общественной палаты Чувашской Республики - 2477,3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(93%)</w:t>
      </w:r>
      <w:r w:rsid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0648" w:rsidRPr="003D0648">
        <w:t xml:space="preserve"> </w:t>
      </w:r>
      <w:r w:rsidR="003D0648" w:rsidRP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отказ от проведен</w:t>
      </w:r>
      <w:r w:rsid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Форума НКО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из-за введения ограничений в связи с </w:t>
      </w:r>
      <w:proofErr w:type="spellStart"/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</w:t>
      </w:r>
      <w:r w:rsid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сопровождение деятельности органов государственной власти Чувашской Республики - 508,7 тыс. рублей (84,8%)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F0169" w:rsidRPr="007F0169">
        <w:t xml:space="preserve"> 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экономия, сложившаяся в результате уменьшения объема материалов к Посланию Главы Чувашской Республики Государственному Совету Чувашской Республики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2020 год</w:t>
      </w:r>
      <w:r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ублики – 137,0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3B292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Судебная система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B2925" w:rsidRPr="005E784E" w:rsidRDefault="003B2925" w:rsidP="003B292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130197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99,9% к годовым плановым назначениям (130352,5 тыс. рублей), из них за счет средств, поступивших из федерального бюджета, – 501,6 тыс. рублей (100%),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- 130197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(99,9%), из них за счет средств, поступивших из федерального бюджета, – 501,6 тыс. рублей (100%),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B948F9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- 197,7 тыс. рублей (63,3%)</w:t>
      </w:r>
      <w:r w:rsid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F0169" w:rsidRPr="007F0169">
        <w:t xml:space="preserve"> 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государственного управления в сфере юстиции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- 129993,3 тыс. рублей (100%), из них за счет средств, поступивших из федерального бюджета, – 501,6 тыс. рублей (100%),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организационное обеспечение деятельности мировых судей Чувашской Республики - 128452,6 тыс. рублей (100%);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- 101,2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надлежащих условий для размещения судебных участков мировых судей - 937,9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 - 501,6 тыс. рублей (100%)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B948F9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выплаты по обязательствам Чувашской Республики </w:t>
      </w:r>
      <w:r w:rsidR="00B948F9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</w:t>
      </w:r>
      <w:r w:rsidR="00B948F9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(100%).</w:t>
      </w:r>
    </w:p>
    <w:p w:rsidR="00151571" w:rsidRPr="005E784E" w:rsidRDefault="00151571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BC345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B948F9" w:rsidRPr="005E784E" w:rsidRDefault="00B948F9" w:rsidP="00BC345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данному подразделу осуществлены расходы республиканского бюджета Чувашской Республики в сумме 136464,5 тыс. рублей, или 98,4% к годовым плановым назначениям (138727,6 тыс. рублей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- 136323,9 тыс. рублей (98,6%), в том числе:</w:t>
      </w:r>
    </w:p>
    <w:p w:rsidR="00DE2F60" w:rsidRPr="005E784E" w:rsidRDefault="00D12D99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бюджетных расходов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B948F9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и развитие программного обеспечения автоматизированной системы управления бюджетным процессом - 11370,1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- 124953,8 тыс. рублей (98,5%),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- 124113,8 тыс. рублей (98,4%);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</w:t>
      </w:r>
      <w:r w:rsidR="00B948F9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840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- 140,6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(59,7%).</w:t>
      </w:r>
      <w:r w:rsidR="007F0169" w:rsidRPr="007F0169">
        <w:t xml:space="preserve"> 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3E06" w:rsidRPr="005E784E" w:rsidRDefault="00B43E06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Обеспечение проведения выборов и референдумов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47768" w:rsidRPr="005E784E" w:rsidRDefault="00347768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283035,3 тыс. рублей, или 100% к годовым плановым назначениям (283057</w:t>
      </w:r>
      <w:r w:rsidR="003D0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рублей), из них за счет средств, поступивших из федерального бюджета, – 92111,6 тыс. рублей (100%),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45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средств, поступивших из федерального бюджета,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- 92111,6 тыс. рублей (100%), в том числе на: </w:t>
      </w:r>
      <w:proofErr w:type="gramEnd"/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45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C345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- 48186,6 тыс. рублей (100%)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45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C345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43925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- 190923,7 тыс. рублей (100%),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законодательством Чувашской Республики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- 37,5 тыс. рублей (63,3%)</w:t>
      </w:r>
      <w:r w:rsid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- 190886,2 тыс. рублей (100%),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- 20235,8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выборов высшего должностного лица Чувашской Республики - 157524,3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 е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проведен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- 13126,1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Прикладные научные исследования в области общегосударственных вопросов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47768" w:rsidRPr="005E784E" w:rsidRDefault="00347768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225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  <w:proofErr w:type="gramEnd"/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9C0" w:rsidRDefault="007169C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Default="00DE2F6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общегосударственные вопросы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169C0" w:rsidRPr="005E784E" w:rsidRDefault="007169C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569099,1 тыс. рублей, или 94,7% к годовым плановым назначениям (600963,6 тыс. рублей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правонарушений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общественного порядка и противодействие преступности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- 1567,8 тыс. рублей (100%),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республиканского конкурса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Лучший народный дружинник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- 70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- 1497,8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земельных и имущественных отношений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- 15558,3 тыс. рублей (95,7%),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государственным имуществом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- 12479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</w:r>
      <w:r w:rsidR="00BC3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70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кадастровых работ в отношении объектов капитального строительства, находящихся в государственной собственности Чувашской Республики, и внесение сведений в Единый государственный реестр недвижимости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298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 - 11550,3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 - 560,7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эффективного государственного сектора экономики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- 3079,3 тыс. рублей (81,4%),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проведения оценки (экспертизы) рыночной стоимости подлежащих приватизации объектов и аудиторских проверок приватизируемых унитарных предприятий Чувашской Республики - 394,6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продаж объектов приватизации - 2,1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 - 845,8 тыс. рублей (99,7%);</w:t>
      </w:r>
    </w:p>
    <w:p w:rsidR="00DE2F60" w:rsidRPr="00B3099B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гарантий прав на государственное имущество Чувашской Республики, в том числе на землю, и защит</w:t>
      </w:r>
      <w:r w:rsidR="007A69C0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 и законных интересов собственников, землепользователей, землевладельцев и арендаторов земельных участков - 1836,8 тыс. рублей (72,3%)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оплаты исполнительных листов по факту их предъявления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функций государственных органов - 2889,2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- 90268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(99,5%),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- 416,9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архивов - 54055,4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конкурсов, научно-практических конференций, чтений, круглых столов, выставок - 391,5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архивов - 25642,2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DC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168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 муниципальных архивов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9594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(95,9%);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деятельности КУ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Централизованная бухгалтерия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- 43378,9 тыс. рублей (99,7%);</w:t>
      </w:r>
    </w:p>
    <w:p w:rsidR="00DE2F60" w:rsidRPr="004412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образования</w:t>
      </w:r>
      <w:r w:rsidR="003B2925"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функций государственных органов - 2450,1 тыс. рублей (50%)</w:t>
      </w:r>
      <w:r w:rsidR="007F0169"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проведение мероприятий по ликвидации </w:t>
      </w:r>
      <w:r w:rsidR="00441260"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Уполномоченного по правам ребенка в Чувашской Республике и его аппарата</w:t>
      </w:r>
      <w:r w:rsidRP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Экономическое развитие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- 77806,3 тыс. рублей (99%),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государственного стратегического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оказание </w:t>
      </w:r>
      <w:proofErr w:type="spell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Чувашстатом</w:t>
      </w:r>
      <w:proofErr w:type="spell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услуг для государственных нужд Чувашской Республики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1071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качества предоставления государственных и муниципальных услуг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услуг в АУ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Минэкономразвития Чувашии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7298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B1664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Экономическое развитие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- 69372,4 тыс. рублей (98,9%);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выплаты по обязательствам Чувашской Республики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- 61,9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- 2806,3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рублей (27,7%),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бюджетной политики и обеспечение сбалансированности консолидированного бюджета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присвоение и поддержание кредитного рейтинга Чувашской Республики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900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бюджетных расходов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- 1906,3 тыс. рублей (49,1%),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конкурса проектов по представлению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для граждан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- 50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казенного учреждения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Республиканский центр бухгалтерского учета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- 1856,3 тыс. рублей (48,4%)</w:t>
      </w:r>
      <w:r w:rsid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F0169" w:rsidRPr="007F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указанных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591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- 194964,3 тыс. рублей (96,7%),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Противодействие коррупции в Чувашской Республике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- 649,2 тыс. рублей (97%),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социологических исследований на предмет уровня коррупции - 486,2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конкурсов антикоррупционной направленности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70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9C016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размещение работ победителей конкурсов на разработку сценариев социальной рекламы антикоррупционной направленности на радио и телевидении, в средствах массовой информации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93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(82%)</w:t>
      </w:r>
      <w:r w:rsid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0166" w:rsidRPr="009C0166">
        <w:t xml:space="preserve"> </w:t>
      </w:r>
      <w:r w:rsidR="009C0166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указанных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9C0166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C016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- 102,5 тыс. рублей (71,9%)</w:t>
      </w:r>
      <w:r w:rsid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0166" w:rsidRPr="009C0166">
        <w:t xml:space="preserve"> </w:t>
      </w:r>
      <w:r w:rsidR="009C0166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9C0166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- 194212,6 тыс. рублей (96,7%),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функций государственных органов </w:t>
      </w:r>
      <w:r w:rsidR="00B16647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24365</w:t>
      </w:r>
      <w:r w:rsidR="00B16647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(92%)</w:t>
      </w:r>
      <w:r w:rsidR="002B227E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B227E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B227E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2B227E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в связи с временными разрывами между освобождением и назначением на должность Уполномоченного</w:t>
      </w:r>
      <w:r w:rsidR="00591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правам ребенка</w:t>
      </w:r>
      <w:r w:rsidR="002B227E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(29.04.20-16.10.20)</w:t>
      </w:r>
      <w:r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(оказание услуг) государственных учреждений - 167657,1 тыс. рублей (97,5%);</w:t>
      </w:r>
    </w:p>
    <w:p w:rsidR="00DE2F60" w:rsidRPr="002157B5" w:rsidRDefault="00DE2F60" w:rsidP="00C546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>выполнение других обязательств Чувашской Республи</w:t>
      </w:r>
      <w:r w:rsidR="002B227E" w:rsidRPr="002157B5">
        <w:rPr>
          <w:rFonts w:ascii="Times New Roman" w:eastAsia="Times New Roman" w:hAnsi="Times New Roman"/>
          <w:sz w:val="24"/>
          <w:szCs w:val="24"/>
          <w:lang w:eastAsia="ru-RU"/>
        </w:rPr>
        <w:t>ки - 2017,8 тыс. рублей</w:t>
      </w:r>
      <w:r w:rsidR="002B227E" w:rsidRPr="002157B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2B227E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(90,7%). 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Причиной неполного освоения средств является проведение празднования Дня 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Республики в онлайн формате, в связи с ограничениями</w:t>
      </w:r>
      <w:r w:rsidR="00D12D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вызванными распространением </w:t>
      </w:r>
      <w:proofErr w:type="spellStart"/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</w:t>
      </w:r>
      <w:r w:rsidR="002B227E" w:rsidRPr="002157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- 172,7 тыс. рублей (99%);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- 137409,9 тыс. рублей (91,2%),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информационных технологий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- 48480,4 тыс. рублей (82,3%),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создание,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эксплуатаци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системы электронного документооборота Чувашской Республики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8755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(49,7%)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расторжением государственного контракта от 15 июля 2020 г. № 31 на выполнение работ по модернизации региональной государственной информационной системы «Система электронного документооборота органов исполнительной власти Чувашской Республики» в части развития интерактивных сервисов руководителя по соглашению сторон;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информационно-технологической и телекоммуникационной инфраструктуры для размещения информации о деятельности органов исполнительной власти Чувашской Республики и органов местного самоуправления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515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создание,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эксплуатаци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прикладных информационных систем поддержки выполнения (оказания) органами исполнительной власти Чувашской Республики основных функций (услуг) - 22961,9 тыс. рублей (93,7%)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экономией, образовавшейся по итогам проведенных конкурсных процедур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механизмов получения государственных и муниципальных услуг в электронном виде - 9726,7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функциональных возможностей и техническ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АИС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нужд МФЦ муниципальных районов и городских округов Чувашской Республики, уполномоченного МФЦ Чувашской Республики, в том числе офисов привлекаемых организаций на базе модельных библиотек сельских поселений, общее программное обеспечение, обеспечение средствами защиты от несанкционированного доступа к информации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4800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единого координатного пространства Чувашской Республики, создание системы высокоточного позиционирования на основе сети </w:t>
      </w:r>
      <w:proofErr w:type="spell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референцных</w:t>
      </w:r>
      <w:proofErr w:type="spell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станций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99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(97,1%);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создание,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эксплуатаци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сервисов и подсистем Регионального портала пространственных данных Чувашской Республики, интеграци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подсистем и сервисов Регионального портала пространственных данных Чувашской Республики с другими информационными и геоинформационными системами - 1622,8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- 83289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(96,6%),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Республиканского центра обработки данных - 27071,3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 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36249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(95%);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функционирования информационно-телекоммуникационной инфраструктуры в Чувашской Республике - 19968,7 тыс. рублей (95,1%);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безопасность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эксплуатаци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защиты информационных систем, используемых в государственных учреждениях Чувашской Республики, подведомственных органам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исполнительной власти Чувашской Республики, в муниципальных учреждениях в соответствии с соглашениями между муниципальными районами и городскими округами и операторами информационных систем о взаимодейст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вии</w:t>
      </w:r>
      <w:r w:rsidR="00B16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4776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- 5640,5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Национальная оборона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47768" w:rsidRPr="005E784E" w:rsidRDefault="00347768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Национальная оборона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36003,4 тыс. рублей, или 100% к годовым плановым назначениям </w:t>
      </w:r>
      <w:r w:rsidR="00F918F8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7768" w:rsidRPr="005E784E" w:rsidRDefault="00347768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Мобилизационная и вневойсковая подготовка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47768" w:rsidRPr="005E784E" w:rsidRDefault="00347768" w:rsidP="0034776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бюджетной политики и обеспечение сбалансированности консолидированного бюджета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8004D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- 36003,4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(100%).</w:t>
      </w:r>
      <w:proofErr w:type="gramEnd"/>
    </w:p>
    <w:p w:rsidR="00F918F8" w:rsidRPr="005E784E" w:rsidRDefault="00F918F8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E784E" w:rsidRDefault="00DE2F60" w:rsidP="00D8004D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Национальная безопасность и правоохранительная деятельность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8004D" w:rsidRPr="005E784E" w:rsidRDefault="00D8004D" w:rsidP="00D8004D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Национальная безопасность и правоохранительная деятельность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445650,4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рублей, или 99,1% к годовым плановым назначениям (449889</w:t>
      </w:r>
      <w:r w:rsidR="00C01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рублей), из них за счет средств, поступивших из федерального бюджета, – 137438,5 тыс. рублей, или 99,9% к годовым плановым назначениям.</w:t>
      </w:r>
    </w:p>
    <w:p w:rsidR="00D8004D" w:rsidRPr="005E784E" w:rsidRDefault="00D8004D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391CD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Органы юстиции</w:t>
      </w:r>
      <w:r w:rsidR="003B2925" w:rsidRPr="005E7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8004D" w:rsidRPr="005E784E" w:rsidRDefault="00D8004D" w:rsidP="00D8004D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111775,6 тыс. рублей, или 99,9% к годовым плановым назначениям (111875,3 тыс. рублей), из них за счет средств, поступивших из федерального бюджета, – 80945,6 тыс. рублей (99,9%), в том числе: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государственного управления в сфере юстиции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- 82541,3 тыс. рублей (99,9%), из них за счет средств, поступивших из федерального бюджета, – 80945,6 тыс. рублей (99,9%), в том числе </w:t>
      </w: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 - 695,1 тыс. рублей (99,9%);</w:t>
      </w:r>
    </w:p>
    <w:p w:rsidR="00DE2F60" w:rsidRPr="005E784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</w:r>
      <w:proofErr w:type="gramEnd"/>
      <w:r w:rsidR="00DE2F60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поддержки семей, имеющих детей, за счет средств резервного фонда Правительства Российской Федерац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- 4495,9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1997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143-ФЗ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актах гражданского состояния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на государственную регистрацию актов гражданского состояния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- 76248,9 тыс. рублей (100%)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1B3764" w:rsidRDefault="00DE2F60" w:rsidP="00C546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переданных полномочий Российской Федерации по государственной регистрации актов гражданского состояния</w:t>
      </w:r>
      <w:r w:rsidR="007A69C0" w:rsidRPr="001B3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B376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резервного фонда Правительства Российской Федерац</w:t>
      </w:r>
      <w:r w:rsidR="00F918F8" w:rsidRPr="001B3764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7A69C0" w:rsidRPr="001B3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18F8" w:rsidRPr="001B3764">
        <w:rPr>
          <w:rFonts w:ascii="Times New Roman" w:eastAsia="Times New Roman" w:hAnsi="Times New Roman"/>
          <w:sz w:val="24"/>
          <w:szCs w:val="24"/>
          <w:lang w:eastAsia="ru-RU"/>
        </w:rPr>
        <w:t xml:space="preserve"> - 200,8 тыс. рублей (72,6%)</w:t>
      </w:r>
      <w:r w:rsidR="001B3764" w:rsidRPr="001B3764">
        <w:rPr>
          <w:rFonts w:ascii="Times New Roman" w:eastAsia="Times New Roman" w:hAnsi="Times New Roman"/>
          <w:sz w:val="24"/>
          <w:szCs w:val="24"/>
          <w:lang w:eastAsia="ru-RU"/>
        </w:rPr>
        <w:t>. Причина</w:t>
      </w:r>
      <w:r w:rsidR="009C0166" w:rsidRPr="001B3764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неполного освоения </w:t>
      </w:r>
      <w:r w:rsidR="001B3764" w:rsidRPr="001B3764">
        <w:rPr>
          <w:rFonts w:ascii="Times New Roman" w:eastAsia="Times New Roman" w:hAnsi="Times New Roman"/>
          <w:sz w:val="24"/>
          <w:szCs w:val="24"/>
          <w:lang w:eastAsia="ru-RU"/>
        </w:rPr>
        <w:t>средст</w:t>
      </w:r>
      <w:proofErr w:type="gramStart"/>
      <w:r w:rsidR="001B3764" w:rsidRPr="001B3764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="001B3764" w:rsidRPr="001B3764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потребности в средствах</w:t>
      </w:r>
      <w:r w:rsidR="00F918F8" w:rsidRPr="001B37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отдельных категорий граждан бесплатной юридической помощью - 529,5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</w:t>
      </w:r>
      <w:r w:rsidR="005E784E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 ориентированных некоммерческих организаций – исполнителей общественно полезных услуг, оказывающих содействие в предоставлении бесплатной юридической помощи в Чувашской Республике - 255,3 тыс. рублей (99,7%);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издание брошюр (буклетов, </w:t>
      </w:r>
      <w:proofErr w:type="spellStart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презентационных материалов) в сфере оказания бесплатной юридической помощи в Чувашской Республике - 115,8 тыс. рублей (100%);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E784E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- 29151,7 тыс. рублей (99,9%);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</w:t>
      </w:r>
      <w:r w:rsidR="005E784E" w:rsidRPr="005E7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блики - 82,6 тыс. рублей (100%).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1B13B2" w:rsidRDefault="00DE2F60" w:rsidP="005E784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3B2925"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E784E" w:rsidRPr="001B13B2" w:rsidRDefault="005E784E" w:rsidP="005E784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95760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98,1% к годовым плановым назначениям (97571,4 тыс. рублей</w:t>
      </w:r>
      <w:r w:rsidR="002A1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- 11,2 тыс. рублей (100%);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- 95211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(98,1%), в том числе: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- 47669,3 тыс. рублей (98,5%), в том числе </w:t>
      </w:r>
      <w:proofErr w:type="gramStart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КУ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республиканская поисково-спасательная служба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- 40689,7 тыс. рублей (98,3%);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ГАУ ДПО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УМЦ ГЗ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ГКЧС Чувашии - 781,6 тыс. рублей (100%);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материально-технической базы ГКЧС Чувашии и подведомственных ему учреждений 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6198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(99,9%);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(развитие) аппаратно-программного комплекса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Безопасный город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системы обеспечения вызова экстренных оперативных служб по единому номеру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Чувашской Республики - 9258,1 тыс. рублей (99,9%);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обеспечения реализации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- 38283,6 тыс. рублей (98,6%), в том числе </w:t>
      </w:r>
      <w:proofErr w:type="gramStart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- 10490,9 тыс. рублей (100%);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КУ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обеспечения мероприятий гражданской защиты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- 27792,7 тыс. рублей (98,1%);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E784E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- 7,7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(53,1%)</w:t>
      </w:r>
      <w:r w:rsidR="00240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408E1" w:rsidRPr="00240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по результатам конкурсных процедур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</w:t>
      </w:r>
      <w:r w:rsidR="001B13B2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</w:t>
      </w:r>
      <w:r w:rsidR="00B2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B13B2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- 530,1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1B13B2" w:rsidRDefault="00DE2F60" w:rsidP="001B13B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Обеспечение пожарной безопасности</w:t>
      </w:r>
      <w:r w:rsidR="003B2925"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1B13B2" w:rsidRPr="001B13B2" w:rsidRDefault="001B13B2" w:rsidP="001B13B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161883,9 тыс. рублей, или 98,6% к годовым плановым назначениям (164211,4 тыс. рублей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- 161883,9 тыс. рублей (98,6%), в том числе </w:t>
      </w:r>
      <w:proofErr w:type="gramStart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КУ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республиканская противопожарная служба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- 132630</w:t>
      </w:r>
      <w:r w:rsidR="00FD117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(99,5%);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материально-технической базы ГКЧС Чувашии и подведомственных ему учреждений 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29253,9 тыс. рублей (99,6%).</w:t>
      </w:r>
    </w:p>
    <w:p w:rsidR="00356E99" w:rsidRDefault="00356E99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Default="00DE2F60" w:rsidP="001B13B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национальной безопасности и правоохранительной деятельности</w:t>
      </w:r>
      <w:r w:rsidR="003B2925" w:rsidRPr="001B1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1B13B2" w:rsidRPr="001B13B2" w:rsidRDefault="001B13B2" w:rsidP="001B13B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76230,9 тыс. рублей, или 100% к годовым плановым назначениям (76230,9 тыс. рублей), из них за счет средств, поступивших из федерального бюджета, – 56492,9 тыс. рублей (100%), в том числе: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 w:rsidR="003B2925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- 76230,9 тыс. рублей (100%), из них за счет средств, поступивших из федерального бюджета, – 56492,9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(100%), в том числе на: </w:t>
      </w:r>
      <w:proofErr w:type="gramEnd"/>
    </w:p>
    <w:p w:rsidR="00DE2F60" w:rsidRPr="001B13B2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реализацию</w:t>
      </w:r>
      <w:r w:rsidR="00DE2F60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- 18728,4 тыс. рублей (100%);</w:t>
      </w:r>
    </w:p>
    <w:p w:rsidR="00DE2F60" w:rsidRPr="001B13B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средств индивидуальной защиты в целях организации мероприятий по </w:t>
      </w:r>
      <w:proofErr w:type="gramStart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гражданами режима самоизоляции и установленных санитарно-эпидемиологических ограничений - 1009,6 тыс. рублей (100%);</w:t>
      </w:r>
    </w:p>
    <w:p w:rsidR="00DE2F60" w:rsidRPr="001B13B2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2F60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поступивших из федерального бюджет</w:t>
      </w:r>
      <w:r w:rsidR="001B13B2" w:rsidRPr="001B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– 56492,9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9C0CC3" w:rsidRDefault="00DE2F60" w:rsidP="001B13B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Национальная экономика</w:t>
      </w:r>
      <w:r w:rsidR="003B2925"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1B13B2" w:rsidRPr="009C0CC3" w:rsidRDefault="001B13B2" w:rsidP="001B13B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Национальная экономика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10769425,9 тыс. рублей, или 88,8% к годовым плановым назначениям (12124684</w:t>
      </w:r>
      <w:r w:rsidR="00707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рублей), из них за счет средств, поступивших из федерального бюджета, – 4667770,9 тыс. рублей, или 81,1% к годовым плановым назначениям.</w:t>
      </w:r>
    </w:p>
    <w:p w:rsidR="009C0CC3" w:rsidRPr="005E784E" w:rsidRDefault="009C0CC3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CF0E97" w:rsidRDefault="00DE2F60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0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CF0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F0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Общеэкономические вопросы</w:t>
      </w:r>
      <w:r w:rsidR="003B2925" w:rsidRPr="00CF0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C0CC3" w:rsidRPr="00CF0E97" w:rsidRDefault="009C0CC3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354897,4 тыс. рублей, или 99,1% к годовым плановым назначениям (358249,6 тыс. рублей), из них за счет средств, поступивших из федерального бюджета, – 82243,5 тыс. рублей (99,8%), в том числе: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- 236,2 тыс. рублей (96,8%), в том числе </w:t>
      </w: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хранения, комплектования, учета и использования документов Архивного фонда Чувашской Республики </w:t>
      </w:r>
      <w:r w:rsid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216</w:t>
      </w:r>
      <w:r w:rsid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9C0CC3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F918F8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- 20,2 тыс. рублей (72,1%)</w:t>
      </w:r>
      <w:r w:rsidR="009C0166"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02766" w:rsidRPr="00E0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связано </w:t>
      </w:r>
      <w:r w:rsidR="00E02766" w:rsidRPr="00E0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ограничениями</w:t>
      </w:r>
      <w:r w:rsidR="007E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02766" w:rsidRPr="00E0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вызванными распространением </w:t>
      </w:r>
      <w:proofErr w:type="spellStart"/>
      <w:r w:rsidR="00E02766" w:rsidRPr="00E0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E02766" w:rsidRPr="00E0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</w:t>
      </w:r>
      <w:r w:rsidRPr="009C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- 262549,3 тыс. рублей (99,6%), из них за счет средств, поступивших из федерального бюджета, – 82243,5 тыс. рублей (99,8%), в том числе: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 политика занятости населения и социальная поддержка безработных граждан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- 135131,1 тыс. рублей (99,7%), из них за счет средств, поступивших из федерального бюджета, – 82243,5 тыс. рублей (99,8%), в том числе </w:t>
      </w: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о положении на рынке труда в Чувашской Республике - 1806,6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(91,7%);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ярмарок вакансий и учебных рабочих мест - 117,1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оплачиваемых общественных работ - 13049,6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 - 8381,8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временного трудоустройства безработных граждан, испытывающих трудности в поиске работы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- 3906,2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  <w:r w:rsidR="007B4950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- 249,7 тыс. рублей (90,8%)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сокращение периода участия граждан на временных работах;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содействие </w:t>
      </w:r>
      <w:proofErr w:type="spell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безработных граждан - 3889,2 тыс. рублей (99,9%);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обучение и дополнительное профессиональное образование безработных граждан - 15281,9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образования и психологическую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безработных граждан - 2558,8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информационно-коммуникационной кампании, направленной на освещение мероприятий в рамках региональных проектов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9C0CC3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дополнительных мероприятий, направленных на снижение напряженности на рынке труда субъектов Российской Федерации, - 42623,6 тыс. рублей (100%), из них за счет средств, поступивших из федерального бюджета, – 42197,4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службы занятости - 2863,8 тыс. рублей (95,2%), из них за счет средств, поступивших из федерального бюджета, – 2835,2 тыс. рублей (95,2%);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переобучение, повышение квалификации работников предприятий в целях поддержки занятости и повышения эффективности рынка труда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1419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1404,8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- 11430,7 тыс. рублей (100%), из них за счет средств, поступивших из федерального бюджета, – 9380,6 тыс. рублей (100%);</w:t>
      </w:r>
      <w:proofErr w:type="gramEnd"/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 - 27253,1 тыс. рублей (99,9%), из них за счет средств, поступивших из федерального бюджета, – 26425,5 тыс. рублей (99,9%);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инвалидов молодого возраста при получении ими профессионального образования и содействие в последующем трудоустройстве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при адаптации на рабочем месте (в течение определенного периода времени), в том числе силами наставника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1BBA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368,4 тыс. рублей (95,7%);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 центров занятости населения - 127049,8 тыс. рублей (99,5%);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- 18485</w:t>
      </w:r>
      <w:r w:rsid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(99,9%), в том числе </w:t>
      </w: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функций государственных органов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18233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(99,9%);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 по обязательствам Чувашской Республики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(оплата исполнительных листов)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261,0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- 34131,9 тыс. рублей (95,2%), в том числе </w:t>
      </w: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- 34122,9 тыс. рублей (95,2%);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7B4950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CC3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140</w:t>
      </w:r>
      <w:r w:rsidR="009C0CC3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(60,4%)</w:t>
      </w:r>
      <w:r w:rsidR="002B227E"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B227E" w:rsidRPr="002B2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B202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- 22362,2 тыс. рублей (97,9%), в том числе: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 - 271,6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- 22090,6 тыс. рублей (97,9%);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промышленности и инновационная экономика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- 15192,8 тыс. рублей (99,4%), в том числе </w:t>
      </w: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- 15189,8 тыс. рублей (99,4%);</w:t>
      </w:r>
    </w:p>
    <w:p w:rsidR="00DE2F60" w:rsidRPr="009C0CC3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</w:t>
      </w:r>
      <w:r w:rsidR="002A1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="002A1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Доступная среда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сохранению рабочих мест для инвалидов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1800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9C0CC3" w:rsidRDefault="00DE2F60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Топливно</w:t>
      </w:r>
      <w:proofErr w:type="spellEnd"/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энергетический комплекс</w:t>
      </w:r>
      <w:r w:rsidR="003B2925"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C0CC3" w:rsidRPr="009C0CC3" w:rsidRDefault="009C0CC3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r w:rsidR="007B4950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подпрограммы «Расширение использования природного газа в качестве моторного топлива»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государственной программы Чувашской Республики «Развитие транспортной системы Чувашской Республики» 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 100640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71,5% к годовым плановым назначениям (140680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рублей), из них за счет средств, поступивших из федерального бюджета, – 95633,4 тыс. рублей (71,8%), в том числе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20640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(99,8%), из них за счет средств, поступивших из федерального бюджета, – 20433,4 тыс. рублей (99,8%);</w:t>
      </w:r>
    </w:p>
    <w:p w:rsidR="00DE2F60" w:rsidRPr="009C0CC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поддержку мероприятий по развитию заправочной инфраструктуры компримированного природного газа 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80000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(66,7%), из них за счет средств, поступивших из федерального бюджета, – 75200</w:t>
      </w:r>
      <w:r w:rsidR="009C0CC3" w:rsidRPr="009C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(66,7%).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язано с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тем, что представленные для предоставления субсидии документы по одному из трех объектов заправки транспортных средств компримированным природным газом не соответствовали условиям предоставления субсидии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390E" w:rsidRPr="003625DA" w:rsidRDefault="0041390E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9C0CC3" w:rsidRDefault="00DE2F60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Сельское хозяйство и рыболовство</w:t>
      </w:r>
      <w:r w:rsidR="003B2925" w:rsidRPr="009C0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C0CC3" w:rsidRPr="009C0CC3" w:rsidRDefault="009C0CC3" w:rsidP="009C0CC3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2384985,5 тыс. рублей, или 98,7% к годовым плановым назначениям (2417581,9 тыс. рублей), из них за счет средств, поступивших из федерального бюджета, – 1089017,4 тыс. рублей (99,1%), в том числе: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комплексного обустройства площадок под компактную жилищную застройку на сельских территориях в рамках обеспечения комплексного развития сельских территорий - 2939,6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(100%), из них за счет средств, поступивших из федерального бюджета, – 1888,9 тыс. рублей (100%);</w:t>
      </w:r>
      <w:proofErr w:type="gramEnd"/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9C0CC3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9C0CC3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56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- 2380634,9 тыс. рублей (98,7%), из них за счет средств, поступивших из федерального бюджета, – 1087051,1 тыс. рублей (99,1%), в том числе: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Техническая и технологическая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инновационное развитие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 - 345801,2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ветеринарии в Чувашской Республике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- 238476,7 тыс. рублей (98,1%), в том числе </w:t>
      </w:r>
      <w:proofErr w:type="gram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эпизоотологического мониторинга заразных, в том числе особо опасных, болезней животных - 144,6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противоэпизоотических мероприятий - 1258,4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 - 1700,1 тыс. рублей (27,3%)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</w:t>
      </w:r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</w:t>
      </w:r>
      <w:proofErr w:type="gramStart"/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</w:t>
      </w:r>
      <w:proofErr w:type="gramEnd"/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неполным представлением документов об отлове и содержании безнадзорных животных на перечисление субвенций муниципальными районами и городскими округами Чувашской Республики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учреждений государственной ветеринарной службы - 221064,7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специальных автомобилей с установкой подвижной дезинфекционной ДУК (дезинфекционное устройство Комарова) 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2400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лабораторным оборудованием бюджетных учреждений ветеринарии - 5874,6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учреждений государственной ветеринарной службы Чувашской Республики - 4180,6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передвижных пунктов на базе специального автомобиля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Ветеринарная помощь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- 1853,7 тыс. рублей (100%);</w:t>
      </w:r>
    </w:p>
    <w:p w:rsidR="007B4950" w:rsidRPr="00250FF1" w:rsidRDefault="00DE2F60" w:rsidP="007B495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мелиорации земель сельскохозяйственного назначения Чувашской Республики</w:t>
      </w:r>
      <w:r w:rsidR="003B2925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- 55663,5 тыс. рублей (85,2%), из них за счет средств, поступивших из федерального бюджета, – 54692,6 тыс. рублей (85,3%) на</w:t>
      </w:r>
      <w:r w:rsidR="007B4950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в области мелиорации земель сельскохозяйственного назначения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Неполное освоение средств связано с отсутствием </w:t>
      </w:r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заявок от</w:t>
      </w:r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="00B3099B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субсидий в соответствии с постановлением Кабинета Министров Чувашской Республики от 13 ноября 2014 г. № 397 «</w:t>
      </w:r>
      <w:r w:rsidR="00951BBA" w:rsidRP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Правил предоставления субсидий из республиканского бюджета Чувашской Республики на реализацию мероприятий подпрограммы </w:t>
      </w:r>
      <w:r w:rsid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951BBA" w:rsidRP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мелиорации земель сельскохозяйственного </w:t>
      </w:r>
      <w:r w:rsidR="00951BBA" w:rsidRP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назначения Чувашской Республики</w:t>
      </w:r>
      <w:r w:rsid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51BBA" w:rsidRP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951BBA" w:rsidRP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сельского хозяйства и регулирование рынка сельскохозяйственной продукции, сырья</w:t>
      </w:r>
      <w:proofErr w:type="gramEnd"/>
      <w:r w:rsidR="00951BBA" w:rsidRP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продовольствия Чувашской Республики</w:t>
      </w:r>
      <w:r w:rsidR="0095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B4950" w:rsidRPr="00B30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отраслей агропромышленного комплекса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- 1424995,7 тыс. рублей (99,7%), из них за счет средств, поступивших из федерального бюджета, – 898682 тыс. рублей (100%), в том числе </w:t>
      </w:r>
      <w:proofErr w:type="gram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уплату процентов по краткосрочным и инвестиционным кредитам, не обеспечиваемым </w:t>
      </w:r>
      <w:proofErr w:type="spell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софинансированием</w:t>
      </w:r>
      <w:proofErr w:type="spell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федерального бюджета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- 9693,2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части затрат на выполнение мероприятий по повышению плодородия почв - 9602,2 тыс. рублей (95,2%);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содержание поголовья коров 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157676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(99,5%);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части затрат на производство хмеля при условии его реализации - 5108,9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стимулирование развития приоритетных </w:t>
      </w:r>
      <w:proofErr w:type="spell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подотраслей</w:t>
      </w:r>
      <w:proofErr w:type="spell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агропромышленного комплекса и развитие малых форм хозяйствования - </w:t>
      </w:r>
      <w:r w:rsidR="00AF4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638850,5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AF4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99,8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%), из них за счет средств, поступивших из федерального бюджета, – 452880,5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</w:t>
      </w:r>
      <w:r w:rsidR="00250FF1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сельскохозяйственного производства по </w:t>
      </w:r>
      <w:proofErr w:type="gram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подотраслям</w:t>
      </w:r>
      <w:proofErr w:type="spell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растениеводства и животноводства 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584474,8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445801,5 тыс. рублей (100%);</w:t>
      </w:r>
    </w:p>
    <w:p w:rsidR="00DE2F60" w:rsidRPr="00250FF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социально-значимым предприятиям мукомольной промышленности </w:t>
      </w:r>
      <w:proofErr w:type="gramStart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возмещение недополученных ими доходов в связи с реализацией по сниженным ценам муки для хлебозаводов</w:t>
      </w:r>
      <w:proofErr w:type="gramEnd"/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осуществляющих свою деятельность на территории Чувашской Республики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- 19590,1 тыс. рублей (96,1%);</w:t>
      </w:r>
    </w:p>
    <w:p w:rsidR="00DE2F60" w:rsidRPr="003215A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инвестиционной деятельности в агропромышленном комплексе</w:t>
      </w:r>
      <w:r w:rsidR="003B2925"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5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- 142905,1 тыс. рублей (91,1%), из них за </w:t>
      </w:r>
      <w:r w:rsidRPr="0032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счет средств, поступивших из федерального бюджета, – 73658,7 тыс. рублей (99,2%), в том числе </w:t>
      </w:r>
      <w:proofErr w:type="gramStart"/>
      <w:r w:rsidRPr="0032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2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3215A1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уплату процентов по инвестиционным кредитам (займам) в агропромышленном комплексе 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2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4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45850,7 </w:t>
      </w:r>
      <w:r w:rsidRPr="00321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(100%), из них за счет средств, поступивших из федерального бюджета, – 32233,8 тыс. рублей (100%);</w:t>
      </w:r>
    </w:p>
    <w:p w:rsidR="00DE2F60" w:rsidRPr="00A7509F" w:rsidRDefault="00DE2F60" w:rsidP="00C546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</w:t>
      </w:r>
      <w:r w:rsidR="00AF4A3A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4A3A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97054,4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AF4A3A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87,5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%), из них за счет средств, поступивших из </w:t>
      </w:r>
      <w:r w:rsidRPr="00A7509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бюджета, – 41424,9 тыс. рублей (98,6%)</w:t>
      </w:r>
      <w:r w:rsidR="00356E99" w:rsidRPr="00A7509F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Неполное освоение средств связано с отсутствием </w:t>
      </w:r>
      <w:r w:rsidR="00A7509F" w:rsidRPr="00A7509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достаточного количества </w:t>
      </w:r>
      <w:r w:rsidR="00356E99" w:rsidRPr="00A7509F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1B3764" w:rsidRPr="00A7509F">
        <w:rPr>
          <w:rFonts w:ascii="Times New Roman" w:eastAsia="Times New Roman" w:hAnsi="Times New Roman"/>
          <w:sz w:val="24"/>
          <w:szCs w:val="24"/>
          <w:lang w:eastAsia="ru-RU"/>
        </w:rPr>
        <w:t xml:space="preserve">ок от </w:t>
      </w:r>
      <w:proofErr w:type="spellStart"/>
      <w:r w:rsidR="00A7509F" w:rsidRPr="00A7509F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="00A7509F" w:rsidRPr="00A7509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невыполнения условий получения субсидий</w:t>
      </w:r>
      <w:r w:rsidRPr="00A7509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09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</w:t>
      </w:r>
      <w:r w:rsidR="003B2925" w:rsidRPr="00A7509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7509F">
        <w:rPr>
          <w:rFonts w:ascii="Times New Roman" w:eastAsia="Times New Roman" w:hAnsi="Times New Roman"/>
          <w:sz w:val="24"/>
          <w:szCs w:val="24"/>
          <w:lang w:eastAsia="ru-RU"/>
        </w:rPr>
        <w:t>Обеспечение общих условий функционирования отраслей агропромышленного комплекса</w:t>
      </w:r>
      <w:r w:rsidR="003B2925" w:rsidRPr="00A7509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7509F">
        <w:rPr>
          <w:rFonts w:ascii="Times New Roman" w:eastAsia="Times New Roman" w:hAnsi="Times New Roman"/>
          <w:sz w:val="24"/>
          <w:szCs w:val="24"/>
          <w:lang w:eastAsia="ru-RU"/>
        </w:rPr>
        <w:t xml:space="preserve"> - 43449,6 тыс. рублей (98,9%),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закупочных и товарных интервенций на рынках сельскохозяйственной продукции, а также залоговых операций - 8157,6 тыс. рублей (94,6%)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экономией, обусловленной выпуском зерна из республиканского материального резерва Чувашской Республики;</w:t>
      </w:r>
    </w:p>
    <w:p w:rsidR="00DE2F60" w:rsidRPr="00E35BC9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конкурсов, выставок и ярмарок с участием организаций агропромышленного комплекса - 3724,7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поощрение победителей экономического соревнования в сельском хозяйстве между муниципальными районами Чувашской Республики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255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E35BC9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="00441260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- 10918,5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проведение информационно-коммуникационной кампании, направленной на освещение мероприятий в рамках региональных проектов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- 2966,5 тыс. рублей (98,9%);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методической, информационной и консультационной поддержки сельскохозяйственным товаропроизводителям - 17427,3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Экспорт продукции агропромышленного комплекса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- 10064,4 тыс. рублей (99,7%), из них за счет средств, поступивших из федерального бюджета, – 7707,2 тыс. рублей (100%),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производства масличных культур - 7785,1 тыс. рублей (100%), из них за счет средств, поступивших из федерального бюджета, – 7707,2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содействие участию сельскохозяйственных товаропроизводителей Чувашской Республики в 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выставочно</w:t>
      </w:r>
      <w:proofErr w:type="spell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-ярмарочной деятельности, осуществляемой на территории Российской Федерации и за ее пределами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- 2279,3 тыс. рублей (98,7%);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системы поддержки фермеров и развитие сельской кооперации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- 52839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52310,6 тыс. рублей (100%),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системы поддержки фермеров и развитие сельской кооперации 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52839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(100%), из них за счет средств, поступивших из федерального бюджета, – 52310,6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- 66436,7 тыс. рублей (99,7%);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выплаты по обязательствам Чувашской Республики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разнообразие Чувашской Республики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переданных органам государственной власти субъектов Российской Федерации в соответствии с частью 1 статьи 6 Федерального закона от 24 апреля 1995 года № 52-ФЗ </w:t>
      </w:r>
      <w:r w:rsidR="00D1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животном мире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в области организации, регулирования и охраны водных биологических ресурсов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субвенции, предоставляемой из федерального бюджета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- 77,4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26562A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- 85,2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(61,5%)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- 1192,4 тыс. рублей (99,9%).</w:t>
      </w:r>
    </w:p>
    <w:p w:rsidR="00FC1049" w:rsidRDefault="00FC1049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E35BC9" w:rsidRDefault="00DE2F60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Водное хозяйство</w:t>
      </w:r>
      <w:r w:rsidR="003B2925"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35BC9" w:rsidRPr="00E35BC9" w:rsidRDefault="00E35BC9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сумме 30672,4 тыс. рублей, или 87% к годовым плановым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назначениям (35237,7 тыс. рублей), из них за счет средств, поступивших из федерального бюджета, – 3737,3 тыс. рублей (100%), в том числе: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водохозяйственного комплекса Чувашской Республики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- 30672,4 тыс. рублей (87%), из них за счет средств, поступивших из федерального бюджета, – 3737,3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(100%),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расчистк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русла реки Сура в районе ковшевого водозабора г. Алатырь - 1344,1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экологический мониторинг водных объектов, расположенных на территории Чувашской Республики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- 366,2 тыс. рублей (99,5%);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 по представлению в Управление Федеральной службы государственной регистрации, кадастра и картографии по Чувашской Республике документов, необходимых для внесения в Единый государственный реестр недвижимости сведений об ограничениях, связанных с особыми условиями использования зон санитарной охраны источников питьевого и хозяйственно-бытового водоснабжения</w:t>
      </w:r>
      <w:r w:rsidR="007A69C0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5BC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111</w:t>
      </w:r>
      <w:r w:rsidR="00E35BC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(24,4%)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экономия, сложившаяся по результатам проведения конкурсных процедур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в области использования, охраны водных объектов и гидротехнических сооружений - 18943,3 тыс. рублей (90,4%)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экономия расходов по уплате налога на имущество;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противопаводковых</w:t>
      </w:r>
      <w:proofErr w:type="spell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- 87,8 тыс. рублей (100%);</w:t>
      </w:r>
    </w:p>
    <w:p w:rsidR="00DE2F60" w:rsidRPr="00CE6840" w:rsidRDefault="00DE2F60" w:rsidP="00C5463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содержание объекта </w:t>
      </w:r>
      <w:r w:rsidR="003B2925"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Комплекс водозаборных сооружений, сооружений очистки воды для хозяйственно-питьевых целей и санитарных зон источника питьевого водоснабжения группового водовода </w:t>
      </w:r>
      <w:proofErr w:type="spellStart"/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Батыревского</w:t>
      </w:r>
      <w:proofErr w:type="spellEnd"/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Шемуршинского</w:t>
      </w:r>
      <w:proofErr w:type="spellEnd"/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Комсомольского районов Чувашской Республики</w:t>
      </w:r>
      <w:r w:rsidR="003B2925"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- 2885,4 тыс. рублей (91,7%)</w:t>
      </w:r>
      <w:r w:rsid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E6840"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Причиной неполного освоения средств является экономия по расходам на оплату коммунальны</w:t>
      </w:r>
      <w:r w:rsidR="002341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r w:rsidR="00CE6840"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</w:t>
      </w:r>
      <w:r w:rsidRPr="00CE6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 в сфере водного хозяйства - 3188,8 тыс. рублей (98,2%);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отдельных полномочий в области водных отношений за счет субвенции, предоставляемой из федерального бюдж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</w:t>
      </w:r>
      <w:r w:rsidR="001B3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- 2901,9 тыс. рублей (100%)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гидротехнических сооружений, находящихся в муниципальной собственности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- 843,9 тыс. рублей (100%), из них за счет средств, поступивших из федерального бюдж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ета, – 835,4 тыс. рублей (100%).</w:t>
      </w:r>
    </w:p>
    <w:p w:rsidR="00CE6840" w:rsidRPr="00E35BC9" w:rsidRDefault="00CE684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E35BC9" w:rsidRDefault="00DE2F60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Лесное хозяйство</w:t>
      </w:r>
      <w:r w:rsidR="003B2925"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35BC9" w:rsidRPr="00E35BC9" w:rsidRDefault="00E35BC9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«Развитие потенциала природно-сырьевых ресурсов и обеспечение экологической безопасности»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 163940,1 тыс. рублей, или 99,3% к годовым плановым назначениям (165034,1 тыс. рублей), из них за счет средств, поступивших из федерального бюджета, – 154961,4 тыс. рублей (99,7%), в том числе:</w:t>
      </w:r>
      <w:proofErr w:type="gramEnd"/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лесного хозяйства в Чувашской Республике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- 163940,1 тыс. рублей (99,3%), из них за счет средств, поступивших из федерального бюджета, – 154961,4 тыс. рублей (99,7%),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 по осуществлению мероприятий по охране, защите и воспроизводству лесов - 6003,8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отдельных полномочий в области лесных отношений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96299,4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в целях осуществления полномочий Российской Федерации в области лесных отношений - 753,9 тыс. рублей (97,3%);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деятельности государственного учреждения по реализации отдельных полномочий в области лесных отношений – КУ ЧР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Лесная охрана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Минприроды Чувашии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2221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(96,2%);</w:t>
      </w:r>
    </w:p>
    <w:p w:rsidR="0026562A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площади 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- 30226,5 тыс. рублей (100%); </w:t>
      </w:r>
    </w:p>
    <w:p w:rsidR="0026562A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лесовосстановлению</w:t>
      </w:r>
      <w:proofErr w:type="spell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лесоразведению 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- 664,8 тыс. рублей (100%);</w:t>
      </w:r>
    </w:p>
    <w:p w:rsidR="0026562A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запаса лесных семян для 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- 98,9 тыс. рублей (100%);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оснащение специализированных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учреждений органов государственной власти субъектов Российской Федерации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техникой и оборудованием для проведения комплекса мероприятий по охране лесов от пожаров 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562A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- 27671,8 тыс</w:t>
      </w:r>
      <w:r w:rsidR="0026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 (100%).</w:t>
      </w:r>
    </w:p>
    <w:p w:rsidR="0026562A" w:rsidRPr="005E784E" w:rsidRDefault="0026562A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E35BC9" w:rsidRDefault="00DE2F60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Транспорт</w:t>
      </w:r>
      <w:r w:rsidR="003B2925" w:rsidRPr="00E35B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35BC9" w:rsidRPr="00E35BC9" w:rsidRDefault="00E35BC9" w:rsidP="00E35BC9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308082,8 тыс. рублей, или 23% к годовым плановым назначениям (1341667,8 тыс. рублей), из них за счет средств, поступивших из федерального бюджета, – 155637,9 тыс. рублей (13,3%), в том числе: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- 5,6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транспортной системы Чувашской Республики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- 307996,1 тыс. рублей (23%), из них за счет средств, поступивших из федерального бюджета, – 155637,9 тыс. рублей (13,3%), в том числе:</w:t>
      </w:r>
    </w:p>
    <w:p w:rsidR="00DE2F60" w:rsidRPr="00053782" w:rsidRDefault="00DE2F60" w:rsidP="00C5463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рамках подпрограммы </w:t>
      </w:r>
      <w:r w:rsidR="003B2925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Безопасные и качественные автомобильные дороги</w:t>
      </w:r>
      <w:r w:rsidR="003B2925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</w:t>
      </w:r>
      <w:r w:rsidR="00E35BC9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деятельности государственных учреждений, реализующих мероприятия по обеспечению безопасности дорожного движения</w:t>
      </w:r>
      <w:r w:rsidR="006D4176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- 295,2 тыс. рублей (74,5%)</w:t>
      </w:r>
      <w:r w:rsidR="003F0654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3F0654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Неполное освоение средств</w:t>
      </w:r>
      <w:r w:rsid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0654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связано с экономией по фонду оплаты труда и взносам по обязательному социальному страхованию на выплаты по оплате труда работников </w:t>
      </w:r>
      <w:r w:rsidR="00053782"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 «ЦОБДД» Минтранса Чувашии</w:t>
      </w:r>
      <w:r w:rsidRPr="000537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Пассажирский транспорт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- 283332 тыс. рублей (21,5%), из них за счет средств, поступивших из федерального бюджета, – 155637,9 тыс. рублей (13,3%),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судебных актов по возмещению ГУП ЧР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Чувашавтотранс</w:t>
      </w:r>
      <w:proofErr w:type="spellEnd"/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Минтранса Чувашии потерь, связанных с перевозкой пассажиров по межмуниципальным маршрутам за январь-июль 2018 года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- 3021,2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материально-техническое обеспечение пассажирских перевозок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68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перевозок пассажиров по межмуниципальным маршрутам - 36420,6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(86,8%)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тем, что государственные контракты 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регулярных перевозок пассажиров и багажа автомобильным транспортом по регулируемым тарифам по межмуниципальным маршрутам, заключены на период с 2019 года по 2021 год. Оплата по контрактам за выполненные работы в декабре 2020 года осуществлена в 1 квартале 2021 года;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обновление подвижного состава городского наземного электрического транспорта при реализации мероприятий социально-экономического развития Чувашской Республики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157210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(13,3%), из них за счет средств, поступивших из федерального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бюджета, – 155637,9 тыс. рублей (13,3%)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Неполное освоение средств вызвано вынужденным простоем производства на АО «УТТЗ» (ввиду распространения новой </w:t>
      </w:r>
      <w:proofErr w:type="spellStart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(COVID-19)), в связи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чем оплата по государственным контрактам в 2020 году осуществлена за фактически поставленные троллейбусы в количестве 10 единиц вместо установленного государственными контрактами в количестве 68 единиц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потерь в доходах организациям железнодорожного транспорта,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 на территории Чувашской Республики</w:t>
      </w:r>
      <w:r w:rsidR="007A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- 79203,8 тыс. рублей (99,4%);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недополученных доходов АО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Содружество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возникших в результате перевозки пассажиров железнодорожным транспортом в пригородном сообщении на территории Чувашской Республики за 2013–2014 годы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- 7408,4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дорожного движения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системы предупреждения опасного поведения участников дорожного движения 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1100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транспортной системы Чувашской Республики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- 23268,9 тыс. рублей (99,2%), в том числе </w:t>
      </w:r>
      <w:proofErr w:type="gramStart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- 22380,2 тыс. рублей (99,2%);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 по обязательствам Чувашской Республики - 888,7 тыс. рублей (100%);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6D4176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- 26,6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(63,5%)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E35BC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блики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35BC9" w:rsidRPr="00E3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- 54,5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E920E6" w:rsidRDefault="00DE2F60" w:rsidP="00E920E6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E920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Дорожное хозяйство (дорожные фонды)</w:t>
      </w:r>
      <w:r w:rsidR="003B2925" w:rsidRPr="00E920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920E6" w:rsidRPr="00E920E6" w:rsidRDefault="00E920E6" w:rsidP="00E920E6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5527046,3 тыс. рублей, или 96,6% к годовым плановым назначениям (5722795,8 тыс. рублей), из них за счет средств, поступивших из федерального бюджета, – 1373727,9 тыс. рублей (98,3%), в том числе: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строительства жилья в Чувашской Республике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граждан в Чувашской Республике доступным и комфортным жильем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- 134986,2 тыс. рублей (96,2%), из них за счет средств, поступивших из федерального бюджета, – 132537,2 тыс. рублей (96,3%), в том числе </w:t>
      </w:r>
      <w:proofErr w:type="gramStart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автодорог по улицам № 1, 2, 3, 4, 5 в микрорайоне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Университетский-2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СЗР г. Чебоксары в рамках реализации мероприятий по стимулированию программ развития жилищного строительства субъектов Российской Федерации - 59660,7 тыс. рублей (93,3%), из них за счет средств, поступивших из 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федерального бюджета, – 57815,5 тыс. рублей (93,3%)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Неполное освоение обусловлено </w:t>
      </w:r>
      <w:r w:rsidR="00586B6A" w:rsidRP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уменьшением объемов работ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6B6A" w:rsidRP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строительства</w:t>
      </w:r>
      <w:r w:rsid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(заключено </w:t>
      </w:r>
      <w:r w:rsidR="00586B6A" w:rsidRP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="00586B6A" w:rsidRP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соглашение от 18.11.2020 к муниципальному контракту от 14.10.2019 </w:t>
      </w:r>
      <w:r w:rsid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</w:t>
      </w:r>
      <w:r w:rsidR="00586B6A" w:rsidRPr="00586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г. Чебоксары и АО «СЗ «ТУС»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уменьшение стоимости работ)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Автомобильная дорога № 1 в микрорайоне № 2 жилого района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Новый город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Чебоксары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- 22403,8 тыс. рублей (98,3%), из них за счет средств, поступивших из федерального бюджета, – 22224,2 тыс. рублей (98,3%);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Автомобильная дорога по улице </w:t>
      </w:r>
      <w:proofErr w:type="spellStart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Новогородская</w:t>
      </w:r>
      <w:proofErr w:type="spellEnd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микрорайоне № 2 жилого района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Новый город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Чебоксары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- 52921,7 тыс. рублей (98,9%), из них за счет средств, поступивших из федерального бюджета, – 52497,5 тыс. рублей (98,9%);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и общественных территорий муниципальных образований Чувашской Республики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городской среды на территории Чувашской Республики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2018–2024 годы на</w:t>
      </w:r>
      <w:r w:rsidR="00E920E6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развития общественной инфраструктуры, основанных на местных инициативах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- 9596,4 тыс. рублей (97,3%);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- 490381,1 тыс. рублей (96,8%), из них за счет средств, поступивших из федерального бюджета, – 94296</w:t>
      </w:r>
      <w:r w:rsidR="00E920E6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(95,9%), в том числе </w:t>
      </w:r>
      <w:proofErr w:type="gramStart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920E6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развития общественной инфраструктуры, основанных на местных инициативах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2F60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- 248514,1 тыс. рублей (98,2%);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проектирование, строительство, реконструкци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 - 74705,7 тыс. рублей (94,2%)</w:t>
      </w:r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обусловлено нарушением подрядными организациями сроков исполнения работ и иных условий контрактов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E920E6" w:rsidRDefault="006D4176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строительство, реконструкцию</w:t>
      </w:r>
      <w:r w:rsidR="00DE2F60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(планируемым к созданию) в сельских населенных пунктах, в рамках развития транспортной инфраструктуры на сельских территориях - 167161,3 тыс. рублей (95,9%), из них за счет средств, поступивших из федерального бюджета, – 94296</w:t>
      </w:r>
      <w:r w:rsidR="00E920E6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E2F60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(95,9%);</w:t>
      </w:r>
      <w:proofErr w:type="gramEnd"/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920E6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автодороги к Административно-развлекательному комплексу г. Чебоксары - 28351,7 тыс. рублей (99,8%);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Безопасные и качественные автомобильные дороги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транспортной системы Чувашской Республики</w:t>
      </w:r>
      <w:r w:rsidR="003B2925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- 4863730,9 тыс. рублей (96,5%), из них за счет средств, поступивших из федерального бюджета, – 1146894,7 тыс. рублей (98,7%), в том числе </w:t>
      </w:r>
      <w:proofErr w:type="gramStart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учреждений, реализующих мероприятия по обеспечению безопасности дорожного движения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- 6053,1 тыс. рублей (95,2%);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учреждений, реализующих мероприятия по содержанию и управлению дорожным хозяйством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20E6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43206</w:t>
      </w:r>
      <w:r w:rsidR="00E920E6"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(97,1%);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- 329666,8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(94,7%)</w:t>
      </w:r>
      <w:r w:rsidR="005D537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D5375" w:rsidRPr="00356E99">
        <w:t xml:space="preserve"> </w:t>
      </w:r>
      <w:r w:rsidR="005D5375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средств обусловлено отсутствием физических объемов выполненных работ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 автомобильных дорог общего пользования местного значения вне границ населенных пунктов в границах муниципального района - 320713,3 тыс. рублей (99,5%);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населенных пунктов поселения - 145492,4 тыс. рублей (99,1%);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автомобильных дорог общего пользования местного значения в границах населенных пунктов поселения - 90660,7 тыс. рублей (98,8%);</w:t>
      </w:r>
    </w:p>
    <w:p w:rsidR="00DE2F60" w:rsidRPr="00E920E6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городского округа - 101929,8 тыс. рублей (99,3%);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- 76688,3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(98,5%);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и реконструкци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местного значения в границах городского округа - 89166,2 тыс. рублей (92,1%)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F448D" w:rsidRP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</w:t>
      </w:r>
      <w:r w:rsid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 осуществлялось в соответствии с</w:t>
      </w:r>
      <w:r w:rsidR="005F448D" w:rsidRP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представленны</w:t>
      </w:r>
      <w:r w:rsid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5F448D" w:rsidRP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муниципальными образованиями заяв</w:t>
      </w:r>
      <w:r w:rsid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</w:t>
      </w:r>
      <w:r w:rsidR="005F448D" w:rsidRP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факту выполненных работ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содержание, проведение диагностики и проектирование по капитальному ремонту и ремонту автомобильных дорог общего пользования регионального или межмуниципального значения - 671272,8 тыс. рублей (91,7%)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обусловлено нарушением подрядными организациями сроков исполнения работ и иных условий контрактов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 строительства и реконструкции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регионального или межмуниципального значения и строительство площадок для передвижных постов весового контроля - 14038,4 тыс. рублей (93,6%)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1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Неполное освоение обусловлено </w:t>
      </w:r>
      <w:r w:rsidR="005F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уменьшением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потребности в запланированных расходах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национального проекта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Безопасные и качественные автомобильные дороги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- 1157651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(96,9%), из них за счет средств, поступивших из федерального бюджета, – 142123,8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и реконструкци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регионального и межмуниципального значения в рамках реализации национального проекта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Безопасные и качественные автомобильные дороги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- 87594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(96%);</w:t>
      </w:r>
    </w:p>
    <w:p w:rsidR="00DE2F60" w:rsidRPr="00FD59E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комплексного развития транспортной инфраструктуры Чебоксарской агломерации в рамках реализации национального проекта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Безопасные и качественные автомобильные дороги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- 1206892,7 тыс. рублей (97,8%), из них за счет средств, поступивших из федерального бюджета, – 664770,9 тыс. рублей (97,8%);</w:t>
      </w:r>
    </w:p>
    <w:p w:rsidR="000F7DDC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комплексного развития транспортной инфраструктуры Чебоксарской агломерации в рамках реализации национального проекта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Безопасные и качественные автомобильные дороги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Федерации </w:t>
      </w:r>
      <w:r w:rsidR="00E920E6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340000</w:t>
      </w:r>
      <w:r w:rsidR="00E920E6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камер </w:t>
      </w:r>
      <w:proofErr w:type="spell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фотовидеофиксации</w:t>
      </w:r>
      <w:proofErr w:type="spell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нарушений правил дорожного движения - 127828,1 тыс. рублей (97,3%);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автоматических пунктов весового и габаритного контроля на автомобильных дорогах общего пользования регионального и межмуниципального значени</w:t>
      </w:r>
      <w:r w:rsidR="00E920E6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- 54877,3 тыс. рублей (89,1%).</w:t>
      </w:r>
      <w:r w:rsidR="005D5375" w:rsidRPr="005D5375">
        <w:t xml:space="preserve"> </w:t>
      </w:r>
      <w:r w:rsidR="003F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3F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 по результатам проведения конкурсных процедур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FD59E7" w:rsidRDefault="00DE2F60" w:rsidP="00FD59E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Связь и информатика</w:t>
      </w:r>
      <w:r w:rsidR="003B2925"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FD59E7" w:rsidRPr="00FD59E7" w:rsidRDefault="00FD59E7" w:rsidP="00FD59E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«Цифровое общество Чувашии»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35459,7 тыс. рублей, или 99,9% к годовым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плановым назначениям (35506,2 тыс. рублей), из них за счет средств, поступивших из федерального бюджета, – 4039,4 тыс. рублей (99%), в том числе: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информационных технологий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модернизацию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межведомственного электронного взаимодействия - 4080,2 тыс. рублей (99%), из них за счет средств, поступивших из федерального бюджета, – 4039,4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(99%);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- 23285,9 тыс. рублей (100%), в том числе </w:t>
      </w:r>
      <w:proofErr w:type="gram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органов исполнительной власти Чувашской Республики компьютерами, периферийным и коммуникационным оборудованием - 22508,5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широкополосного доступа к информационно-телекоммуникационной сети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органов исполнительной власти Чувашской Республики и органов местного самоуправления - 777,4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безопасность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- 8093,6 тыс. рублей (99,9%), в том числе </w:t>
      </w:r>
      <w:proofErr w:type="gram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FD59E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модернизацию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эксплуатаци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защиты информационных систем, используемых органами исполнительной власти Чувашской Республики и органами местного самоуправления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E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- 7500,9 тыс. рублей (99,9%);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на использование в деятельности органов исполнительной власти Чувашской Республики и органов местного самоуправления преимущественно отечественного программного обеспеч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- 592,7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FD59E7" w:rsidRDefault="00DE2F60" w:rsidP="00FD59E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национальной экономики</w:t>
      </w:r>
      <w:r w:rsidR="003B2925" w:rsidRPr="00FD5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FD59E7" w:rsidRPr="00FD59E7" w:rsidRDefault="00FD59E7" w:rsidP="00FD59E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1863701,7 тыс. рублей, или 97,7% к годовым плановым назначениям (1907930,9 тыс. рублей), из них за счет средств, поступивших из федерального бюджета, – 1708772,7 тыс. рублей (100%), в том числе: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на территории Чувашской Республики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- 6478,3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строительства жилья в Чувашской Республике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граждан в Чувашской Республике доступным и комфортным жильем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- 22510,3 тыс. рублей (88%), в том числе </w:t>
      </w:r>
      <w:proofErr w:type="gram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учреждений, осуществляющих функции в сфере экспертизы и ценообразования в строительстве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- 2905,4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КУ ЧР </w:t>
      </w:r>
      <w:proofErr w:type="spellStart"/>
      <w:proofErr w:type="gramStart"/>
      <w:r w:rsidRP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лужба</w:t>
      </w:r>
      <w:proofErr w:type="spellEnd"/>
      <w:r w:rsidRP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единого заказчика - 19604,9 тыс. рублей (86,5%)</w:t>
      </w:r>
      <w:r w:rsidR="00E235BA" w:rsidRP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</w:t>
      </w:r>
      <w:r w:rsidR="0005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E235BA" w:rsidRP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="0005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экономия </w:t>
      </w:r>
      <w:proofErr w:type="gramStart"/>
      <w:r w:rsidR="0005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фонду оплаты труда в связи с принятием дополнительно сотрудников в штат в де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кабре</w:t>
      </w:r>
      <w:proofErr w:type="gramEnd"/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(средства были </w:t>
      </w:r>
      <w:r w:rsidR="0005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предусмотрены на октябрь – декабрь 2020 года)</w:t>
      </w:r>
      <w:r w:rsidR="00E2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</w:t>
      </w:r>
      <w:r w:rsid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19544</w:t>
      </w:r>
      <w:r w:rsid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(33,9%);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государственной программы 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- 375727</w:t>
      </w:r>
      <w:r w:rsid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(99,9%), из них за счет средств, поступивших из федерального бюджета, – 343860,1 тыс. рублей (100%), в том числе: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административного здания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Правительства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(объект культурного наследия (памятник истории и культуры федерального значения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Дома Советов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расположенного по адресу:</w:t>
      </w:r>
      <w:proofErr w:type="gram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Чувашская Республика, г. Чебоксары, площадь Республики, 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1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- 1218,6 тыс. рублей (87,7%)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средств образовалась в результате конкурсных процедур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- 374508,4 тыс. рублей (100%), из них за счет средств, поступивших из федерального бюджета, – 343860,1 тыс. рублей (100%), в том числе </w:t>
      </w:r>
      <w:proofErr w:type="gram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FD59E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мероприятий, направленных на формирование и продвижение туристского продукта Чувашской Республики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3385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комплекса обеспечивающей инфраструктуры туристско-рекреационного кластера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Этническая Чувашия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– электроснабжение - 9698,1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комплекса обеспечивающей инфраструктуры туристско-рекреационного кластера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Этническая Чувашия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- газоснабжение </w:t>
      </w:r>
      <w:proofErr w:type="spell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этнокомплекса</w:t>
      </w:r>
      <w:proofErr w:type="spell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Амазония</w:t>
      </w:r>
      <w:proofErr w:type="spellEnd"/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г. Чебоксары - 222,3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361203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343860,1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</w:t>
      </w:r>
      <w:r w:rsidR="006A7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мках государственной программы 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- 17562,8 тыс. рублей (94,4%), в том числе: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Техническая и технологическая модернизация, инновационное развитие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D4176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парка автотранспортных средств - 602,6 тыс. рублей (42%)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функций государственных органов - 16960,2 тыс. рублей (98,8%);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Экономическое развитие Чувашской Республики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- 1379910,2 тыс. рублей (99,9%), из них за счет средств, поступивших из федерального бюджета, – 1335232,2 тыс. рублей (100%), в том числе: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субъектов малого и среднего предпринимательства в Чувашской Республике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- 1378369,6 тыс. рублей (100%), из них за счет средств, поступивших из федерального бюджета, – 1335232,2 тыс. рублей (100%), в том числе </w:t>
      </w:r>
      <w:proofErr w:type="gram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дополнительных окон для приема и выдачи документов для юридических лиц и индивидуальных предпринимателей по принципу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окна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- 5011,5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 – наследие народного искусства</w:t>
      </w:r>
      <w:r w:rsidR="003B2925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молодых ремесленников и мастеров народных художественных промыслов 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450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FD59E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</w:t>
      </w:r>
      <w:r w:rsid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показов национальной одежды</w:t>
      </w:r>
      <w:r w:rsidR="00C15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400</w:t>
      </w:r>
      <w:r w:rsidR="00FD59E7"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докапитализаци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фондов содействия кредитования</w:t>
      </w:r>
      <w:r w:rsidRPr="00FD5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(гарантийных фондов, фондов поручительств) для оказания в 2020 году неотложных мер поддержки субъектов малого и среднего предпринимательства в условиях ухудшения ситуации в связи с 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распространением новой </w:t>
      </w:r>
      <w:proofErr w:type="spell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36340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35976,6 тыс. рублей (100%);</w:t>
      </w:r>
    </w:p>
    <w:p w:rsidR="00DE2F60" w:rsidRPr="00D96442" w:rsidRDefault="000F7DDC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докапитализацию</w:t>
      </w:r>
      <w:proofErr w:type="spellEnd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государственных </w:t>
      </w:r>
      <w:proofErr w:type="spellStart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- 6321,1 тыс. рублей (100%), из них за счет средств, поступивших из федерального бюджета, – 6257,9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льготного доступа субъектов малого и среднего предпринимательства к кредитным ресурсам при гарантийной поддержке в рамках реализации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 - 454545,5 тыс. рублей (100%), из них за счет средств, поступивших из федерального бюджета, – 450000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  <w:proofErr w:type="gramEnd"/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льготного доступа субъектов малого и среднего предпринимательства к кредитным ресурсам путем предоставления </w:t>
      </w:r>
      <w:proofErr w:type="spell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микрозаймов</w:t>
      </w:r>
      <w:proofErr w:type="spell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реализации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 - 555555,6 тыс. рублей (100%), из них за счет средств, поступивших из федерального бюджета, – 550000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  <w:proofErr w:type="gramEnd"/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 - 3641,7 тыс. рублей (100%), из них за счет средств, поступивших из федерального бюджета, – 3605,3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развитию новых финансовых инструментов (микрокредитование) в рамках государственной поддержки малого и среднего предпринимательства - 160332,2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(100%), из них за счет средств, поступивших из федерального бюджета, – 158728,9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центра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бизнес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объединяющего организации инфраструктуры поддержки субъектов малого и среднего предпринимательства на одной площадке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- 597,4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Центра координации поддержки экспортно-ориентированных субъектов малого и среднего предпринимательства - 1784,3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Республиканского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бизнес-инкубатора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21407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Центра координации поддержки экспортно-ориентированных субъектов малого и среднего предпринимательства в рамках государственной поддержки малого и среднего предпринимательства - 40949,3 тыс. рублей (100%), из них за счет средств, поступивших из федерального бюджета, – 40539,8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Центра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бизнес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объединяющего организации инфраструктуры поддержки субъектов малого и среднего предпринимательства на одной площадке в рамках государственной поддержки малого и среднего предпринимательства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82402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81578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в предпринимательскую деятельность и содействие созданию собственного бизнеса для каждой целевой группы в рамках государственной поддержки малого и среднего предпринимательства - 8632 тыс. рублей (100%), из них за счет средств, поступивших из федерального бюджета, – 8545,7 тыс. рублей (100%);</w:t>
      </w:r>
    </w:p>
    <w:p w:rsidR="00D96442" w:rsidRPr="00D96442" w:rsidRDefault="00DE2F60" w:rsidP="00D9644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потребительского рынка и системы защиты прав потребителей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- 1016,7 тыс. рублей (100%), в том числе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96442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межрегиональных, республиканских фестивалей и конкурсов среди работников и организаций сферы потребительского рынка и услуг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350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профильное обучение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- 353,2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</w:t>
      </w:r>
      <w:r w:rsidR="006D4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др. - 39,5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развитию внешнеэкономической деятельности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- 182,6 тыс. рублей (19,4%), в том числе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4B3291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официальных и рабочих визитов делегаций Чувашской Республики в субъекты Российской Федерации, зарубежные страны и организаци</w:t>
      </w:r>
      <w:r w:rsidR="006D4176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DE2F60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приемов представителей иностранных государств, международных организаций и субъектов Российской Федерации - 74,7 тыс. рублей (10,7%)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отмена рабочих визитов из-за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введения ограничений в связи с 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</w:t>
      </w:r>
      <w:r w:rsid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издание брошюр (буклетов, </w:t>
      </w:r>
      <w:proofErr w:type="spell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презентационных материалов) о Чувашской Республике, перевод информационных материалов и документов - 9,9 тыс. рублей (100%);</w:t>
      </w:r>
      <w:proofErr w:type="gramEnd"/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распространение через средства массовой информации и информационно-телекоммуникационную сеть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об экономическом потенциале Чувашской Республики и экспортных возможностях организаций в Чувашской Республике, нормативных правовых актах по вопросам ведения внешнеэкономической деятельности </w:t>
      </w:r>
      <w:r w:rsidR="00D96442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98</w:t>
      </w:r>
      <w:r w:rsidR="00D96442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(42,6%)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B3291" w:rsidRPr="004B3291">
        <w:t xml:space="preserve"> 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экономия по результатам электронного аукциона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Инвестиционный климат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- 341,3 тыс. рублей (40,2%), в том числе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позиционирование Чувашской Республики как региона, обладающего максимальным инвестиционным потенциалом и минимальным риском вложения инвестиций, как территории для внедрения новых технологий - 52,3 тыс. рублей (9,5%)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невозможность заключения контракта в связи с включением победителя аукциона в реестр недобросовестных поставщиков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мониторинга административных барьеров и оценки состояния конкурентной среды на приоритетных и социально значимых рынках товаров и услуг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289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(96,3%);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государственной программы Чувашской Республики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96442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</w:t>
      </w:r>
      <w:r w:rsidRPr="00282812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в случаях, установленных законодательством Чувашской Республики</w:t>
      </w:r>
      <w:r w:rsidR="00AC343A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- 20,1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(61,1%)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- 184,8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промышленности и инновационная экономика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- 37914,2 тыс. рублей (100%), из них за счет средств, поступивших из федерального бюджета, – 29680,4 тыс. рублей (100%), в том числе: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Инновационное развитие промышленности Чувашской Республики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- 37502,4 тыс. рублей (100%), из них за счет средств, поступивших из федерального бюджета, – 29680,4 тыс. рублей (100%), в том числе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96442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участие в </w:t>
      </w:r>
      <w:proofErr w:type="spellStart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выставочно</w:t>
      </w:r>
      <w:proofErr w:type="spellEnd"/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-ярмарочных мероприятиях по инновационной тематике на территории Чувашской Республики и за ее пределами - 493,5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лабораторных исследований выполненных работ - 289,8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развитию промышленного производства и повышение инвестиционной привлекательности региона - 6883,9 тыс. рублей (100%);</w:t>
      </w:r>
    </w:p>
    <w:p w:rsidR="00AC343A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национального проекта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производительности труда и поддержка занятости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343A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AC3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- 29680,4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презентаций промышленного и инвестиционного потенциала Чувашской Республики и продукции, выпускаемой организациями в Чувашской Республике</w:t>
      </w:r>
      <w:r w:rsidR="00AC3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- 154,8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- 411,8 тыс. рублей (100%), в том числе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96442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конкурса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Марка качества Чувашской Республики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конкурса на соискание премии Главы Чувашской Республики в области социальной ответственности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96442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в г. Чебоксары Межрегионального форума, посвященного Всемирному дню качества и Европейской неделе качества</w:t>
      </w:r>
      <w:r w:rsidR="00AC3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2F60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- 211,8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Градостроительная деятельность в Чувашской Республике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строительного комплекса и архитектуры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изменений в схему территориального планирования Чувашской Республики 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3850</w:t>
      </w:r>
      <w:r w:rsidR="00D96442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D96442" w:rsidRDefault="00DE2F60" w:rsidP="00D9644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Жилищно-коммунальное хозяйство</w:t>
      </w:r>
      <w:r w:rsidR="003B2925"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96442" w:rsidRPr="00D96442" w:rsidRDefault="00D96442" w:rsidP="00D96442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D96442" w:rsidRDefault="00DE2F60" w:rsidP="00D9644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Жилищно-коммунальное хозяйство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3765048,3 тыс. рублей, или 93,7% к годовым плановым назначениям (4019405,4 тыс. рублей), из них за счет средств, поступивших из федерального бюджета, – 616926,9 тыс. рублей, или 100% к годовым плановым назначениям.</w:t>
      </w:r>
    </w:p>
    <w:p w:rsidR="00D96442" w:rsidRPr="005E784E" w:rsidRDefault="00D96442" w:rsidP="00D9644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D96442" w:rsidRDefault="00DE2F60" w:rsidP="00D9644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Подраздел </w:t>
      </w:r>
      <w:r w:rsidR="003B2925"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Жилищное хозяйство</w:t>
      </w:r>
      <w:r w:rsidR="003B2925" w:rsidRPr="00D96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96442" w:rsidRPr="00D96442" w:rsidRDefault="00D96442" w:rsidP="00D9644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183092,5 тыс. рублей, или 71,5% к годовым плановым назначениям (255983,6 тыс. рублей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на территории Чувашской Республики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- 47892,1 тыс. рублей (94,8%), в том числе </w:t>
      </w:r>
      <w:proofErr w:type="gramStart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- 547,6 тыс. рублей (100%);</w:t>
      </w:r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некоммерческой организации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Республиканский фонд капитального ремонта многоквартирных домов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- 33547,8 тыс. рублей (100%);</w:t>
      </w:r>
    </w:p>
    <w:p w:rsidR="00DE2F60" w:rsidRPr="001B04E9" w:rsidRDefault="00DE2F60" w:rsidP="00C546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4E9">
        <w:rPr>
          <w:rFonts w:ascii="Times New Roman" w:eastAsia="Times New Roman" w:hAnsi="Times New Roman"/>
          <w:sz w:val="24"/>
          <w:szCs w:val="24"/>
          <w:lang w:eastAsia="ru-RU"/>
        </w:rPr>
        <w:t>обеспечение мероприятий по капитальному ремонту многоквартирных домов, находящихся в государственной собственности Чувашской Республики</w:t>
      </w:r>
      <w:r w:rsidR="00AC343A" w:rsidRPr="001B04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5375"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 - 2304,4 тыс. рублей (48,6%). </w:t>
      </w:r>
      <w:proofErr w:type="gramStart"/>
      <w:r w:rsidR="005D5375"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Неполное освоение средств связано с осуществлением кассовых расходов в соответствии с </w:t>
      </w:r>
      <w:r w:rsidR="007169C0"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</w:t>
      </w:r>
      <w:r w:rsidR="005D5375" w:rsidRPr="001B04E9">
        <w:rPr>
          <w:rFonts w:ascii="Times New Roman" w:eastAsia="Times New Roman" w:hAnsi="Times New Roman"/>
          <w:sz w:val="24"/>
          <w:szCs w:val="24"/>
          <w:lang w:eastAsia="ru-RU"/>
        </w:rPr>
        <w:t>выставленными счетами на оплату взносов на капитальный ремонт;</w:t>
      </w:r>
      <w:proofErr w:type="gramEnd"/>
    </w:p>
    <w:p w:rsidR="00DE2F60" w:rsidRPr="00D9644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 усилению и восстановлению наружных стен многоквартирного жилого дома в г. Цивильск, ул. Никитина, д. 10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Кабинета Министров Чувашской Республики - 11492,3 тыс. рублей (98,4%);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96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граждан в Чувашской 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Республике доступным и комфортным жильем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- 135200,4 тыс. рублей (65,8%), в том числе: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строительства жилья в Чувашской Республике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- 134462,4 тыс. рублей (65,7%), в том числе </w:t>
      </w:r>
      <w:proofErr w:type="gramStart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</w:r>
      <w:r w:rsidR="00AC343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- 31067,8 тыс. рублей (85,1%)</w:t>
      </w:r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</w:t>
      </w:r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я, сложившаяся по результатам </w:t>
      </w:r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 конкурсных процедур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147935" w:rsidRDefault="00DE2F60" w:rsidP="00E235BA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октября 2005 года № 42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регулировании жилищных отношений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состоящих на учете в качестве нуждающихся в жилых помещениях</w:t>
      </w:r>
      <w:r w:rsidR="00AC343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- 51081,3 тыс. рублей (46,4%)</w:t>
      </w:r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низкого освоения является отсутствие предложений на аукционах, проведенных в г. Чебоксары (на сумму 51985,3 тыс. рублей) и в Чебоксарском районе (на сумму 1 333,8 тыс. рублей), а также 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мия средств по результатам аукциона в </w:t>
      </w:r>
      <w:proofErr w:type="spellStart"/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Вурнарском</w:t>
      </w:r>
      <w:proofErr w:type="spellEnd"/>
      <w:r w:rsidR="00E235B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некоммерческой организации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 защиты прав граждан – участников долевого строительства в Чувашской Республике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- 4776,8 тыс. рублей (100%);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в виде имущественного взноса в имущество публично-правовой компании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 защиты прав граждан – участников долевого строительства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- 4441,3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функций по использованию государственного жилищного фонда Чувашской Республики коммерческого использования - 668,8 тыс. рублей (44,3%)</w:t>
      </w:r>
      <w:r w:rsidR="005D537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средств образовалось в результате конкурсных процедур;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содействия реформированию жилищно-коммунального хозяйства</w:t>
      </w:r>
      <w:r w:rsidR="00AC343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- 30160,8 тыс. рублей (92,2%)</w:t>
      </w:r>
      <w:r w:rsidR="0014793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 </w:t>
      </w:r>
      <w:r w:rsidR="0014793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сложившаяся по результатам конкурсных процедур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r w:rsidR="00AC343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- 12265,6 тыс. рублей (84,9%)</w:t>
      </w:r>
      <w:r w:rsidR="00F14A11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82297" w:rsidRP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экономия средств, сложившаяся по результатам конкурсных процедур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C343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D96442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</w:t>
      </w:r>
      <w:r w:rsidR="00AC343A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6442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738</w:t>
      </w:r>
      <w:r w:rsidR="00D96442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</w:t>
      </w:r>
      <w:proofErr w:type="gramEnd"/>
      <w:r w:rsidR="00D96442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(79,9%).</w:t>
      </w:r>
      <w:r w:rsidR="005D537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297" w:rsidRPr="00182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экономия средств, сложившаяся по результатам конкурсных процедур</w:t>
      </w:r>
      <w:r w:rsidR="005D537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147935" w:rsidRDefault="00DE2F60" w:rsidP="00D9644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147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Коммунальное хозяйство</w:t>
      </w:r>
      <w:r w:rsidR="003B2925" w:rsidRPr="00147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C343A" w:rsidRPr="00147935" w:rsidRDefault="00AC343A" w:rsidP="00D9644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428977,2 тыс. рублей, или 81,3% к годовым плановым назначениям (527767,4 тыс. рублей), из них за счет средств, поступивших из федерального бюджета, – 81671,5 тыс. рублей (100%), в том числе: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- 344240,7 тыс. рублей (77,7%), из них за счет средств, поступивших из федерального бюджета, – 4875,7 тыс. рублей (100%), в том числе: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на территории Чувашской Республики</w:t>
      </w:r>
      <w:r w:rsidR="003B2925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- 137934,1 тыс. рублей (77%), в том числе </w:t>
      </w:r>
      <w:proofErr w:type="gramStart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мероприятий по модернизации систем коммунальной инфраструктуры за счет средств государственной корпорации – Фонда содействия реформированию жилищно-коммунального хозяйства - 58012,2 тыс. рублей (96,5%);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мероприятий по модернизации систем коммунальной инфраструктуры - 18370,5 тыс. рублей (96,5%);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тепловых сетей и сетей горячего водоснабжения от газовой автоматизированной </w:t>
      </w:r>
      <w:proofErr w:type="spellStart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-модульной котельной мощностью 14,0 МВт по ул. Чайковского в г. Шумерле Чувашской Республики </w:t>
      </w:r>
      <w:r w:rsidR="00D96442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2239</w:t>
      </w:r>
      <w:r w:rsidR="00D96442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147935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тепловых сетей и сетей горячего водоснабжения от газовой автоматизированной </w:t>
      </w:r>
      <w:proofErr w:type="spellStart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-модульной котельной мощностью 12,0 МВт по ул.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Лобачевского в г. </w:t>
      </w:r>
      <w:proofErr w:type="spellStart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Козловке</w:t>
      </w:r>
      <w:proofErr w:type="spellEnd"/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</w:t>
      </w:r>
      <w:r w:rsidR="00D46CFF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3699</w:t>
      </w:r>
      <w:r w:rsidR="00D46CFF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46CFF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отдельных полномочий в области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 с твердыми коммунальными отходами - 46934,2 тыс. рублей (93,5%)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средств образовалось в результате конкурсных процедур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 многоквартирных домов с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индивидуальное отопление - 8679,2 тыс. рублей (98,1%);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 коммунальной инфраструктуры и объектов, используемых для очистки сточных вод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- 194586,6 тыс. рублей (80,9%),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источников водоснабжения (водонапорных башен и водозаборных скважин) в населенных пунктах - 169670,4 тыс. рублей (84,8%)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язано с экономией, сложившейся по результатам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конкурсных процедур, 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отсутствием актов выполненных работ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157B5" w:rsidRPr="002157B5" w:rsidRDefault="00DE2F60" w:rsidP="00C5463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>строительство станции биологической очистки сточных вод производительностью 500 куб. м/</w:t>
      </w:r>
      <w:proofErr w:type="spellStart"/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селе Янтиково </w:t>
      </w:r>
      <w:proofErr w:type="spellStart"/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>Янтиковского</w:t>
      </w:r>
      <w:proofErr w:type="spellEnd"/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- </w:t>
      </w:r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24916,2</w:t>
      </w:r>
      <w:r w:rsidR="00C37A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>тыс. рублей (61,7%)</w:t>
      </w:r>
      <w:r w:rsidR="00F14A11" w:rsidRPr="002157B5">
        <w:rPr>
          <w:rFonts w:ascii="Times New Roman" w:eastAsia="Times New Roman" w:hAnsi="Times New Roman"/>
          <w:sz w:val="24"/>
          <w:szCs w:val="24"/>
          <w:lang w:eastAsia="ru-RU"/>
        </w:rPr>
        <w:t>. Причиной низкого освоения является неисполнение подрядной организацией обязательств по муниципальному контракту</w:t>
      </w:r>
      <w:r w:rsidR="00E377DA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</w:t>
      </w:r>
      <w:r w:rsidR="00ED72A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</w:t>
      </w:r>
      <w:r w:rsidR="00ED72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выделение неиспользованных в 2020 году </w:t>
      </w:r>
      <w:r w:rsidR="004322F4">
        <w:rPr>
          <w:rFonts w:ascii="Times New Roman" w:eastAsia="Times New Roman" w:hAnsi="Times New Roman"/>
          <w:sz w:val="24"/>
          <w:szCs w:val="24"/>
          <w:lang w:eastAsia="ru-RU"/>
        </w:rPr>
        <w:t>бюджетных ассигнований</w:t>
      </w:r>
      <w:r w:rsidR="002157B5" w:rsidRPr="002157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FD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</w:t>
      </w:r>
      <w:r w:rsidR="003B2925" w:rsidRPr="002157B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157B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proofErr w:type="gramStart"/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E2F60" w:rsidRPr="00D46CFF" w:rsidRDefault="00D46CFF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 - 5075</w:t>
      </w:r>
      <w:proofErr w:type="gramStart"/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</w:t>
      </w:r>
      <w:proofErr w:type="gramEnd"/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4875,7 тыс. рублей (100%);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Газификация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- 6644,8 тыс. рублей (48%),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Октябрьский</w:t>
      </w:r>
      <w:proofErr w:type="gramEnd"/>
      <w:r w:rsidR="00F02FD0"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- 3521,7 тыс. рублей (94,3%)</w:t>
      </w:r>
      <w:r w:rsidR="00F14A11"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является экономия сре</w:t>
      </w:r>
      <w:proofErr w:type="gramStart"/>
      <w:r w:rsidR="00F14A11"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="00F14A11"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проведении конкурсных процедур</w:t>
      </w:r>
      <w:r w:rsidRPr="00F14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газоснабжение жилых домов по улицам </w:t>
      </w:r>
      <w:proofErr w:type="spell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Слукина</w:t>
      </w:r>
      <w:proofErr w:type="spell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 - 3123,1 тыс. рублей (100%);</w:t>
      </w:r>
      <w:proofErr w:type="gramEnd"/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- 25876,6 тыс. рублей (100%), из них за счет средств, поступивших из федерального бюджета, – 24426</w:t>
      </w:r>
      <w:r w:rsid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числе: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- 25876,6 тыс. рублей (100%), из них за счет средств, поступивших и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федерального бюджета, – 24426,0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(100%),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газификации в сельской местности в рамках обеспечения комплексного развития сельских территорий - 12186,9 тыс. рублей (100%), из них за счет средств, поступивших из федерального бюджета, – 11504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водоснабжения в сельской местности в рамках обеспечения комплексного развития сельских территорий - 13689,7 тыс. рублей (100%), из них за счет средств, поступивших из федерального бюджета, – 12922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F02FD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с отходами, в том числе с твердыми коммунальными отходами, на территории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по оказанию коммунальной услуги населению по обращению с твердыми коммунальными отходами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2FD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02FD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- 52369,8 тыс. рублей (100%);</w:t>
      </w:r>
      <w:proofErr w:type="gramEnd"/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 - 16,1 тыс. рублей (100%);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Энергосбережение в Чувашской Республике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промышленности и инновационная экономика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- 6474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пропаганд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энергосбережения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повышени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энергетической эффективности на территории Чувашской Республики 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250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обеспечение деятельности государственных учреждений, осуществляющих функции в сфере энергетики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4624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46CFF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по разработке схемы и программы перспективного развития электроэнергетики Чувашской Республики 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1600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</w:p>
    <w:p w:rsidR="00D12D99" w:rsidRDefault="00D12D99" w:rsidP="00D46CF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D46CFF" w:rsidRDefault="00DE2F60" w:rsidP="00D46CF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Благоустройство</w:t>
      </w:r>
      <w:r w:rsidR="003B2925"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13C77" w:rsidRDefault="00313C7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2831034,4 тыс. рублей, или 97,3% к годовым плановым назначениям (2909771,3 тыс. рублей), из них за счет средств, поступивших из федерального бюджета, – 367450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числе: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и общественных территорий муниципальных образований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городской среды на территории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2018–2024 годы - 2542071,6 тыс. рублей (97,1%), из них за счет средств, поступивших из федерального бюджета, – 362225,8 тыс. рублей (100%),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46CFF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благоустройству дворовых территорий и тротуаров 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1000000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 - 407,9 тыс. рублей (100%);</w:t>
      </w:r>
    </w:p>
    <w:p w:rsidR="00DE2F60" w:rsidRPr="00D46CFF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313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комплекса мероприятий по благоустройству дворовых территорий и тротуаров - 1176876,7 тыс. рублей (93,9%)</w:t>
      </w:r>
      <w:r w:rsidR="00313C77" w:rsidRPr="00313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13C77" w:rsidRPr="00313C77">
        <w:t xml:space="preserve"> </w:t>
      </w:r>
      <w:r w:rsidR="00313C77" w:rsidRPr="00313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средств образовалось в результате конкурсных процедур;</w:t>
      </w:r>
    </w:p>
    <w:p w:rsidR="00DE2F60" w:rsidRPr="00D46CFF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 формирования современной городской среды - 364787 тыс. рублей (100%), из них за счет средств, поступивших из федерального бюджета, – 362225,8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- 288070,5 тыс. рублей (99,2%), из них за счет средств, поступивших из федерального бюджета, – 4340,8 тыс. рублей (100%),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сельских территорий в рамках обеспечения комплексного развития сельских территорий - 4384,6 тыс. рублей (100%), из них за счет средств, поступивших из федерального бюджета, – 4340,8 тыс. рублей (100%);</w:t>
      </w:r>
    </w:p>
    <w:p w:rsidR="00DE2F60" w:rsidRPr="00D46CFF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проектов, направленных на благоустройство и развитие территорий населенных пунктов Чувашской Республики, за счет средств резервного фонда Правительства Российской Федерации - 283685,9 тыс. рублей (99,2%);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на </w:t>
      </w:r>
      <w:proofErr w:type="spell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расходных обязательств субъектов Российской Федерации, связанных с реализацией федеральной целевой 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Увековечение памяти погибших при защите Отечества на 2019–2024 годы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- 892,3 тыс. рублей (100%), из них за счет средств, поступивших из федерального бюдж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ета, – 883,4 тыс. рублей (100%).</w:t>
      </w:r>
      <w:proofErr w:type="gramEnd"/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D46CFF" w:rsidRDefault="00DE2F60" w:rsidP="00D46CF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жилищно-коммунального хозяйства</w:t>
      </w:r>
      <w:r w:rsidR="003B2925" w:rsidRPr="00D46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46CFF" w:rsidRPr="005E784E" w:rsidRDefault="00D46CFF" w:rsidP="00D46CF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321944,2 тыс. рублей, или 98,8% к годовым плановым назначениям (325883,1 тыс. рублей), из них за счет средств, поступивших из федерального бюджета, – 167805,4 тыс. рублей (100%), в том числе:</w:t>
      </w:r>
    </w:p>
    <w:p w:rsidR="00DE2F60" w:rsidRPr="00D46CFF" w:rsidRDefault="00DE2F60" w:rsidP="00321BB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на территории Чувашской Республики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- 4,6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(21,9%)</w:t>
      </w:r>
      <w:r w:rsid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32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уменьшение общего количества </w:t>
      </w:r>
      <w:r w:rsidR="00E377DA" w:rsidRPr="0032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проверок</w:t>
      </w:r>
      <w:r w:rsidR="00321BB5" w:rsidRPr="0032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21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проводимых </w:t>
      </w:r>
      <w:r w:rsidR="00321BB5">
        <w:rPr>
          <w:rFonts w:ascii="Times New Roman" w:hAnsi="Times New Roman"/>
          <w:sz w:val="24"/>
          <w:szCs w:val="24"/>
        </w:rPr>
        <w:t>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из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-за 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пандеми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(распространение </w:t>
      </w:r>
      <w:proofErr w:type="spellStart"/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5D5375" w:rsidRPr="005D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COVID-19);</w:t>
      </w:r>
      <w:proofErr w:type="gramEnd"/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граждан в Чувашской Республике доступным и комфортным жильем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- 66920,3 тыс. рублей (99,6%), в том числе:</w:t>
      </w:r>
    </w:p>
    <w:p w:rsidR="00DE2F60" w:rsidRPr="00D46CF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строительства жилья в Чувашской Республике</w:t>
      </w:r>
      <w:r w:rsidR="003B2925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- 1181</w:t>
      </w:r>
      <w:r w:rsidR="00D46CFF"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 </w:t>
      </w: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6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6CFF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126</w:t>
      </w:r>
      <w:r w:rsidR="00D46CFF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  <w:proofErr w:type="gramEnd"/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информационно-коммуникационной кампании, направленной на освещение мероприятий в рамках региональных проектов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1055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граждан в Чувашской Республике доступным и комфортным жильем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- 65739,3 тыс. рублей (99,5%), в том числе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функций государственных органов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65445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(99,5%);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 по обязательствам Чувашской Республики - 254,3 тыс. рублей (100%);</w:t>
      </w:r>
    </w:p>
    <w:p w:rsidR="00DE2F60" w:rsidRPr="003005F2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="00DE2F60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эффективного государственного сектора экономики Чувашской Республики</w:t>
      </w:r>
      <w:r w:rsidR="003B2925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земельных и имущественных отношений</w:t>
      </w:r>
      <w:r w:rsidR="003B2925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73502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 - 21679,4 тыс. рублей (86,1%)</w:t>
      </w:r>
      <w:r w:rsidR="003005F2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005F2" w:rsidRPr="003005F2">
        <w:t xml:space="preserve"> </w:t>
      </w:r>
      <w:r w:rsidR="003005F2"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указанных средств является экономия, сложившаяся по результатам конкурс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процедур</w:t>
      </w:r>
      <w:r w:rsidRPr="003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и общественных территорий муниципальных образований Чувашской Республики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городской среды на территории Чувашской Республики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2018–2024 годы - 210139,4 тыс. рублей (100%), из них за счет средств, поступивших из федерального бюджета, – 150100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73502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реализацию</w:t>
      </w:r>
      <w:r w:rsidR="00DE2F60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благоустройству населенных пунктов в рамках празднования 100-летия образования Чувашской автономной области - 50039,4 тыс. рублей (99,9%);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поощрение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победителей Всероссийского конкурса лучших проектов создания комфортной городской среды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реализации проектов создания комфортной городской среды в малых городах и исторических поселениях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160100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150100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в рамках обеспечения комплексного развития сельских территорий - 22927,1 тыс. рублей (100%), из них за счет средств, поступивших из федерального бюджета, – 17705,4 тыс. рублей (100%);</w:t>
      </w:r>
      <w:proofErr w:type="gramEnd"/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56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- 93,9 тыс. рублей (61,3%), в том числе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дней карьеры в системе государственного управления - 6,2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F02FD0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- 87,7 тыс. рублей (59,7%)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процедур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- 123,5 тыс. рублей (99,2%).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73502" w:rsidRDefault="00DE2F60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Охрана окружающей среды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73502" w:rsidRPr="00573502" w:rsidRDefault="00573502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окружающей среды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970751,5 тыс. рублей, или 76,4% к годовым плановым назначениям (1271254,8 тыс. рублей), из них за счет средств, поступивших из федерального бюджета, – 938663,5 тыс. рублей, или 76% к годовым плановым назначениям.</w:t>
      </w:r>
    </w:p>
    <w:p w:rsidR="00573502" w:rsidRPr="00573502" w:rsidRDefault="00573502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73502" w:rsidRDefault="00DE2F60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Сбор, удаление отходов и очистка сточных вод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73502" w:rsidRPr="00573502" w:rsidRDefault="00573502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338757,2 тыс. рублей, или 98,8% к годовым плановым назначениям (342895,5 тыс. рублей), из них за счет средств, поступивших из федерального бюджета, – 335118,5 тыс. рублей (98,8%), в том числе: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и реконструкция (модернизация) очистных сооружений централизованных систем водоотведения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- 338757,2 тыс. рублей (98,8%), из них за счет средств, поступивших из федерального бюджета, – 335118,5 тыс. рублей (98,8%), в том числе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куб. м/</w:t>
      </w:r>
      <w:proofErr w:type="spell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Вурнары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177307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(99,7%), из них за счет средств, поступивших из федерального бюджета, – 174957,9 тыс. рублей (99,7%);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сооружений очистки дождевых стоков центральной части города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Чебоксары - 135496,9 тыс. рублей (97,4%), из них за счет средств, поступивших из федерального бюджета, – 134415,3 тыс. рублей (97,4%);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ливневых очистных сооружений в </w:t>
      </w:r>
      <w:proofErr w:type="spell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Волжский-1, -2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Чебоксары - 25953,3 тыс. рублей (100%), из них за счет средств, поступивших из федерального бюджет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– 25745,3 тыс. рублей (100%).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Default="00DE2F60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Охрана объектов растительного и животного мира и среды их обитания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73502" w:rsidRPr="00573502" w:rsidRDefault="00573502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государственной программы Чувашской Республики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- 10515,8 тыс. рублей (95,3%), из них за счет средств, поступивших из федерального бюджета, – 6483,7 тыс. рублей (99,8%), в том числе: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минерально-сырьевых ресурсов и оценка их состояния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регулярных наблюдений, сбора, накопления, обработки и анализа информации, оценк</w:t>
      </w:r>
      <w:r w:rsidR="00F0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состояния геологической среды и прогноз ее изменений под влиянием естественных природных факторов, недропользования и других видов хозяйственной деятельности - 292,9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разнообразие Чувашской Республики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- 10222,9 тыс. рублей (95,2%), из них за счет средств, поступивших из федерального бюджета, – 6483,7 тыс. рублей (99,8%), в том числе </w:t>
      </w: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методических и информационно-аналитических материалов 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98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 уполномоченного органа по осуществлению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</w:t>
      </w:r>
      <w:proofErr w:type="spell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охотхозяйственных</w:t>
      </w:r>
      <w:proofErr w:type="spellEnd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соглашений - 101,9 тыс. рублей (100%);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 Красной книги Чувашской Республики - 442,5 тыс. рублей (46,8%)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экономия, сложившаяся по результатам проведения конкурсных процедур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переданных органам государственной власти субъектов Российской Федерации в соответствии с частью 1 статьи 6 Федерального закона от 24 апреля 1995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52-ФЗ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животном мире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за счет субвенции, предоставляемой из федерального бюд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жета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- 69,2 тыс. рублей (100%);</w:t>
      </w:r>
      <w:proofErr w:type="gramEnd"/>
    </w:p>
    <w:p w:rsidR="004C67DC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в области охраны и использования охотничьих ресурсов за счет субвенции, предоставляемой из федерального бюджет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- 6414,5 тыс. рублей</w:t>
      </w:r>
      <w:proofErr w:type="gramEnd"/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(99,8%);</w:t>
      </w: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деятельности КУ ЧР 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Дирекция по охране животного мира и ООПТ</w:t>
      </w:r>
      <w:r w:rsidR="003B2925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Минприроды Чува</w:t>
      </w:r>
      <w:r w:rsidR="00573502"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шии - 3096,8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573502" w:rsidRDefault="00DE2F60" w:rsidP="00573502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охраны окружающей среды</w:t>
      </w:r>
      <w:r w:rsidR="003B2925" w:rsidRPr="00573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73502" w:rsidRPr="00573502" w:rsidRDefault="00573502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73502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621478,5 тыс. рублей, или 67,7% к годовым плановым назначениям (917325,4 тыс. рублей), из них за счет средств, поступивших из федерального бюджета, – 597061,3 тыс. рублей (67,1%), в том числе: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- 6306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(98,6%), в том числе: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 коммунальной инфраструктуры и объектов, используемых для очистки сточных вод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геолого-разведочных</w:t>
      </w:r>
      <w:proofErr w:type="gram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для обеспечения резервным источником водоснабжения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Ибреси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Буинск и пос.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Киря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- 5687,8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4C67DC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</w:t>
      </w:r>
      <w:r w:rsidR="004C67DC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разведочно-эксплуатационных скважин и проведение работ по ликвидационному тампонажу бесхозных, заброшенных </w:t>
      </w:r>
      <w:r w:rsidRPr="0041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подлежащих ликвидации разведочно-эксплуатационных скважин - 618,2 тыс. рубле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(87,1%)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экономия, сложившаяся по результатам проведения конкурсных процедур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- 615172,5 тыс. рублей (67,5%), из них за счет средств, поступивших из федерального бюджета, – 597061,3 тыс. рублей (67,1%), в том числе: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экологической безопасности на территории Чувашской Республики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- 10523,2 тыс. рублей (99,7%), в том числе </w:t>
      </w: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аналитического контроля на объектах, подлежащих экологическому контролю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- 283,4 тыс. рублей (99,7%);</w:t>
      </w:r>
    </w:p>
    <w:p w:rsidR="00DE2F60" w:rsidRPr="005C5DD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противодействию распространения</w:t>
      </w:r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новой </w:t>
      </w:r>
      <w:proofErr w:type="spellStart"/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- 1298,7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проведения государственной экологической экспертизы объектов регионального уровня - 48,3 тыс. рублей (64,8%)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произведена по факту выполненных работ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БУ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Чувашский республиканский радиологический центр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Минприроды Чувашии - 7638,8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 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1254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разнообразие Чувашской Республики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- 3709,6 тыс. рублей (99,6%), из них за счет средств, поступивших из федерального бюджета, – 2659,3 тыс. рублей (99,6%), в том числе </w:t>
      </w: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функций государственных органов в целях осуществления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охотхозяйственных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соглашений - 969,2 тыс. рублей (99,8%);</w:t>
      </w:r>
    </w:p>
    <w:p w:rsidR="004C67DC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охоте и о сохранении охотничьих ресурсов и о внесении изменений в 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отдельные законодательные акты Российской Федерации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в области охраны и использования охотничьих ресурсов за счет субвенции, предоставляемой из федерального бюджет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- 2659,3 тыс. рублей</w:t>
      </w:r>
      <w:proofErr w:type="gramEnd"/>
      <w:r w:rsidR="004C6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(99,6%);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графического описания местоположения границ особо охраняемых природных территорий регионального значения - 81,1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с отходами, в том числе с твердыми коммунальными отходами, на территории Чувашской Республики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- 28386,5 тыс. рублей (78,2%), из них за счет средств, поступивших из федерального бюджета, – 27574,3 тыс. рублей (78,8%), в том числе </w:t>
      </w: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обеспечению ртутной безопасности: сбор и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демеркуризаци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ртутьсодержащих отходов - 533,4 тыс. рублей (96,4%);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</w:t>
      </w:r>
      <w:r w:rsidR="004C67DC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несанкционированных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проекта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Чистая страна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входящего в состав национального проекта 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</w:t>
      </w:r>
      <w:r w:rsidR="003B2925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C67DC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- 27853,1 тыс. рублей (78,8%), из них за счет средств, поступивших из федерального бюджета, – 27574,3 тыс. рублей (78,8%)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3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проведения конкурсных процедур, а также в процессе непосредственного выполнения работ. </w:t>
      </w:r>
      <w:proofErr w:type="gramStart"/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произведена по факту выполненных работ</w:t>
      </w:r>
      <w:r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и реконструкция (модернизация) очистных сооружений централизованных систем водоотведения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(рекультиваци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объектов накопленного экологического вреда, представляющих угрозу реке Волге</w:t>
      </w:r>
      <w:r w:rsidR="000F7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- 572553,2 тыс. рублей (66,5%), из них за счет средств, поступивших из федерального бюджета,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566827,7 тыс. рублей (66,5%).</w:t>
      </w:r>
      <w:proofErr w:type="gramEnd"/>
      <w:r w:rsid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средств образовалось в результате позднего заключения контракта (заключен 30 июня 2020 г.), что в свою очередь</w:t>
      </w:r>
      <w:r w:rsidR="00432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сократило количество месяцев использования речного транспорта для доставки щебня</w:t>
      </w:r>
      <w:r w:rsidR="003F0654" w:rsidRPr="003F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C44518" w:rsidRPr="00715B76" w:rsidRDefault="00C44518" w:rsidP="00C44518">
      <w:pPr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B76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7074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аздел </w:t>
      </w:r>
      <w:r w:rsidRPr="00715B76">
        <w:rPr>
          <w:rFonts w:ascii="Times New Roman" w:eastAsia="Times New Roman" w:hAnsi="Times New Roman"/>
          <w:b/>
          <w:sz w:val="26"/>
          <w:szCs w:val="26"/>
          <w:lang w:eastAsia="ru-RU"/>
        </w:rPr>
        <w:t>«О</w:t>
      </w:r>
      <w:r w:rsidR="007074BC">
        <w:rPr>
          <w:rFonts w:ascii="Times New Roman" w:eastAsia="Times New Roman" w:hAnsi="Times New Roman"/>
          <w:b/>
          <w:sz w:val="26"/>
          <w:szCs w:val="26"/>
          <w:lang w:eastAsia="ru-RU"/>
        </w:rPr>
        <w:t>бразование</w:t>
      </w:r>
      <w:r w:rsidRPr="00715B76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44518" w:rsidRPr="00715B76" w:rsidRDefault="00C44518" w:rsidP="00C44518">
      <w:pPr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республиканского бюджета Чувашской Республики по данному разделу осуществлены в сумме 18205844,9 тыс. рублей, или 98,6% к годовым плановым назначениям (18466902,7 тыс. рублей), из них за счет средств, поступивших из федерального бюджета, – 1584701,1 тыс. рублей, или 90,1% к годовым плановым назначениям.</w:t>
      </w:r>
    </w:p>
    <w:p w:rsidR="00C44518" w:rsidRPr="00715B76" w:rsidRDefault="00C44518" w:rsidP="00C44518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расходов по данному разделу в общем объеме расходов республиканского бюджета Чувашской Республики за 2020 год составила 26,2%.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«Дошкольное образование»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республиканского бюджета Чувашской Республики по данному подразделу составили 5209010,2 тыс. рублей, или 97,5% к годовым плановым назначениям (5340875,4 тыс. рублей), из них за счет средств, поступивших из федерального бюджета, – 517539,3 тыс. рублей (81,6%),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«Государственная поддержка развития образования» государственной программы Чувашской Республики «Развитие образования» - 5204068,8</w:t>
      </w:r>
      <w:r w:rsidR="00C37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(97,5%), из них за счет средств, поступивших из федерального бюджета, – 512647,3 тыс. рублей (81,4%),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- 47206,2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оплату труда работников муниципальных учреждений в рамках реализации мероприятий, связанных с профилактикой и устранением последствий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- 26360,4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субсидий частным дошкольным образовательным организациям – 15301,0 тыс. рублей (97,4%)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уменьшение численности</w:t>
      </w:r>
      <w:r w:rsidR="004E7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частных дошкольных образовательных организациях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распространения новой </w:t>
      </w:r>
      <w:proofErr w:type="spellStart"/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4121404,0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 – 449261,4 тыс. рублей (97,2%)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144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экономия, сложившаяся по результатам конкурс</w:t>
      </w:r>
      <w:r w:rsidR="004E7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процедур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оборудования для муниципальных образовательных организаций в целях укрепления материально-технической базы – 2091,0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детей, - 65,3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«Детский сад на 240 мест, расположенный в г. Канаше Чувашской Республики в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Восточный», - 2979,9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«Детский сад на 110 мест в д.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Большие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Катраси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Чебоксарского района» - 2753,2 тыс. рублей (71,9%)</w:t>
      </w:r>
      <w:r w:rsidR="00365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65065" w:rsidRPr="00365065">
        <w:t xml:space="preserve"> </w:t>
      </w:r>
      <w:r w:rsidR="00365065" w:rsidRPr="00365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</w:t>
      </w:r>
      <w:r w:rsidR="00365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номия по заключенным контрактам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объекта «Детский сад на 220 мест (поз. 27) в IX микрорайоне Западного жилого района г. Новочебоксарск» - 10480,5 тыс. рублей (99,6%);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«Дошкольное образовательное учреждение на 240 мест по адресу: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Чувашская Республика,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Цивильский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г. Цивильск, ул. Маяковского, 39» - 10890,0 тыс. рублей (100%);</w:t>
      </w:r>
      <w:proofErr w:type="gramEnd"/>
    </w:p>
    <w:p w:rsidR="00C44518" w:rsidRPr="00DD2976" w:rsidRDefault="00C44518" w:rsidP="00C4451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строительство дошкольного образовательного учреждения на 240 мест в с. Аликово Аликовского района Чувашской Республики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 - 61008,5 тыс. рублей (91%), из них за счет средств, поступивших из федерального бюджета, – 60702,0 тыс. рублей (91%)</w:t>
      </w:r>
      <w:r w:rsidR="00365065" w:rsidRPr="00DD29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65065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Причиной неполного освоения является оплата аванса на строительство объекта в соответствии с контрактом</w:t>
      </w:r>
      <w:r w:rsidR="00DD2976" w:rsidRPr="00DD29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2976" w:rsidRPr="00DD2976">
        <w:t xml:space="preserve"> </w:t>
      </w:r>
      <w:proofErr w:type="gramStart"/>
      <w:r w:rsidR="00DD2976" w:rsidRPr="00DD2976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proofErr w:type="gramEnd"/>
      <w:r w:rsidR="00DD2976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переходящий на 2021 г. Срок сдачи объекта декабрь 2021 г.</w:t>
      </w:r>
      <w:r w:rsidR="00365065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976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предусмотрено выделение неиспользованных в 2020 году </w:t>
      </w:r>
      <w:r w:rsid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бюджетных ассигнований</w:t>
      </w:r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«Дошкольное образовательное учреждение на 160 мест в         г.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Козловка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Козловского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 - 56440,9 тыс. рублей (98,7%), из них за счет средств, поступивших из федерального бюджета, – 56157,3 тыс. рублей (98,7%);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«Детский сад на 110 мест в 14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НЮР г. Чебоксары» - 39053,2 тыс. рублей (32,4%), из них за счет средств, поступивших из федерального бюджета, – 38856,9 тыс. рублей (32,4%)</w:t>
      </w:r>
      <w:r w:rsidR="00365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65065" w:rsidRPr="00365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является </w:t>
      </w:r>
      <w:r w:rsidR="003C3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позднее заключение контракта (30 ноября 2020 г.). </w:t>
      </w:r>
      <w:r w:rsidR="00DD2976" w:rsidRPr="00DD2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</w:t>
      </w:r>
      <w:r w:rsidR="00FC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2021 году </w:t>
      </w:r>
      <w:r w:rsidR="00DD2976" w:rsidRPr="00DD2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предусмотрено выделение неиспользованных в 2020 году </w:t>
      </w:r>
      <w:r w:rsid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бюджетных ассигнований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«Дошкольное образовательное учреждение на 240 мест в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Цивильск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района» - 63879,8 тыс. рублей (95,3%), из них за счет средств, поступивших из федерального бюджета, – 63558,7 тыс. рублей (95,3%);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строительство объекта «Дошкольное образовательное учреждение на 250 мест с ясельными группами в I очереди 7 микрорайона центральной части г. Чебоксары» - 67932,1 тыс. рублей (84,1%), из них за счет средств, поступивших из федерального бюджета, – 67590,8 тыс. рублей (84,1%)</w:t>
      </w:r>
      <w:r w:rsid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873B4" w:rsidRP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E873B4" w:rsidRP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объема субсидий из федерального бюджета на строительство дошкольного образовательного учреждения на 2020 и 2021 годы в соответствии с заключенным д</w:t>
      </w:r>
      <w:r w:rsidR="003C3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ополнительным соглашением </w:t>
      </w:r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 декабря 2020 г. между Кабинетом Министров Чувашской Республики и </w:t>
      </w:r>
      <w:proofErr w:type="spellStart"/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«Дошкольное образовательное учреждение на 250 мест поз. 27 в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Университетский-2 (II очередь) в СЗР г. Чебоксары» - 80814,4 тыс. рублей (100%), из них за счет средств, поступивших из федерального бюджета, – 80408,3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объекта «Дошкольное образовательное учреждение на 110 мест с ясельными группами поз. 29 в микрорайоне «Солнечный-4» (1 этап) г. Чебоксары» - 55371,1 тыс. рублей (88,9%), из них за счет средств, поступивших из федерального бюджета, – 55092,9 тыс. рублей (88,9%)</w:t>
      </w:r>
      <w:r w:rsid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873B4" w:rsidRP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E873B4" w:rsidRP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уменьшение объема субсидий из федерального бюджета на строительство дошкольного образовательного учреждения на 2020 и 2021 годы в соответствии с заключенным дополнительным соглашением от 22 декабря 2020 г. между Кабинетом Министров Чувашской Республики и </w:t>
      </w:r>
      <w:proofErr w:type="spellStart"/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E87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DD2976" w:rsidRDefault="00C44518" w:rsidP="00C4451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объекта «Дошкольное образовательное учреждение на 240 мест </w:t>
      </w:r>
      <w:r w:rsidR="00877C0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. «Благовещенский» г. Чебоксары» - 43575,2 тыс. рублей (87,7%), из них за счет средств, поступивших из федерального бюджета, – 43356,2 тыс. рублей (87,7%)</w:t>
      </w:r>
      <w:r w:rsidR="00282812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Причиной неполного освоения </w:t>
      </w:r>
      <w:r w:rsidR="00E873B4">
        <w:rPr>
          <w:rFonts w:ascii="Times New Roman" w:eastAsia="Times New Roman" w:hAnsi="Times New Roman"/>
          <w:sz w:val="24"/>
          <w:szCs w:val="24"/>
          <w:lang w:eastAsia="ru-RU"/>
        </w:rPr>
        <w:t>средств является позднее заключение контракта (25 декабря 2020 г.)</w:t>
      </w:r>
      <w:r w:rsidR="009C06C1">
        <w:rPr>
          <w:rFonts w:ascii="Times New Roman" w:eastAsia="Times New Roman" w:hAnsi="Times New Roman"/>
          <w:sz w:val="24"/>
          <w:szCs w:val="24"/>
          <w:lang w:eastAsia="ru-RU"/>
        </w:rPr>
        <w:t>, объект переходящий</w:t>
      </w:r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объекта «Дошкольное образовательное учреждение на 160 мест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Альгешево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г. Чебоксары» - 39304,5 тыс. рублей (100%), из них за счет средств, поступивших из федерального бюджета, – 39107,0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- 7896,2 тыс. рублей (100%), из них за счет средств, поступивших из федерального бюджета, – 7817,2 тыс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Чувашской Республики «Доступная среда»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- 4941,4 тыс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 (100%), из них за счет средств, поступивших из федерального бюджета, – 4892,0 тыс. рублей (100%).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«Общее образование»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республиканского бюджета Чувашской Республики по данному подразделу составили 10506576,3 тыс. рублей, или 99,1% к годовым плановым назначениям (10605379,2 тыс. рублей), из них за счет средств, поступивших из федерального бюджета, – 983785,3 тыс. рублей (94,5%), в том числе:</w:t>
      </w:r>
    </w:p>
    <w:p w:rsidR="00C44518" w:rsidRPr="00147935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«Предупреждение детской беспризорности, безнадзорности и правонарушений несовершеннолетних» государственной программы </w:t>
      </w:r>
      <w:r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Чувашской Республики «Обеспечение общественного порядка и противодействие преступности» на: обеспечение содержания 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обучения несовершеннолетних, совершивших общественно опасные деяния, в специальных учебно-воспитательных учреждениях - 976,9 тыс. рублей (78,7%)</w:t>
      </w:r>
      <w:r w:rsidR="004309AE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Причина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является</w:t>
      </w:r>
      <w:r w:rsidR="004309AE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уменьшение контингента</w:t>
      </w:r>
      <w:r w:rsidR="004E7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="004309AE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пребывающих в специальных учреждениях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«Развитие образования» - 10505449,4 тыс. рублей (99,1%), из них за счет средств, поступивших из федерального бюджета, – 983785,3 тыс. рублей (94,5%),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«Государственная поддержка развития образования» - 9420400,9 тыс. рублей (99,8%), из них за счет средств, поступивших из федерального бюджета, – 490085,4 тыс. рублей (99,6%),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- 112987,5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дополнительную выплату работникам организаций для детей-сирот и детей, оставшихся без попечения родителей, подведомственных Министерству образования и молодежной политики Чувашской Республики,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- 10050,3 тыс. рублей (100%);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- 784,8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общеобразовательных организаций Чувашской Республики - 525321,9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Чувашской Республики для детей-сирот и детей, оставшихся без попечения родителей, - 53535,6 тыс. рублей (99,8%);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центров психолого-педагогической, медицинской и социальной помощи Чувашской Республики - 30386,8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- 6406981,5 тыс. рублей (99,9%);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учреждений, обеспечивающих предоставление услуг в сфере образования, государственных общеобразовательных организаций Чувашской Республики - 18160,5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181793,9 тыс. рублей (99,4%), из них за счет средств, поступивших из федерального бюджета, – 179053,2 тыс. рублей (99,5%);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поддержку образовательных организаций и участников дистанционного обучения в получении доступа к образовательным информационным ресурсам информационно-телекоммуникационной сети «Интернет» - 1000,0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сопровождение детей-сирот и детей, оставшихся без попечения родителей, в том числе в период их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постинтернатной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адаптации (подготовка кандидатов в замещающие родители, сопровождение замещающих семей) – 245,0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типа, либо города с населением до 50 тыс. человек, – 4000,0 тыс. рублей (100%), из них за счет средств, поступивших из федерального бюджета, – 3960,0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- 244262,5 тыс. рублей (99,6%), из них за счет средств, поступивших из федерального бюджета, – 243035,1 тыс. рублей (99,6%);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общеобразовательных организаций Чувашской Республики, государственных организаций Чувашской Республики для детей-сирот и детей, оставшихся без попечения родителей – 13898,7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организаций, в том числе в части приведения в соответствие с санитарно-гигиеническими и противопожарными требованиями, – 118682,7 тыс. рублей (93,8%)</w:t>
      </w:r>
      <w:r w:rsidR="00DA7AE2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A7AE2" w:rsidRPr="00370C56">
        <w:t xml:space="preserve"> </w:t>
      </w:r>
      <w:r w:rsidR="00DA7AE2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указанных бюджетных ассигнований является экономия, сложившаяся по результатам конкурсов</w:t>
      </w: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очистных сооружений хозяйственно-бытовых стоков К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К)ОУ «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Саланчикская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специальная (коррекционная) общеобразовательная школа-интернат» Минобразования Чувашии в пос.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Саланчик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Шумерлинского района Чувашской Республики - 328,9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реконструкцию существующей газовой котельной с инженерными сетями для теплоснабжения учебного корпуса и спальных корпусов № 1 и № 2 БОУ ЧР «Калининская общеобразовательная школа-интернат для обучающихся с ограниченными возможностями здоровья» Минобразования Чувашии, расположенной по адресу: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Чувашская Республика,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Вурнарский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р-н, с. Калинино, ул. Советская, д. 20, - 8851,1 тыс. рублей (100%);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оборудования для муниципальных образовательных организаций в целях укрепления материально-технической базы - 515696,9 тыс. рублей (99,6%);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 (в части модернизации инфраструктуры) - 819581,9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- 35108,9 тыс. рублей (99,9%), из них за счет средств, поступивших из федерального бюджета, – 34757,8 тыс. рублей (99,9%);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- 7249,4 тыс. рублей (100%), из них за счет средств, поступивших из федерального бюджета, – 7176,9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-  22214,0 тыс. рублей (100%), из них за счет средств, поступивших из федерального бюджета, – 22102,4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детей, - 130,6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 – 706730,3 тыс. рублей (97,9%);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- 1085048,5 тыс. рублей (93,3%), из них за счет средств, поступивших из федерального бюджета, – 493699,9 тыс. рублей (90%),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283887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- 22205,8 тыс. рублей (79,7%), из них за счет средств, поступивших из федерального бюджета, – 22094,2 тыс. рублей (79,7%)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экономия, сложившаяся по результатам конкурсных процедур;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средней общеобразовательной школы на 165 учащихся с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пристроем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помещений для дошкольных групп на 40 мест в с.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Байгулово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Козловского района - 78168,3 тыс. рублей (92%)</w:t>
      </w:r>
      <w:r w:rsid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C238D" w:rsidRPr="00FC2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 по заключенным контрактам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пристроя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120 мест к зданию МБОУ «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 1» в с.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Шыгырдан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Батыревского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- 48822,8 тыс. рублей (96,7%), из них за счет средств, поступивших из федерального бюджета, – 48358,9 тыс. рублей (96,7%);</w:t>
      </w:r>
    </w:p>
    <w:p w:rsidR="00C44518" w:rsidRPr="00DD2976" w:rsidRDefault="00C44518" w:rsidP="00C4451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объекта «Основная общеобразовательная школа на 108 ученических мест в д. </w:t>
      </w:r>
      <w:proofErr w:type="spellStart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Кашмаши</w:t>
      </w:r>
      <w:proofErr w:type="spellEnd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Моргаушского</w:t>
      </w:r>
      <w:proofErr w:type="spellEnd"/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 - 20058,1 тыс. рублей (29,3%), из них за счет средств, поступивших из федерального бюджета, – 19867,4 тыс. рублей (29,3%)</w:t>
      </w:r>
      <w:r w:rsidR="00FC238D" w:rsidRPr="00DD29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238D" w:rsidRPr="00DD2976">
        <w:t xml:space="preserve"> </w:t>
      </w:r>
      <w:r w:rsidR="00FC238D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Причиной неполного освоения является нарушение графика работ по вине подрядчика и </w:t>
      </w:r>
      <w:proofErr w:type="spellStart"/>
      <w:r w:rsidR="00FC238D" w:rsidRPr="00DD2976">
        <w:rPr>
          <w:rFonts w:ascii="Times New Roman" w:eastAsia="Times New Roman" w:hAnsi="Times New Roman"/>
          <w:sz w:val="24"/>
          <w:szCs w:val="24"/>
          <w:lang w:eastAsia="ru-RU"/>
        </w:rPr>
        <w:t>Моргаушского</w:t>
      </w:r>
      <w:proofErr w:type="spellEnd"/>
      <w:r w:rsidR="00FC238D" w:rsidRPr="00DD29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кроме того ПСД направлена на корректировку</w:t>
      </w:r>
      <w:r w:rsidR="00DD2976" w:rsidRPr="00DD2976">
        <w:rPr>
          <w:rFonts w:ascii="Times New Roman" w:eastAsia="Times New Roman" w:hAnsi="Times New Roman"/>
          <w:sz w:val="24"/>
          <w:szCs w:val="24"/>
          <w:lang w:eastAsia="ru-RU"/>
        </w:rPr>
        <w:t>. В рамках первого уточнения республиканского бюджета Чувашской Республики предусмотрено выделение неиспользованных в 2020 году остатков средств</w:t>
      </w:r>
      <w:r w:rsidRPr="00DD29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общеобразовательной школы поз. 37 в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 района «Садовый»            г. Чебоксары Чувашской Республики - 4798,2 тыс. рублей (96%);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средней общеобразовательной школы на 1600 ученических мест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поз. 1.34 в микрорайоне № 1 жилого района «Новый город» г. Чебоксары - 288336,6 тыс. рублей (99,4%), из них за счет средств, поступивших из федерального бюджета, – 216098,4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 - 193258,1 тыс. рублей (99,9%), из них за счет средств, поступивших из федерального бюджета, – 187281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средней общеобразовательной школы на 1600 ученических мест поз. 1.34 в микрорайоне № 1 жилого района «Новый город» г. Чебоксары - 11817,8 тыс. рублей (99,7%);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«Профилактика терроризма и экстремистской деятельности в Чувашской Республике» государственной программы Чувашской Республики «Повышение безопасности жизнедеятельности населения и территорий Чувашской Республики» - 150,0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 – 104,0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деятельности молодежной «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кибердружины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- 30,0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разработку (изготовление) тематических информационных материалов, направленных на профилактику терроризма и экстремизма, пропаганду здорового образа жизни, – 16,0 тыс. рублей (100%).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«Дополнительное образование детей»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республиканского бюджета Чувашской Республики по данному подразделу осуществлены в сумме 593658,6 тыс. рублей, или 98,6% к годовым плановым назначениям (601941,5 тыс. рублей), из них за счет средств, поступивших из федерального бюджета, – 58289,3 тыс. рублей (100%),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«Развитие культуры в Чувашской Республике» государственной программы Чувашской Республики «Развитие культуры и туризма» - 140280,1 тыс. рублей (95,6%), из них за счет средств, поступивших из федерального бюджета, – 29362,5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детских школ искусств - 110660,2 тыс. рублей (94,4%)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экономия, сложившаяся по результатам конкурсных процедур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детских школ искусств - 18315,8 тыс. рублей (100%), из них за счет средств, поступивших из федерального бюджета, – 18132,6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музыкальных инструментов, оборудования и материалов для детских школ искусств - 11304,1 тыс. рублей (100%), из них за счет средств, поступивших из федерального бюджета, – 11229,9 тыс. рублей (100%);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образования» - 453378,5 тыс. рублей (99,6%), из них за счет средств, поступивших из федерального бюджета, – 28926,8 тыс. рублей (100%),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«Государственная поддержка развития образования» - 453050,5 тыс. рублей (99,7%), из них за счет средств, поступивших из федерального бюджета, – 28926,8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оплату труда работников муниципальных учреждений в рамках реализации мероприятий, связанных с профилактикой и устранением последствий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- 36723,1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годы», - 24050,9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дополнительного образования Чувашской Республики – 35919,1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по организационно-воспитательной работе с молодежью - 9049,9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учреждений, обеспечивающих предоставление услуг в сфере образования, – 10617,0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организаций дополнительного образования, центров психолого-педагогической, медицинской и социальной помощи Чувашской Республики – 150772,6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 проведение предметных олимпиад школьников, организацию их участия во всероссийских, международных олимпиадах, подготовку учащихся к олимпиадам - 6580,6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государственной итоговой аттестации и мониторинг качества образования - 75113,6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 - 43957,9 тыс. рублей (96,9%);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детских технопарков «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- 11121,6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ключевых центров развития детей - 4355,7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мобильных технопарков «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- 22487,4 тыс. рублей (100%), из них за счет средств, поступивших из федерального бюджета, – 16764,6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центров цифрового образования детей - 22301,1 тыс. рублей (100%), из них за счет средств, поступивших из федерального бюджета, – 12162,2 тыс. рублей (100%);</w:t>
      </w: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«Молодежь Чувашской Республики» на организацию мероприятий, направленных на подготовку вожатых, педагогов и инструкторов к организации работы по воспитанию и оздоровлению детей и подростков в условиях 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оздоровительных и специализированных (профильных) лаг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ерей – 328,0 тыс</w:t>
      </w:r>
      <w:r w:rsidR="003523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 (100%)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«Среднее профессиональное образование»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1541792,5 тыс. рублей, или 99,7% к годовым плановым назначениям (1547008,8 тыс. рублей), из них за счет средств, поступивших из федерального бюджета, – 15485,0 тыс. рублей (100%),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«Развитие кадровых ресурсов в здравоохранении» государственной программы Чувашской Республики «Развитие здравоохранения» - 65295,8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государственную социальную поддержку обучающихся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 – 4347,0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профессиональных образовательных организаций Чувашской Республики, осуществляющих подготовку специалистов в сфере здравоохранения, - 60948,8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«Развитие культуры в Чувашской Республике» государственной программы Чувашской Республики «Развитие культуры и туризма» - 101878,7 тыс. рублей (99,9%), из них за счет средств, поступивших из федерального бюджета, – 10000,0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- 3862,3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выплаты стипендий обучающимся и студентам государственных образовательных организаций Чувашской Республики в сфере культуры и искусства - 2588,4 тыс. рублей (96,2%);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профессиональных образовательных организаций Чувашской Республики в сфере культуры и искусства - 78710,6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образовательных организаций в сфере культуры и искусства - 6651,3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музыкальных инструментов, оборудования и материалов для профессиональных образовательных организаций в рамках поддержки отрасли культуры - 10066,1 тыс. рублей (100%), из них за счет средств, поступивших из федерального бюджета, – 10000,0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«Развитие спорта высших достижений и системы подготовки спортивного резерва» государственной программы Чувашской Республики «Развитие физической культуры и спорта» на обеспечение деятельности республиканских спортивных школ олимпийского резерва, спортивных школ, училища олимпийского резерва, центра спортивной подготовки - 53263,4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образования» - 1321354,6 тыс. рублей (99,6%), из них за счет средств, поступивших из федерального бюджета, – 5485,0 тыс. рублей (100%),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«Государственная поддержка развития образования» - 1209318,4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- 13463,4 тыс. рублей (99,3%);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обеспечение деятельности государственных профессиональных образовательных организаций Чувашской Республики - 1070408,5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субсидий профессиональным образовательным организациям на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- 13469,9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профессиональных образовательных организаций Чувашской Республики - 42198,1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гранты Главы Чувашской Республики для студентов государственных профессиональных образовательных организаций Чувашской Республики – 960,0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профессиональных образовательных организаций Чувашской Республики – 68818,5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«Комплексное развитие профессионального образования в Чувашской Республике» - 112036,2 тыс. рублей (95,7%), из них за счет средств, поступивших из федерального бюджета, – 5485,0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модернизацию инфраструктуры и содержание профессионального образования </w:t>
      </w:r>
      <w:r w:rsidR="00B50173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0173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55520,8</w:t>
      </w: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B50173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91,7</w:t>
      </w: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 w:rsidR="00B50173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50173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указанных бюджетных ассигнований является экономия, сложившаяся по результатам конкурсных процедур</w:t>
      </w: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субъектах Российской Федерации - 5540,4 тыс. рублей (100%), из них за счет средств, поступивших из федерального бюджета, – 5485,0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профессиональных образовательных организаций Чувашской Республики – 26495,0 тыс. рублей (100%);</w:t>
      </w: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поддержку профессиональных образовательных организаций в целях обеспечения соответствия их материально-технической базы современным требованиям – 24480,0 тыс. рублей (100%).</w:t>
      </w:r>
    </w:p>
    <w:p w:rsidR="00FC238D" w:rsidRPr="00715B76" w:rsidRDefault="00FC238D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«Профессиональная подготовка, переподготовка и повышение квалификации»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94395,2 тыс. рублей, или 97,4% к годовым плановым назначениям (96894,8 тыс. рублей), из них за счет средств, поступивших из федерального бюджета, – 895,4 тыс. рублей (87%),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здравоохранения» - 34360,6 тыс. рублей (93,7%),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«Совершенствование оказания медицинской помощи, включая профилактику заболеваний и формирование здорового образа жизни» на закупку лекарственных препаратов и медицинского оборудования - 5372,5 тыс. рублей (70%)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экономия, сложившаяся по результатам конкурсных процедур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«Развитие кадровых ресурсов в здравоохранении» - 28988,1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государственную социальную поддержку обучающихся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 – 2540,0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дополнительного профессионального образования Чувашской Республики в сфере здравоохранения - 26448,1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«Государственная поддержка развития образования» государственной программы Чувашской Республики «Развитие образования» - 58717,9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- 2184,8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дополнительного профессионального образования Чувашской Республики - 48851,5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организаций дополнительного профессионального образования Чувашской Республики - 1929,8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организационно-методическое сопровождение проведения аттестации педагогических работников в соответствии со статьей 49 Федерального закона от 29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2012 года № 273-ФЗ «Об образовании в Российской Федерации» - 5751,8 тыс. рублей (100%);</w:t>
      </w:r>
    </w:p>
    <w:p w:rsidR="00370C56" w:rsidRDefault="00C44518" w:rsidP="00370C56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«Совершенствование системы государственного стратегического управления» государственной программы Чувашской Республики «Экономическое развитие Чувашской Республики» на организацию обучения специалистов в образовательных организациях - 1316,7 тыс. рублей (87%), из них за счет средств, поступивших из федерального бюджета, – 895,4 тыс. рублей (87%).</w:t>
      </w:r>
      <w:r w:rsid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70C56"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плата произведена за фактически обучившихся специалистов по Государственному плану подготовки управленческих кадров для организаций народного хозяйства Российской Федерации в 2019/2020 учебном году в соответствии с заключенным договором с ФГБОУВО «ЧГУ им. И.Н. Ульянова».</w:t>
      </w:r>
    </w:p>
    <w:p w:rsidR="00370C56" w:rsidRDefault="00370C56" w:rsidP="00370C56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370C56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«Высшее образование»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«Развитие культуры в Чувашской Республике» государственной программы Чувашской Республики «Развитие культуры и туризма» - 68640,0 тыс. рублей или 98,1% к годовым плановым назначениям (69986,0 тыс. рублей),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- 4205,1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выплаты стипендий обучающимся и студентам государственных образовательных организаций Чувашской Республики в сфере культуры и искусства – 4090,0 тыс. рублей (99,2%);</w:t>
      </w:r>
    </w:p>
    <w:p w:rsidR="00C44518" w:rsidRPr="00356E99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образовательных организаций высшего образования Чувашской Республики в сфере культуры и искусства - 55910,4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образовательных организаций в сфере культуры и искусства - 4434,5 тыс. рублей (77,2%).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экономия, сложившаяся по результатам 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0B27" w:rsidRPr="00715B76" w:rsidRDefault="00F60B27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«Молодежная политика»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13857,3 тыс. рублей, или 88% к годовым плановым назначениям (15755,4 тыс. рублей), в том числе:</w:t>
      </w: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«Развитие медицинской реабилитации и санаторно-курортного лечения, в том числе детей» государственной программы Чувашской Республики «Развитие здравоохранения» на обеспечение отдыха и оздоровления детей, имеющих медицинские показания, в санаторно-курортных организациях - 11624,4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образования» - 2232,9 тыс. рублей (88,2%),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«Молодежь Чувашской Республики» - 1722,6 тыс. рублей (89%),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мероприятий по вовлечению молодежи в социальную практику - 1222,6 тыс. рублей (85,2%)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Чувашской Республики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молодежные премии Чувашской Республики – 500,0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«Патриотическое воспитание и допризывная подготовка молодежи Чувашской Республики» на организацию и проведение мероприятий, направленных на патриотическое воспитание детей и допризывную подготовку молодежи, - 510,3 тыс. рублей (85,6%)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отмена проведения отдельных мероприятий в период распространения новой </w:t>
      </w:r>
      <w:proofErr w:type="spellStart"/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83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Чувашской Республики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«Прикладные научные исследования в области образования»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«Государственная поддержка развития образования» государственной программы Чувашской Республики «Развитие образования» - 46326,5 тыс. рублей (98,8%),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- 716,1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научных учреждений - 41485,4 тыс. рублей (100%);</w:t>
      </w: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научных учрежде</w:t>
      </w:r>
      <w:r w:rsidR="003523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– 4125,0 тыс. рублей (100%)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0B27" w:rsidRPr="00715B76" w:rsidRDefault="00F60B27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«Другие вопросы в области образования»</w:t>
      </w:r>
    </w:p>
    <w:p w:rsidR="00C44518" w:rsidRPr="00715B76" w:rsidRDefault="00C44518" w:rsidP="00C44518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131588,3 тыс. рублей, или 92,5% к годовым плановым назначениям (142189,9 тыс. рублей), из них за счет средств, поступивших из федерального бюджета, – 8706,8 тыс. рублей (100%),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культуры и туризма» - 433,0 тыс. рублей (80,6%),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«Развитие культуры в Чувашской Республике» - 291,9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участия художественно одаренных детей и молодежи в творческих проектах, в том числе в молодежных Дельфийских играх России, - 67,9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издание альбома, посвященного празднованию 100-летия Чувашской автономной области, – 224,0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«Укрепление единства российской нации и этнокультурное развитие народов Чувашской Республики» на обеспечение функционирования государственных и иных языков в системе образования - 141,1 тыс. рублей (57,5%)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образования» - 125897,8 тыс. рублей (92,6%), из них за счет средств, поступивших из федерального бюджета, – 8706,8 тыс. рублей (100%), в том числе: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«Государственная поддержка развития образования» - 58031,9 тыс. рублей (92,7%),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учреждений, обеспечивающих предоставление услуг в сфере образования, - 17482,5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учреждений, обеспечивающих предоставление услуг в сфере образования, - 69,7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государственных образовательных организаций Чувашской Республики,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 - 3563,6 тыс. рублей (92%)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B77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Чувашской Республики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356E99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 по инновационному развитию системы образования - 1753,6 тыс. рублей (67,8%)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Чувашской 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Республики;</w:t>
      </w:r>
    </w:p>
    <w:p w:rsidR="00C44518" w:rsidRPr="00356E99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мероприятий в области образования для детей и молодежи - 98,2 тыс. рублей (18,4%). Причиной неполного освоения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Республики;</w:t>
      </w:r>
    </w:p>
    <w:p w:rsidR="00C44518" w:rsidRPr="00356E99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независимой оценки качества условий оказания услуг – 420,0 тыс. рублей (90,1%)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экономия, сложившаяся по результатам конкурс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процедур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информационно-коммуникационной кампании, направленной на освещение мероприятий в рамках региональных проектов, - 1104,4 тыс. рублей (94,8%). Причиной неполного освоения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</w:t>
      </w:r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период распространения новой </w:t>
      </w:r>
      <w:proofErr w:type="spellStart"/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52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именные стипендии Главы Чувашской Республики для обучающихся общеобразовательных организаций и организаций дополнительного образования в Чувашской Республике, достигших наилучших результатов в изучении основ наук и искусств, – 120,0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стипендии Главы Чувашской Республики для представителей молодежи и студентов за особую творческую устремленность – 21960,0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стипендии Главы Чувашской Республики за особые успехи в изучении физики и математики – 824,0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ежегодные денежные поощрения и гранты Главы Чувашской Республики для поддержки инноваций в сфере образования – 9370,0 тыс. рублей (80,6%)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уменьшение количества педагогических работников, подготовивших победителей и призеров всероссийской олимпиады школьников, международных олимпиад по общеобразовательным предметам, а также Всероссийской </w:t>
      </w:r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олимпиады профессионального мастерства обучающихся по профессиям и специальностям среднего профессионального образования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гранты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– 525,0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 проведение новогодних праздничных представлений, участие в общероссийской новогодней елке - 519,8 тыс. рублей (100%);</w:t>
      </w: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инфраструктуры комплексного сопровождения детей-сирот, организацию республиканских слетов, конкурсов, конференций, семинаров, круглых столов, форумов и др. - 221,1 тыс. рублей (29,5%)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C074B8" w:rsidRP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«Комплексное развитие профессионального образования в Чувашской Республике» на модернизацию инфраструктуры и содержание профессионального образования - 14016,6 тыс. рублей (85,7%)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отмена проведения отдельных мероприятий в период распространения новой </w:t>
      </w:r>
      <w:proofErr w:type="spellStart"/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21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 на территории Чувашской Республики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«Развитие образования» - 53849,3 тыс. рублей (94,4%), из них за счет средств, поступивших из федерального бюджета, – 8706,8 тыс. рублей (100%),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- 41668,1 тыс. рублей (92,9%)</w:t>
      </w:r>
      <w:r w:rsid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Причинами неполного освоения </w:t>
      </w:r>
      <w:r w:rsidR="00C074B8" w:rsidRP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применение регрессивной шкалы при начислении страховых взносов, экономия сре</w:t>
      </w:r>
      <w:proofErr w:type="gramStart"/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св</w:t>
      </w:r>
      <w:proofErr w:type="gramEnd"/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язи с уменьшением количества выездов в командировки,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экономия средств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функций государственных органов в целях осуществления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законодательства в области образования - 1516,5 тыс. рублей (99,7%);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 по обязательствам Чувашской Республики - 1957,9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№ 273-ФЗ «Об образовании в Российской Федерации» полномочий Российской Федерации в сфере образования за счет субвенции, предоставляемой из федерального бюджета - 8706,8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«Безопасность дорожного движения» государственной программы Чувашской Республики «Развитие транспортной системы Чувашской Республики» - 2593,5 тыс. рублей (95,3%), в том числе </w:t>
      </w:r>
      <w:proofErr w:type="gramStart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электронной техники и оборудования для обучения детей разных возрастных категорий безопасному поведению на дороге – 1020,0 тыс. рублей (100%);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элементами - 877,5 тыс. рублей (87,8%)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 в результате проведенных конкурсных процедур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ежегодное проведение конкурсов, мероприятий, направленных на повышение безопасности дорожного движения и культуры поведения детей на дороге, – 696,0 тыс. рублей (99,4%);</w:t>
      </w:r>
    </w:p>
    <w:p w:rsidR="00C44518" w:rsidRPr="00715B76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государственной программы Чувашской Республики «Развитие потенциала государственного управления» - 2544,9 тыс. рублей (90%), в том числе:</w:t>
      </w:r>
    </w:p>
    <w:p w:rsidR="00C44518" w:rsidRPr="00356E99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«Совершенствование кадровой политики и развитие кадрового потенциала государственной гражданской службы Чувашской Республики» - </w:t>
      </w: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2344,9 тыс. рублей (89,2%), в том числе </w:t>
      </w:r>
      <w:proofErr w:type="gramStart"/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44518" w:rsidRPr="00356E99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переподготовку и повышение квалификации кадров для государственной гражданской службы Чувашской Республики - 2281,3 тыс. рублей (90,7%)</w:t>
      </w:r>
      <w:r w:rsidR="00356E99" w:rsidRPr="0035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экономия, сложившаяся по результатам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конкурсных процедур;</w:t>
      </w:r>
    </w:p>
    <w:p w:rsidR="00C44518" w:rsidRPr="00147935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Республики, - 63,6 тыс. рублей (56,6%)</w:t>
      </w:r>
      <w:r w:rsidR="00356E99"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4518" w:rsidRPr="00147935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«Развитие муниципальной службы в Чувашской Республике» на переподготовку и повышение квалификации кадров для муниципальной службы – 200,0 тыс. рублей (100%);</w:t>
      </w:r>
    </w:p>
    <w:p w:rsidR="00C44518" w:rsidRDefault="00C44518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«Информационная инфраструктура» государственной программы Чувашской Республики «Цифровое общество Чувашии» на информационно</w:t>
      </w:r>
      <w:r w:rsidRPr="0071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Республики, - 119,1 тыс. рублей (99,2%).</w:t>
      </w:r>
    </w:p>
    <w:p w:rsidR="00506C41" w:rsidRPr="00715B76" w:rsidRDefault="00506C41" w:rsidP="00C4451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76ED" w:rsidRDefault="000976ED" w:rsidP="000976ED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Культура, кинематография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76ED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Культура, кинематография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2022713,3 тыс. рублей, или 93,5% к годовым плановым назначениям (2162891,5 тыс. рублей), из них за счет средств, поступивших из федерального бюджета, – 421594,2 тыс. рублей, или 99,5% к годовым плановым назначениям.</w:t>
      </w:r>
    </w:p>
    <w:p w:rsidR="00C44518" w:rsidRPr="00C54634" w:rsidRDefault="00C44518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76ED" w:rsidRDefault="000976ED" w:rsidP="000976ED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1910808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93,2% к годовым плановым назначениям (2050760,3 тыс. рублей), из них за счет средств, поступивших из федерального бюджета, – 412898,2 тыс. рублей (99,5%), в том числе: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- 1910808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(93,2%), из них за счет средств, поступивших из федерального бюджета, – 412898,2 тыс. рубл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(99,5%), в том числе: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- 1900870,7 тыс. рублей (93,1%), из них за счет средств, поступивших из федерального бюджета, – 404890,4 тыс. рублей (99,5%),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охрану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культурного наследия - 3747,9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57660,5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реставрацию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здания Полномочного представительства Чувашской Республики при Президенте Российской Федерации, расположенного по адресу: г. Москва, ул. Большая Ордынка, д. 46, стр. 1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- 1739,5 тыс. рублей (10,6%)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нарушение подрядчиком сроков исполнения обязательств по контракту из-за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неоднократно возникавшей потребности в корректировке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проектной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документации, сметной документации, а также в согласительных мероприятиях с контролирующими органами в ходе проведения реставрационных работ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БУ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Госцентр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охране культурного наследия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Минкультуры Чувашии - 4133,8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централизованное комплектование книжных фондов общедоступных библиотек - 3816,5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библиотек - 91343,1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музейно-выставочных проектов - 20818,1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музеев - 71941,7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творческих проектов профессиональных коллективов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8400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инновационных программ в сфере культуры и искусства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создания и деятельности социально ориентированных некоммерческих организаций, организаций, оказывающих услуги в сфере культуры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- 100,7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сохранения и развития исполнительских и изобразительных искусств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новых и восстановление театральных и сценических постановок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фестивальной и гастрольной деятельности театрально-концертных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театрально-концертных учреждений - 442241,8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развития народного творчества и культурно-досуговой деятельности населения - 8058,7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 культурно-досугового типа и народного творчества - 32701,3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поддержке творческой деятельности детей в государственных учреждениях культуры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комплекса работ по инженерным изысканиям на земельном участке для подготовки проектной документации на установку и благоустройство территории мемориального объекта, посвященного трудовому подвигу строителей Сурского и Казанского оборонительных рубежей и тружеников тыла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фестивалей, торжественных вечеров, концертов и иных зрелищных мероприятий - 19370,1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информационно-коммуникационной кампании, направленной на освещение мероприятий в рамках региональных проектов</w:t>
      </w:r>
      <w:r w:rsidR="003F4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- 158,9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 государственных библиотек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музеев - 2470,2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театрально-концертных учреждений - 111354,1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государственных учреждений в сфере культурно-досугового обслуживания населения и туризма - 20763,3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 деятельности и укрепление материально-технической базы театров в населенных пунктах с численностью населения до 300 тысяч человек - 4725,6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(100%), из них за счет средств, поступивших из федерального бюджета, – 4678,3 тыс. рублей (100%);</w:t>
      </w:r>
    </w:p>
    <w:p w:rsidR="000976ED" w:rsidRPr="0036576B" w:rsidRDefault="000976ED" w:rsidP="000976E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 деятельности и техническое оснащение детских и кукольных театров - 15220,9 тыс. рублей (100%), из них за счет средств, поступивших из федерального </w:t>
      </w:r>
      <w:r w:rsidRPr="0036576B">
        <w:rPr>
          <w:rFonts w:ascii="Times New Roman" w:eastAsia="Times New Roman" w:hAnsi="Times New Roman"/>
          <w:sz w:val="24"/>
          <w:szCs w:val="24"/>
          <w:lang w:eastAsia="ru-RU"/>
        </w:rPr>
        <w:t>бюджета, – 15068,7 тыс. рублей (100%);</w:t>
      </w:r>
    </w:p>
    <w:p w:rsidR="000976ED" w:rsidRPr="0036576B" w:rsidRDefault="000976ED" w:rsidP="000976E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6B">
        <w:rPr>
          <w:rFonts w:ascii="Times New Roman" w:eastAsia="Times New Roman" w:hAnsi="Times New Roman"/>
          <w:sz w:val="24"/>
          <w:szCs w:val="24"/>
          <w:lang w:eastAsia="ru-RU"/>
        </w:rPr>
        <w:t>реконструкцию здания театра АУ «Чувашский государственный театр оперы и балета» Минкультуры Чувашии - 13694,4 тыс. рублей (100%);</w:t>
      </w:r>
    </w:p>
    <w:p w:rsidR="000976ED" w:rsidRPr="0036576B" w:rsidRDefault="000976ED" w:rsidP="000976E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6B">
        <w:rPr>
          <w:rFonts w:ascii="Times New Roman" w:eastAsia="Times New Roman" w:hAnsi="Times New Roman"/>
          <w:sz w:val="24"/>
          <w:szCs w:val="24"/>
          <w:lang w:eastAsia="ru-RU"/>
        </w:rPr>
        <w:t>оплату услуг судебного эксперта – 82,0 тыс. рублей (20%)</w:t>
      </w:r>
      <w:r w:rsidR="00F87A9E" w:rsidRPr="0036576B">
        <w:rPr>
          <w:rFonts w:ascii="Times New Roman" w:eastAsia="Times New Roman" w:hAnsi="Times New Roman"/>
          <w:sz w:val="24"/>
          <w:szCs w:val="24"/>
          <w:lang w:eastAsia="ru-RU"/>
        </w:rPr>
        <w:t>. Причиной неполного освоения</w:t>
      </w:r>
      <w:r w:rsidR="002157B5" w:rsidRP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</w:t>
      </w:r>
      <w:r w:rsidR="00F87A9E" w:rsidRP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36576B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r w:rsidR="0036576B" w:rsidRP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конкурсных</w:t>
      </w:r>
      <w:r w:rsid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процедур. </w:t>
      </w:r>
      <w:r w:rsidR="0036576B" w:rsidRPr="0036576B">
        <w:rPr>
          <w:rFonts w:ascii="Times New Roman" w:eastAsia="Times New Roman" w:hAnsi="Times New Roman"/>
          <w:sz w:val="24"/>
          <w:szCs w:val="24"/>
          <w:lang w:eastAsia="ru-RU"/>
        </w:rPr>
        <w:t>В рамках первого уточнения республиканского бюджета Чувашской Республики</w:t>
      </w:r>
      <w:r w:rsid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году</w:t>
      </w:r>
      <w:r w:rsidR="0036576B" w:rsidRP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</w:t>
      </w:r>
      <w:r w:rsidR="00877C06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  <w:r w:rsidR="0036576B" w:rsidRPr="0036576B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неиспользованных в 2020 году </w:t>
      </w:r>
      <w:r w:rsid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бюджетных ассигнований</w:t>
      </w:r>
      <w:r w:rsidRPr="003657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в рамках подготовки и проведения празднования 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550-летия основания г. Чебоксары - 950,1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празднования на федеральном уровне памятных дат субъектов Российской Федерации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193627,5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(99,1%), из них за счет средств, поступивших из федерального бюджета, – 134268,6 тыс. рублей (99,1%);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 муниципальных учреждений культурно-досугового типа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245191,7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92,8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 w:rsidR="008A0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07D8" w:rsidRPr="008A07D8">
        <w:t xml:space="preserve"> </w:t>
      </w:r>
      <w:r w:rsidR="008A07D8" w:rsidRPr="008A0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средств является экономия, образовавшаяся по результатам</w:t>
      </w:r>
      <w:r w:rsidR="008A0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конкурсных процедур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музеев - 39519,6 тыс. рублей (98,4%);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труда работников муниципальных учреждений в рамках реализации мероприятий, связанных с профилактикой и устранением последствий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- 10756,3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ода № 597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мерах по реализации государственной социальной политики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- 38830,5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библиотек - 119582,2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2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(94,9%)</w:t>
      </w:r>
      <w:r w:rsidR="00282812" w:rsidRPr="00282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экономия, образовавшаяся по результатам проведения конкурсных процедур</w:t>
      </w:r>
      <w:r w:rsidRPr="00282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- 38745,4 тыс. рублей (98,8%), из них за счет средств, поступивших из федерального бюджета, – 38358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(98,8%);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подключение общедоступных библиотек к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развитие системы библиотечного дела с учетом задачи расширения информационных технологий и оцифровки в рамках поддержки отрасли культуры - 1111,1 тыс. рублей (100%), из них за счет средств, поступивших из федерального бюджета, – 777,8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2400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сельского дома культуры на 100 мест, расположенного по адресу: Чувашская Республика,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Красночетайский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д.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Тарабай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Новая, д. 12а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380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сельского дома культуры на 100 мест, расположенного по адресу: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Чувашская Республика, Козловский район, д.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Илебары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Почтовая, д. 10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сельского дома культуры на 100 мест, расположенного по адресу: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Чувашская Республика,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Батыревский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д. Старые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Тойси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Кооперативная, д. 2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- 563,1 тыс. рублей (100%);</w:t>
      </w:r>
      <w:proofErr w:type="gramEnd"/>
    </w:p>
    <w:p w:rsidR="001E5657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создание модельных муниципальных библиотек </w:t>
      </w:r>
      <w:r w:rsidR="001E5657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здания ГУК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Чувашская государственная филармония в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Чебоксары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Чувашская Республика - 140472,3 тыс. рублей (59,5%), из них за счет средств, поступивших из федерального бюджета, – 98800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еполно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средств, обусловлено отсутствием актов выполненных работ, а также в связи с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контракта по строительно-монтажным работам с ООО «</w:t>
      </w:r>
      <w:proofErr w:type="spellStart"/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Спецстрой</w:t>
      </w:r>
      <w:proofErr w:type="spellEnd"/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="00C074B8" w:rsidRP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предусмотрено выделение средств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авершение реконструкции объекта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сельского дома культуры на 150 мест по ул.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39 в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Янгильдино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Чебоксарского района Чувашской Республики - 25731,9 тыс. рублей (98,1%), из них за счет средств, поступивших из федерального бюджета, – 19515,7 тыс. рублей (97,5%);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сельского дома культуры на 150 мест в д.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Буртасы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Вурнарского района Чувашской Республики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29225,4 тыс. рублей (100%), из них за счет средств, поступивших из федерального бюджета, – 28956,3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сельского дома культуры на 100 мест по адресу: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Чувашская Республика,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Канашский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д.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Хучель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Школьная, д. 2 - 28200,4 тыс. рублей (100%), из них за счет средств, поступивших из федерального бюджета, – 20360,7 тыс. рублей (100%);</w:t>
      </w:r>
      <w:proofErr w:type="gramEnd"/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зданий учреждений культурно-досугового типа в сельской местности в рамках поддержки отрасли культуры - 14845,9 тыс. рублей (100%), из них за счет средств, поступивших из федерального бюджета, – 14706,3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творческих проектов некоммерческих организаций в области музыкального, театрального и изобразительного искусства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фестивалей детского творчества всех жанров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республиканских фестивалей любительских творческих коллективов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добровольческих движений, в том числе в сфере сохранения культурного наследия народов Российской Федерации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и функционирование центров непрерывного образования и повышения квалификации творческих и управленческих кадров в сфере культуры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выставочных проектов о культурных ценностях народов России в республиканских и муниципальных музеях - 475,2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онлайн-трансляций мероприятий, размещаемых на портале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виртуальных концертных залов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поступивших из федерального бюджета, – 2000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единства российской нации и этнокультурное развитие народов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- 8847,6 тыс. рублей (100%), из них за счет средств, поступивших из федерального бюджета, – 8007,8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социологического исследования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Этнокультурное развитие и межнациональные отношения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межконфессионального согласия - 56,9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инициатив в сфере гармонизации межнациональных отношений - 307,4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общественных инициатив и мероприятий, направленных на формирование и укрепление гражданского патриотизма и российской гражданской идентичности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- 66,9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укреплению единства российской нации и этнокультурному развитию народов России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8088,7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8007,8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межрегиональные и международные культурные связи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ддержк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диаспоры - 229,7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и развитие чтения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- 1089,7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библиотечных проектов, направленных на расширение и сохранение круга читателей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- 777,4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информационно-издательской деятельности государственных библиотек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переподготовки и повышения квалификации специалистов в области библиотечного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 - 12,3 тыс. рублей (100%).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76ED" w:rsidRDefault="000976ED" w:rsidP="000976ED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культуры, кинематографии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111905,3 тыс. рублей, или 99,8% к годовым плановым назначениям (112131,2 тыс. рублей), из них за счет средств, поступивших из федерального бюджета, – 8696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(99,7%), в том числе: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- 83242,8 тыс. рублей (99,9%), из них за счет средств, поступивших из федерального бюджета, – 8696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(99,7%),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в целях осуществления полномочий Российской Федерации по государственной охране объектов культурного наследия федерального значения - 47,8 тыс. рублей (36,7%)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Причинами неполного освоения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экономия по 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страховы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взнос</w:t>
      </w:r>
      <w:r w:rsidR="00C07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73-ФЗ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в отношении объектов культурного наследия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0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- 1679,3 тыс. рублей (98,6%)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хранения, комплектования, учета и использования документов Архивного фонда Чувашской Республики - 507,8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ежемесячные выплаты государственных стипендий для выдающихся деятелей науки, литературы и искусства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(97,2%);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функционирования БУ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финансового и хозяйственного обеспечения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Минкультуры Чувашии - 66847,8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независимой оценки качества условий оказания услуг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чебоксарский культурный форум, посвященный празднованию Дня Республики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- 3785,1 тыс. рублей (100%);</w:t>
      </w:r>
    </w:p>
    <w:p w:rsidR="000976ED" w:rsidRPr="00C54634" w:rsidRDefault="00302006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</w:t>
      </w:r>
      <w:r w:rsidR="000976ED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празднования на федеральном уровне памятных дат субъектов Российской Федерации </w:t>
      </w:r>
      <w:r w:rsidR="00097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0976ED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9700</w:t>
      </w:r>
      <w:r w:rsidR="00097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0976ED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</w:t>
      </w:r>
      <w:r w:rsidR="00097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– 7016,7 тыс. рублей (100%);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- 27096,6 тыс. рублей (99,7%);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«Совершенствование кадровой политики и развитие кадрового потенциала государственной гражданской службы Чувашской Республики» государственной программы Чувашской Республики «Развитие потенциала </w:t>
      </w: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государственного управления» на предоставление выплат по государственному</w:t>
      </w:r>
      <w:r w:rsidRPr="000071D5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302006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- 29,3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(56,8%)</w:t>
      </w:r>
      <w:r w:rsidR="00504D2C"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504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76ED" w:rsidRPr="00C54634" w:rsidRDefault="000976ED" w:rsidP="000976E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- 1536,6 тыс. рублей (100%).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C5DDE" w:rsidRDefault="00DE2F60" w:rsidP="005C5DD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3B2925"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Здравоохранение</w:t>
      </w:r>
      <w:r w:rsidR="003B2925"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C5DDE" w:rsidRPr="005C5DDE" w:rsidRDefault="005C5DDE" w:rsidP="005C5DD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Здравоохранение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8983238,1 тыс. рублей, или 96,2% к годовым плановым назначениям (9338075,5 тыс. рублей), из них за счет средств, поступивших из федерального бюджета, – 4687309,8 тыс. рублей, или 97,5% к годовым плановым назначениям.</w:t>
      </w:r>
    </w:p>
    <w:p w:rsidR="005C5DDE" w:rsidRDefault="005C5DDE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7C06" w:rsidRDefault="00877C06" w:rsidP="005C5DD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C5DDE" w:rsidRDefault="00DE2F60" w:rsidP="005C5DD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Стационарная медицинская помощь</w:t>
      </w:r>
      <w:r w:rsidR="003B2925" w:rsidRPr="005C5D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C5DDE" w:rsidRPr="005C5DDE" w:rsidRDefault="005C5DDE" w:rsidP="005C5DD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«Развитие здравоохранения» 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 4747541,5 тыс. рублей, или 96,5% к годовым плановым назначениям (4920718 тыс. рублей), из них за счет средств, поступивших из федерального бюджета, – 2304416,6 тыс. рублей (98,5%), в том числе: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- 4185571,5 т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ыс. рублей (96,8%), из них за счет средств, поступивших из федерального бюджета, – 1749871,6 тыс. рублей (100%), в том числе </w:t>
      </w: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обеспечивающих развитие системы медицинской профилактики инфекционных заболеваний и формирование здорового образа жизни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193368,2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DDE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вызванной 2019-nCoV, в Чувашской Республике - 590493,5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(90,3%)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Причинами неполного освоения является экономия, образовавшаяся по результатам конкурсных процедур, неисполнение поставщиками обязательств по заключенным контрактам</w:t>
      </w:r>
      <w:r w:rsidR="00DE2F60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аппаратов для искусственной вентиляции легких для медицинских организаций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Федерации 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7448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(92,6%)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по результатам конкурсных процедур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инфекцией, за счет средств резервного фонда Правительства Российской Федерации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- 339477,4 тыс. рублей (100%);</w:t>
      </w:r>
    </w:p>
    <w:p w:rsidR="009A4F4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оснащение (переоснащение) дополнительно создаваемого или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перепрофилируемого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коечного фонда медицинских организаций для оказания 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медицинской помощи больным новой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Федерации 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487200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за счет средств резервного фонда Правительства Российской Федерации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- 675700,1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</w:r>
      <w:proofErr w:type="gram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- 67356,7 тыс. рублей (100%)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мероприятий по борьбе с новой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 (COVID-19)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- 69914,9 тыс. рублей (100%);</w:t>
      </w:r>
    </w:p>
    <w:p w:rsidR="009A4F4F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контактирующим с пациентами с установленным диагнозом новой </w:t>
      </w:r>
      <w:proofErr w:type="spellStart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- 72250,5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больным туберкулезом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- 235736,3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наркологическим больным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96194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больным с психическими расстройствами и расстройствами поведения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- 441433,9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по оказанию высокотехнологичной медицинской помощи, не включенной в базовую программу обязательного медицинского страхования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- 130540,5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(100%), из них за счет средств, поступивших из федерального бюджета, – 29206,7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специализированную медицинскую помощь по прочим заболеваниям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307384,7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DD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паллиативной медицинской помощи - 1330,6 тыс. рублей (100%), из них за счет средств, поступивших из федерального бюджета, – 1317,3 тыс. рублей (100%);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закупк</w:t>
      </w:r>
      <w:r w:rsidR="005C5DDE"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лекарственных препаратов и медицинского оборудования - 421297,5 тыс. рублей (92,7%)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неисполнение поставщиками обязательств по заключенным контрактам</w:t>
      </w:r>
      <w:r w:rsidRPr="005C5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BA6B9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-модульной котельной филиала 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Красноармейская центральная районная больница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бюджетного учреждения Чувашской Республики 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Больница скорой медицинской помощи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здравоохранения Чувашской Республики, Красноармейский район, с. Красноармейское, ул. 30 лет Победы, д. 7 </w:t>
      </w:r>
      <w:r w:rsidR="005C5DDE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700</w:t>
      </w:r>
      <w:r w:rsidR="005C5DDE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  <w:proofErr w:type="gramEnd"/>
    </w:p>
    <w:p w:rsidR="00DE2F60" w:rsidRPr="00BA6B9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-модульной котельной филиала 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Порецкая центральная районная больница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бюджетного учреждения Чувашской Республики 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Шумерлинский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межтерриториальный медицинский центр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здравоохранения Чувашской Республики, 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Порецкий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с. Порецкое, ул. Ленина, д. 103 - 19704,3 тыс. рублей (100%);</w:t>
      </w:r>
      <w:proofErr w:type="gramEnd"/>
    </w:p>
    <w:p w:rsidR="00DE2F60" w:rsidRPr="00BA6B99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строительство 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-модульной котельной для теплоснабжения корпусов бюджетного учреждения Чувашской Республики 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Аликовская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центральная районная больница</w:t>
      </w:r>
      <w:r w:rsidR="003B2925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здравоохранения Чувашской Республики, </w:t>
      </w:r>
      <w:proofErr w:type="spellStart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Аликовский</w:t>
      </w:r>
      <w:proofErr w:type="spellEnd"/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Аликово, ул. Октябрьская, д. 12 </w:t>
      </w:r>
      <w:r w:rsidR="005C5DDE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17634</w:t>
      </w:r>
      <w:r w:rsidR="005C5DDE"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BA6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 и благоустройство территории медицинских организаций вблизи вертолетных площадок - 10406,4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внедрение инновационных методов диагностики, профилактики и лечения, а также основ персонализированной медицины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бюджета, – 554545</w:t>
      </w:r>
      <w:r w:rsidR="00BA6B99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(94,2%),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оборудованием региональных сосудистых центров и первичных сосудистых отделений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поступивших из федерального бюджета, – 167002,8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переоснащение медицинских организаций, оказывающих медицинскую помощь больным с онкологическими заболеваниями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поступивших из федерального бюджета, – 387542,2 тыс. рублей (91,9%)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неисполнение поставщиками обязательств по заключенным контрактам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здоровья матери и ребенка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пристроя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городскому перинатальному центру БУ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Городская клиническая больница 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Минздрава Чувашии, г. Чебоксары, пр. Тракторострои</w:t>
      </w:r>
      <w:r w:rsidR="00BA6B99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телей </w:t>
      </w:r>
      <w:r w:rsidR="0000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BA6B99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7425</w:t>
      </w:r>
      <w:r w:rsidR="0000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BA6B99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(100%).</w:t>
      </w:r>
    </w:p>
    <w:p w:rsidR="001B04E9" w:rsidRDefault="001B04E9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C75284" w:rsidRDefault="00DE2F60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Амбулаторная помощь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75284" w:rsidRPr="00C75284" w:rsidRDefault="00C75284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1649947,6 тыс. рублей, или 95,2% к годовым плановым назначениям (1733884 тыс. рублей), из них за счет средств, поступивших из федерального бюджета, – 713201,9 тыс. рублей (98,4%), в том числе: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- 1649947,6 тыс. рублей (95,2%), из них за счет средств, поступивших из федерального бюджета, – 713201,9 тыс. рублей (98,4%), в том числе: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- 1303957,7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(95,1%), из них за счет средств, поступивших из федерального бюджета, – 370182,4 тыс. рублей (97,4%),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больниц, клиник, госпиталей, медико-санитарных частей, обеспечивающих развитие системы медицинской профилактики инфекционных заболеваний и формирование здорового образа жизни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328585,9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C75284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вызванной 2019-nCoV, в Чувашской Республике - 116014,8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(91,3%)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Причинами неполного освоения является экономия, образовавшаяся по результатам конкурсных процедур, неисполнение поставщиками обязательств по заключенным контрактам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поликлиник, амбулаторий, диагностических центров, обеспечивающих развитие системы медицинской профилактики инфекционных заболеваний и формирование здорового образа жизни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- 78634,5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инфекцией, за счет средств резервного фонда Правительства Российской Федерации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- 202985,7 тыс. рублей (100%);</w:t>
      </w:r>
    </w:p>
    <w:p w:rsidR="00F91AD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19466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F91AD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мероприятий по приобретению лекарственных препаратов для лечения пациентов с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- 68358,3 тыс. рублей (96,1%);</w:t>
      </w:r>
    </w:p>
    <w:p w:rsidR="00F91AD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мероприятий по борьбе с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 (COVID-19)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Федерации - 8000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F91AD3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методами амплификации нуклеиновых кислот, за счет средств резервного фонда Правительства Российской Федерации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15715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больным туберкулезом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- 58149,5 тыс. рублей (100%);</w:t>
      </w:r>
    </w:p>
    <w:p w:rsidR="00DE2F60" w:rsidRPr="00C75284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- 14020,9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наркологическим больным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- 41908,6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больным с психическими расстройствами и расстройствами поведения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- 91063,2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специализированную медицинскую помощь по прочим заболеваниям</w:t>
      </w:r>
      <w:r w:rsidR="001E5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112263,7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C75284" w:rsidRDefault="00C75284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азвитие паллиативной медицинской помощи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28054,6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91,7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%), из них за счет средств, поступивших из федерального бюджета, – 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27794,0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91,7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закупк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лекарственных препаратов и медицинского оборудования </w:t>
      </w:r>
      <w:r w:rsid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92572</w:t>
      </w:r>
      <w:r w:rsid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(68,8%)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624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неисполнение поставщиками обязательств по заключенным контрактам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модульных фельдшерско-акушерских пунктов, отвечающих современным требованиям, в населенных пунктах с численностью населения от 101 до 2000 человек </w:t>
      </w:r>
      <w:r w:rsid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28165</w:t>
      </w:r>
      <w:r w:rsid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(86,3%), из них за счет средств, поступивших из федерального бюджета, – 27883,4 тыс. рублей (86,3%)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624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экономия по заключенным контрактам по строительству 8 ФАП</w:t>
      </w:r>
      <w:r w:rsidR="009C0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внедрение инновационных методов диагностики, профилактики и лечения, а также основ персонализированной медицины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- 222134,5 тыс. рублей (93,6%), из них за счет средств, поступивших из федерального бюджета, – 220402,7 тыс. рублей (99,8%),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профилактики развития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заболеваний и сердечно-сосудистых осложнений у пациентов высокого риска, находящихся на диспансерном наблюдении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- 86020,8 тыс. рублей (99,6%), из них за счет средств, поступивших из федерального бюджета, – 85160,7 тыс. рублей (99,6%);</w:t>
      </w:r>
    </w:p>
    <w:p w:rsidR="00DE2F60" w:rsidRPr="00C75284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организацию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сети центров амбулаторной онкологической помощи - 871,7 тыс. рублей (5,5%)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</w:t>
      </w:r>
      <w:r w:rsidR="00624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повторное проведение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закупочной процедуры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51D8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переоснащение медицинских организаций, оказывающих медицинскую помощь больным с онкологическими заболеваниями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51D80" w:rsidRP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D8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средств, поступивших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135242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здоровья матери и ребенка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- 123855,4 тыс. рублей (98,7%), из них за счет средств, поступивших из федерального бюджета, – 122616,8 тыс. рублей (98,7%),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</w:r>
      <w:r w:rsidR="00F9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- 123855,4 тыс. рублей (98,7%), из них за счет средств, поступивших из федерального бюджета,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122616,8 тыс. рублей (98,7%)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576B" w:rsidRDefault="0036576B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77C06" w:rsidRDefault="00877C06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C75284" w:rsidRDefault="00DE2F60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Медицинская помощь в дневных стационарах всех типов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75284" w:rsidRPr="00C75284" w:rsidRDefault="00C75284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19771,8 тыс. рублей, или 100% к годовым плановым назначениям, в том числе: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- 19771,8 тыс. рублей (100%),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больным туберкулезом</w:t>
      </w:r>
      <w:r w:rsidR="0086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- 6425,6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наркологическим больным</w:t>
      </w:r>
      <w:r w:rsidR="0086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- 5179,9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медицинскую помощь больным с психическими расстройствами и расстройствами поведения</w:t>
      </w:r>
      <w:r w:rsidR="0086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- 7616,3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больниц, клиник, госпиталей, медико-санитарных частей, оказывающих специализированную медицинскую помощь по прочим заболеваниям</w:t>
      </w:r>
      <w:r w:rsidR="0086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550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Default="00DE2F60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Скорая медицинская помощь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75284" w:rsidRPr="00C75284" w:rsidRDefault="00C75284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653921,1 тыс. рублей, или 99,6% к годовым плановым назначениям (656808,6 тыс. рублей), из них за счет средств, поступивших из федерального бюджета, – 454987,8 тыс. рублей (99,4%), в том числе: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- 653921,1 тыс. рублей (99,6%), из них за счет средств, поступивших из федерального бюджета, – 454987,8 тыс. рублей (99,4%),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C75284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вызванной 2019-nCoV, в Чувашской Республике - 142728,9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E2F60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инфекцией, за счет средств резервного фонда Правительства Российской Федерац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- 99289,5 тыс. рублей (100%)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за счет средств резервного фонда Правительства Российской Федерации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228588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(98,8%);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- 37181,9 тыс. рублей (100%)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мероприятий по борьбе с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 (COVID-19)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- 21304,8 тыс. рублей (100%);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контактирующим с пациентами с установленным диагнозом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- 43873,6 тыс. рублей (100%)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земельного участка с кадастровым номером 21:01:020701:447 и теплой стоянки на 22 автомашины по адресу: г. Чебоксары, ул. Федора Гладкова, д. 2а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13942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санитарно-авиационной эвакуации населения Чувашской Республики для своевременного оказания скорой медицинской помощи 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1600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медицинских организаций государственной системы здравоохранения Чувашской Республики, оказывающих скорую, в том числе скорую специализированную, медицинскую помощь, медицинскую эвакуацию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- 40412,4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закупки авиационных работ в целях оказания медицинской помощи 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25000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24750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2F60" w:rsidRPr="00C75284" w:rsidRDefault="00DE2F60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Санаторно-оздоровительная помощь</w:t>
      </w:r>
      <w:r w:rsidR="003B2925" w:rsidRPr="00C75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75284" w:rsidRPr="00C75284" w:rsidRDefault="00C75284" w:rsidP="00C7528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136641,6 тыс. рублей, или 98,7% к годовым плановым назначениям (138390,9 тыс. рублей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- 136641,6 тыс. рублей (98,7%), в том числе: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вызванной 2019-nCoV, в Чувашской Республике - 21948,7 тыс. рублей (100%);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медицинской реабилитации и санаторно-курортного лечения, в том числе детей</w:t>
      </w:r>
      <w:r w:rsidR="003B2925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- 114692,9 тыс. рублей (98,5%), в том числе </w:t>
      </w:r>
      <w:proofErr w:type="gramStart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C75284" w:rsidRDefault="00C75284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</w:t>
      </w:r>
      <w:r w:rsidR="003B2925"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еализацию</w:t>
      </w:r>
      <w:r w:rsidR="00DE2F60"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- 452,2 тыс. рублей (82%)</w:t>
      </w:r>
      <w:r w:rsidR="004309AE"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Причинами неполного освоения является экономия, образовавшаяся по результатам конкурсных процедур</w:t>
      </w:r>
      <w:r w:rsidR="00DE2F60" w:rsidRPr="00430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C75284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санаториев для больных туберкулезом - 47193,9 тыс. рублей (96,6%)</w:t>
      </w:r>
      <w:r w:rsid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26111" w:rsidRPr="00726111">
        <w:t xml:space="preserve"> </w:t>
      </w:r>
      <w:r w:rsidR="00726111" w:rsidRPr="0072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Причинами неполного освоения является экономия, образовавшаяся по результатам конкурсных процедур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санаториев для детей и подростков, оказывающих специализированную медицинскую помощь по прочим заболеваниям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- 67046,</w:t>
      </w:r>
      <w:r w:rsidR="00C75284" w:rsidRPr="00C75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тыс. рублей (100%).</w:t>
      </w:r>
    </w:p>
    <w:p w:rsidR="0036576B" w:rsidRDefault="0036576B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C51A7" w:rsidRDefault="00DE2F60" w:rsidP="005C51A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Заготовка, переработка, хранение и обеспечение безопасности донорской крови и ее компонентов</w:t>
      </w:r>
      <w:r w:rsidR="003B2925"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75284" w:rsidRPr="005C51A7" w:rsidRDefault="00C75284" w:rsidP="005C51A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центров, станций и отделений переливания крови 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72507,8 тыс. руб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(100%).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F60" w:rsidRPr="005C51A7" w:rsidRDefault="00DE2F60" w:rsidP="005C51A7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 w:rsidR="003B2925"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здравоохранения</w:t>
      </w:r>
      <w:r w:rsidR="003B2925" w:rsidRPr="005C5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C51A7" w:rsidRPr="005E784E" w:rsidRDefault="005C51A7" w:rsidP="00C5463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1702906,7 тыс. рублей, или 94,8% к годовым плановым назначениям (1795994,4 тыс. рублей), из них за счет средств, поступивших из федерального бюджета, – 1214703,5 тыс. рублей (94,5%), в том числе: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незаконного потребления наркотических средств и психотропных веществ, наркомании в Чувашской Республике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общественного порядка и противодействие преступности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- 1142,7 тыс. рублей (78,1%), в том числе 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декадника, посвященного Международному дню борьбы с наркоманией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220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1A7" w:rsidRDefault="00FD59E7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4E9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r w:rsidR="00DE2F60"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химико-токсикологической лаборатории БУ</w:t>
      </w:r>
      <w:r w:rsidR="00DC05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Республиканский наркологический диспансер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Минздрава Чувашии - 922,7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- 1700530,2 тыс. рублей (94,9%), из них за счет средств, поступивших из федерального бюджета, – 1214703,5 тыс. рублей (94,5%), в том числе: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- 145675,5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(90%), из них за счет средств, поступивших из федерального бюджета, – 24201,2 тыс. рублей (100%), в том числе 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иммунизаци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 - 24282,4 тыс. рублей (98,7%)</w:t>
      </w:r>
      <w:r w:rsidR="0042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вызванной 2019-nCoV, в Чувашской Республике - 20386,6 тыс. рублей (100%);</w:t>
      </w:r>
    </w:p>
    <w:p w:rsidR="00DE2F60" w:rsidRPr="005C51A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профилактике гриппа и острых респираторных вирусных инфекций - 4979,9 тыс. рублей (34,3%)</w:t>
      </w:r>
      <w:r w:rsidR="0042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2360D" w:rsidRPr="0042360D">
        <w:t xml:space="preserve"> </w:t>
      </w:r>
      <w:r w:rsidR="0042360D" w:rsidRPr="0042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по результатам конкурсных процедур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учебно-методических кабинетов, централизованных бухгалтерий, логопедических пунктов, обеспечивающих развитие системы медицинской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профилактики инфекционных заболеваний и формирование здорового образа жизни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- 2166,6 тыс. рублей (100%);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инфекцией, за счет средств резервного фонда Правительства Российской Федерации 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4620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- 304,5 тыс. рублей (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100%);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мероприятий по борьбе с новой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 (COVID-19)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Федерации - 2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478,3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Федерации, в рамках реализации мероприятий по предупреждению и борьбе с социально значимыми инфекционными заболеваниями - 4721,2 тыс. рублей (100%), из них за счет средств, поступивших из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бюджета, – 4674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медицинских организаций государственной системы здравоохранения Чувашской Республики, оказывающих медицинскую помощь лицам, инфицированным вирусом иммунодефицита человека, гепатитами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- 36472,6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реализации мероприятий по профилактике ВИЧ-инфекции и гепатитов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С, в том числе с привлечением к реализации указанных мероприятий социально ориентированных некоммерческих организаций, в рамках реализации мероприятий по предупреждению и борьбе с социально значимыми инфекционными заболеваниями - 3386,8 тыс. рублей (100%), из них за счет средств, поступивших из федерального бюджета, – 3352,9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туберкулезом, в рамках реализации мероприятий по предупреждению и борьбе с социально значимыми инфекционными заболеваниями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8676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из них за счет средств, поступивших из федерального бюджета, – 8589,2 тыс. рублей (100%);</w:t>
      </w:r>
    </w:p>
    <w:p w:rsidR="00DE2F60" w:rsidRPr="005C51A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- 3925,4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специализированной, в том числе высокотехнологичной, медицинской помощи населению Чувашской Республики - 2004,3 тыс. рублей (88,1%)</w:t>
      </w:r>
      <w:r w:rsidR="000071D5" w:rsidRPr="0000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Причинами неполного освоения является экономия, образовавшаяся </w:t>
      </w:r>
      <w:r w:rsidR="009C0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сложившегося количества </w:t>
      </w:r>
      <w:r w:rsidR="000071D5" w:rsidRPr="0000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 на оказание дорогостоящей (высокотехнологичной) медицинской помощи за счет средств республиканского бюджета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гемотрансфузионной помощи населению - 2848,7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строительство здания отделения судебно-медицинской экспертизы в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Вурнары - 23683,1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информационно-коммуникационной кампании, направленной на освещение мероприятий в рамках региональных проектов</w:t>
      </w:r>
      <w:r w:rsidR="00966FE8" w:rsidRP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- 556,8 тыс. рублей (44,1%)</w:t>
      </w:r>
      <w:r w:rsidR="0042360D" w:rsidRP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Причинами неполного освоения является экономия, образовавшаяся по результатам конкурсных процедур</w:t>
      </w:r>
      <w:r w:rsidRPr="00E6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F620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поступивших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- 182,3 тыс. рублей (99,6%);</w:t>
      </w:r>
      <w:proofErr w:type="gramEnd"/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внедрение инновационных методов диагностики, профилактики и лечения, а также основ персонализированной медицины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6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информационно-коммуникационной кампании, направленной на профилактику онкологических заболеваний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</w:t>
      </w:r>
      <w:r w:rsidR="00DF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здоровья матери и ребенка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- 81330,3 тыс. рублей (100%), в том числе 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1A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46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Чувашской Республики для детей-сирот и детей, оставшихся без попечения родителей, оказывающих специализированную медицинскую помощь</w:t>
      </w:r>
      <w:r w:rsidR="00A43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- 81284,3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медицинской реабилитации и санаторно-курортного лечения, в том числе детей</w:t>
      </w:r>
      <w:r w:rsidR="003B2925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1A7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юридическим лицам, осуществляющим санаторно-курортное лечение в Чувашской Республике, не являющимся государственными (муниципальными) учреждениями, на частичное возмещение расходов на проживание и питание при проведении медицинской реабилитации пациентов, перенесших новую </w:t>
      </w:r>
      <w:proofErr w:type="spellStart"/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инфекцию (COVID-19), и лиц с хроническими заболеваниями системы кровообращения, эндокринной системы и органов дыхания, фактически проживающих</w:t>
      </w:r>
      <w:proofErr w:type="gramEnd"/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Чувашской Республике</w:t>
      </w:r>
      <w:r w:rsidR="00A43198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- 707,9 тыс. рублей (36,5%)</w:t>
      </w:r>
      <w:r w:rsidR="004B3291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B3291" w:rsidRPr="004B3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в связи с отсутствием обращений на оказание медицинской реабилитации пациентов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кадровых ресурсов в здравоохранении</w:t>
      </w:r>
      <w:r w:rsidR="003B2925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1A7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A43198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- 59036,2 тыс. рублей (45,4%), из них за счет средств, поступивших из федерального бюджета, – 58445,8 тыс. рублей (45,4%)</w:t>
      </w:r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Причинами неполного освоения является отсутствие достаточного количества медицинских работников, желающих участвовать в программах «Земский доктор», «Земский фельдшер»</w:t>
      </w: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лекарственного обеспечения, в том числе в амбулаторных условиях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финансовое обеспечение расходов</w:t>
      </w:r>
      <w:r w:rsidR="00A43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A43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обеспечением лиц лекарственными препаратами, предназначенными для лечения больных гемофилией,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муковисцидозом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гемолитико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мукополисахаридозом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I, II и VI типов, 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апластической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анемией неуточненной, наследственным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дефицитом факторов II (фибриногена), VII (лабильного), X (Стюарта-</w:t>
      </w:r>
      <w:proofErr w:type="spell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Прауэра</w:t>
      </w:r>
      <w:proofErr w:type="spell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а также после трансплантации органов и (или) тканей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поступивших из федерального бюджета, – 2555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технологии и управление развитием отрасли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- 597726,3 тыс. рублей (99,9%), из них за счет средств, поступивших из федерального бюджета, – 564501,1 тыс. рублей (100%), в том числе 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медицинского информационно-аналитического центра, осуществляющего создание аппаратно-программных решений Единой государственной регистрационной системы в сфере здравоохранения для оказания медицинских услуг медицинским работником на основе современных информационно-телекоммуникационных технологий</w:t>
      </w:r>
      <w:r w:rsidR="00A43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- 26691,1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323-ФЗ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Российской Федерации в сфере охраны здоровья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</w:t>
      </w:r>
      <w:r w:rsidR="00F16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="00A43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6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- 1140,1 тыс. рублей (100%);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независимой оценки качества условий оказания услуг - 592,5 тыс. рублей (79,8%)</w:t>
      </w:r>
      <w:r w:rsidR="0042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2360D" w:rsidRPr="0042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по результатам конкурсных процедур</w:t>
      </w:r>
      <w:r w:rsidR="0042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осуществление функций государственных органов в целях осуществления полномочий Российской Федерации в сфере охраны здоровья граждан - 251,1 тыс. рублей (100%);</w:t>
      </w:r>
    </w:p>
    <w:p w:rsidR="00DE2F60" w:rsidRPr="005C51A7" w:rsidRDefault="003B2925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регионального проекта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Цифровой контур здравоохранения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- 569051,5 тыс. рублей (100%), из них за счет средств, поступивших из федерального бюджета, – 563361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E2F60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A43198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обязательного медицинского страхования граждан Российской Федерации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дополнительного финансового обеспечения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резервного фонда Правительства Российской Федерации</w:t>
      </w:r>
      <w:r w:rsidR="00A43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- 565000,4 тыс. рублей (100%);</w:t>
      </w:r>
      <w:proofErr w:type="gramEnd"/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- 248398,6 тыс. рублей (99,2%), в том числе 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- 29171,4 тыс. рублей (99%);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медицинских организаций государственной системы здравоохранения Чувашской Республики, обеспечивающих предоставление услуг в сфере здравоохранения</w:t>
      </w:r>
      <w:r w:rsidR="007D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- 219227,2 тыс. рублей (99,2%);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- 712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(90,6%), в том числе </w:t>
      </w: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хранения, комплектования, учета и использования документов Архивного фонда Чувашской Республики 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600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(89%)</w:t>
      </w:r>
      <w:r w:rsid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61F35" w:rsidRP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по результатам конкурсных процедур</w:t>
      </w:r>
      <w:r w:rsid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7D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112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  <w:proofErr w:type="gramEnd"/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кадровой политики и развитие кадрового потенциала государственной гражданской службы Чувашской Республики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7D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- 41,7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(60,5%)</w:t>
      </w:r>
      <w:r w:rsid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61F35" w:rsidRP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2F60" w:rsidRPr="005C51A7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 w:rsidR="003B2925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</w:t>
      </w:r>
      <w:r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- 480,1 тыс. рублей (23,2%)</w:t>
      </w:r>
      <w:r w:rsid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61F35" w:rsidRPr="0056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неисполнение обязательств поставщиками</w:t>
      </w:r>
      <w:r w:rsidR="005C51A7" w:rsidRPr="005C5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2F60" w:rsidRPr="005E784E" w:rsidRDefault="00DE2F60" w:rsidP="00C5463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5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«Социальная политика»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политика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18922163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98,3% к годовым плановым назначениям (19258176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рублей), из них за счет средств, поступивших из федерального бюджета, – 8005730,4 тыс. рублей, или 98,2% к годовым плановым назначениям.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7C06" w:rsidRDefault="00877C06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Пенсионное обеспечение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63475,4 тыс. рублей, или 99,1% к годовым плановым назначениям (64042,3 тыс. рублей), из них за счет средств, поступивших из федерального бюджета, – 30448,4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рублей (98,2%),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выплаты пенсии за выслугу лет государственным гражданским служащим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33027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выплаты безработным гражданам в соответствии с Законом Российской Федерации от 19 апреля 1991 года № 1032-I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занятости населения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</w:t>
      </w:r>
      <w:r w:rsidR="007D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D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- 30448,4 тыс. рублей (98,2%)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325117" w:rsidRDefault="00325117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D51E5C" w:rsidRPr="00D51E5C" w:rsidRDefault="00D51E5C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D76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«Социальное обслуживание населения»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1426326,9 тыс. рублей, или 99,4% к годовым плановым назначениям (1434378,2 тыс. рублей), из них за счет средств, поступивших из федерального бюджета, – 242421,6 тыс. рублей (99,9%),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- 1424740,3 тыс. рублей (99,4%), из них за счет средств, поступивших из федерального бюджета, – 242421,6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рублей (99,9%),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- 917667,1 тыс. рублей (99,9%), из них за счет средств, поступивших из федерального бюджета, – 122677,4 тыс. рублей (99,9%),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вызванной 2019-nCoV, в Чувашской Республике - 265,8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- 68,1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дополнительную 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работникам стационарных организаций социального обслуживания и стационарных отделений организаций социального обслуживания, подведомственных Министерству труда и социальной защиты Чувашской Республики, в связи с введением режима изоляции для получателей социальных услуг и работников указанных организаций (отделений) в целях предотвращения угрозы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51210,5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государственных организаций Чувашской Республики социального обслуживания граждан пожилого возраста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инвалидов - 329696 тыс. рублей (100%);</w:t>
      </w:r>
    </w:p>
    <w:p w:rsidR="004019BD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Чувашской Республики социального обслуживания бездомных граждан - 7730,7 тыс. рублей (91,1%)</w:t>
      </w:r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</w:t>
      </w:r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экономия от конкурсных процедур,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экономия средств </w:t>
      </w:r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коммунальных услуг, больничных листов и начислений по оплате труда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организаций Чувашской Республики социального обслуживания - 396290,3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инфекцией, за счет средств резервного фонда Правительства Российской Федерации 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140200,0 тыс. рублей (100%);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целях компенсации ранее произведенных субъектами Российской Федерации расходов на указанные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цели, за счет средств резервного фонда Правительства Российской Федерации 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6204,1 тыс. рублей (98,7%);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компенсации поставщикам социальных услуг, которые включены в реестр поставщиков социальных услуг Чувашской Республики, но не участвуют в выполнении го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сударственного задания (заказа),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- 13881,9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Старшее поколение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</w:t>
      </w:r>
      <w:r w:rsidR="00045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здания БУ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Социально-оздоровительный центр граждан пожилого возраста и инвалидов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Минтруда Чувашии в поселке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Киря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Алатырского района - 96987,3 тыс. рублей (100%), из них за счет средств, поступивших из федерального бюджета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– 96017,5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социальной поддержки семьи 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- 282454,2 тыс. рублей (99,6%), из них за счет средств, поступивших из федерального бюджета, – 23726,7 тыс. рублей (99,5%),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- 554,1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государственных организаций Чувашской Республики социального обслуживания детей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- 170979,5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государственных организаций Чувашской Республики социального обслуживания семьи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- 83040,3 тыс. рублей (99%);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обеспечения реализации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- 127631,7 тыс.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ублей (95,6%), в том числе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- 1889,6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центра предоставления мер социальной поддержки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- 125742,1 тыс. рублей (95,6%);</w:t>
      </w:r>
    </w:p>
    <w:p w:rsidR="005F6514" w:rsidRPr="005C66A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Массовые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F16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обеспечение мероприятий, создание и (или) размещение информационных материалов и социальных роликов в федеральных и региональных электронных средствах массовой информа</w:t>
      </w:r>
      <w:r w:rsidR="005C6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- 1586,6 тыс. рублей (100%)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7C06" w:rsidRDefault="00877C06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1A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«Социальное обеспечение населения»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12230074,9 тыс. рублей, или 98,6% к годовым плановым назначениям (12398227,6 тыс. рублей), из них за счет средств, поступивших из федерального бюджета, – 3392546,5 тыс. рублей (97,2%),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строительства жилья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граждан в Чувашской Республике доступным и комфортным жильем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- 166787,1 тыс. рублей (98,1%), из них за счет средств, поступивших из федерального бюджета, – 98644,5 тыс. рублей (99,5%),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части затрат на уплату процентов по ипотечным кредитам, привлеченным молодыми семьями на приобретение или строительство жилья в 2002–2006, 2008–2009 годах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- 3845,7 тыс. рублей (96,1%);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части затрат на уплату процентов по ипотечным кредитам (займам), привлеченным отдельными категориями граждан на приобретение или строительство жилья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- 64215,2 тыс. рублей (96,3%);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выплаты на возмещение процентных ставок по ипотечным кредитам, привлеченным руководителями крупных и средних сельскохозяйственных организаций на строительство жилья</w:t>
      </w:r>
      <w:r w:rsidR="00151D80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- 81,7 тыс. рублей (62,8%)</w:t>
      </w:r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изкое освоение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</w:t>
      </w:r>
      <w:proofErr w:type="gramStart"/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отсутствием потребности в средств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C66A4" w:rsidRPr="005C66A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полномочий Российской Федерации по обеспечению жильем отдельных категорий граждан, установленных Федеральным законом от 12 января 1995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5-ФЗ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ветеранах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 Указом Президента Российской Федерации от 7 мая 2008 года № 714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обеспечении жильем ветеранов Великой Отечественной войны 1941 - 1945 годов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резервного фонда Правительства Российской Федерации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C6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- 19416,2 тыс. рублей (98,8%);</w:t>
      </w:r>
      <w:proofErr w:type="gramEnd"/>
    </w:p>
    <w:p w:rsidR="005C66A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полномочий Российской Федерации по обеспечению жильем отдельных категорий граждан, установленных Федеральным законом от 12 января 1995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5-ФЗ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ветеранах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C6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- 48791,5 тыс. рублей (99,8%);</w:t>
      </w:r>
    </w:p>
    <w:p w:rsidR="005C66A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полномочий Российской Федерации по обеспечению жильем отдельных категорий граждан, установленных Федеральным законом от 24 ноября 1995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 181-ФЗ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- 30436,8 тыс. рублей (99,6</w:t>
      </w:r>
      <w:r w:rsidR="005C6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обеспечения доступным и комфортным жильем сельского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51308,9 тыс. рублей (99,9%), из них за счет средств, поступивших из федерального бюджета, – 50223,5 тыс.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(100%), в том числе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E9405B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части затрат на уплату процентов по жилищным (ипотечным) кредитам (займам), 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</w:t>
      </w:r>
      <w:r w:rsidR="002021F5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- 578,1 тыс. рублей (89,9%)</w:t>
      </w:r>
      <w:r w:rsidR="00E9405B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E9405B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405B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средств связано с отсутствием заявлений определенных категорий граждан, проживающих и работающих в сельской местности на получение субсидий в соответствии с постановлением Кабинета Министров Чувашской Республики от 17 апреля 2020 г. № 178 «Об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привлеченным гражданами Российской Федерации на</w:t>
      </w:r>
      <w:proofErr w:type="gramEnd"/>
      <w:r w:rsidR="00E9405B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«Об утверждении Правил предоставления субсидий из федерального бюджета российским кредитным организациям и акционерному обществу «ДОМ</w:t>
      </w:r>
      <w:proofErr w:type="gramStart"/>
      <w:r w:rsidR="00E9405B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E9405B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</w:t>
      </w:r>
      <w:r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жилищных условий граждан, проживающих на сельских территориях</w:t>
      </w:r>
      <w:r w:rsidR="00151D80"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94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обеспечения комплексного развития сельских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территорий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50730,8 тыс. рублей (100%), из них за счет средств, поступивших из федерального бюджета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– 50223,5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- 5967212,2 тыс. рублей (99,1%), из них за счет средств, поступивших из федерального бюджета, – 308638,1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(98%),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лекарственного обеспечения, в том числе в амбулаторных условиях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- 769821,7 тыс. рублей (93,7%), из них за счет средств, поступивших из федерального бюджета, – 308638,1 тыс. рублей (98%),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0C7FA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 - 446959,1 тыс. рублей (90,9%)</w:t>
      </w:r>
      <w:r w:rsidR="004019BD" w:rsidRPr="00401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</w:t>
      </w:r>
      <w:r w:rsidR="004019BD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является экономия, образовавшаяся по результатам проведения конкурсных процедур</w:t>
      </w:r>
      <w:r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отдельных полномочий в области лекарственного обеспечения</w:t>
      </w:r>
      <w:r w:rsidR="00151D80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иных межбюджетных трансфертов, предоставляемых из федерального бюджета</w:t>
      </w:r>
      <w:r w:rsidR="002021F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- 78488,6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021F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- 215056,8 тыс. рублей (97,2%);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паллиативной медицинской помощи - 15245,2 тыс. рублей (99,7%), из них за счет средств, поступивших из федерального бюджета, – 15092,7 тыс. рублей (99,7%);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лекарственными препаратами больных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жизнеугрожающими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орфанными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заболевания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– 14072,0 тыс. рублей (99,7%);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обязательного медицинского страхования граждан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межбюджетные трансферты бюджету Федерального </w:t>
      </w:r>
      <w:r w:rsidRPr="009C0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фонда обязательного медицинского страхования на обеспечение обязательного медицинского страхования неработающего населения - 5197390,5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- 4418989,2 тыс. рублей (97,5%), из них за счет средств, поступивших из федерального бюджета, – 1318734,1 тыс. рублей (93,6%),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- 3357041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(99%), из них за счет средств, поступивших из федерального бюджета, – 876674,8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(98,5%),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компенсации расходов при превышении фактического увеличения размера платы за коммунальные услуги, вносимой гражданами, потребляющими коммунальные услуги при использовании жилого помещения и (или) жилого дома, над размерами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 - 47,5 тыс. рублей (99,8%);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социального пособия на погребение и возмещение расходов по гарантированному перечню услуг по погребению - 13225,4 тыс. рублей (99,1%);</w:t>
      </w:r>
    </w:p>
    <w:p w:rsidR="002B38D9" w:rsidRPr="002B38D9" w:rsidRDefault="005F6514" w:rsidP="002B38D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поддержку лиц, удостоенных почетного звания «Почетный гражданин Чувашской Республики»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- 90,3 тыс. рублей (26,2%)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уменьшением количества получателей</w:t>
      </w:r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 социальной поддержки;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мер социальной поддержки отдельных категорий граждан по оплате жилищно-коммунальных услуг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201444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(97,8%);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гражданам субсидий на оплату жилищно-коммунальных услуг - 289605,4 тыс. рублей (98,7%);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мер социальной поддержки ветеранов труда - 1881597,1 тыс. рублей (99,5%);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мер социальной поддержки тружеников тыла - 14157,4 тыс. рублей (98,1%);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- 25984,5 тыс. рублей (99,6%);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выплаты инвалидам боевых действий - 1048,4 тыс. рублей (99,6%);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материальной помощи гражданам, находящимся в трудной жизненной ситуации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- 367,5 тыс. рублей (62,4%)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уменьшение количества обращений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денежную компенсацию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стоимости проезда к месту проведения программного гемодиализа и обратно - 13876,3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компенсацию расходов на уплату взноса на капитальный ремонт общего имущества в многоквартирном доме отдельным категориям граждан - 6124,6 тыс. рублей (89,8%)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уменьшением количества получателей мер социальной поддержки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единовременную 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ветеранам, проживающим на территории Чувашской Республики, в связи с 75-й годовщиной Победы в Великой Отечественной войне 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1941-1945 годов - 12399,4 тыс. рублей (99,8%);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денежную компенсацию части затрат на проезд отдельным категориям граждан в Чувашской Республике - 12640,5 тыс. рублей (89,7%)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B38D9" w:rsidRPr="002B38D9">
        <w:t xml:space="preserve"> 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уменьшением количества получателей мер социальной поддержки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Героям Российской Федерации - 361,2 тыс. рублей (99%);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- 26017,5 тыс. рублей (99,3%);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социальную поддержку Героев Социалистического Труда, Героев Труда Российской Федерации и полных кавалеров ордена Трудовой Славы - 575,7 тыс. рублей 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(58,4%)</w:t>
      </w:r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</w:t>
      </w:r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лное освоение сре</w:t>
      </w:r>
      <w:proofErr w:type="gramStart"/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 в результате проведенных конкурсных процедур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Почетный донор 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- 64712,2 тыс. рублей (97,7%);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жилищно-коммунальных услуг отдельным категориям граждан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- 405095,6 тыс. рублей (97,5%);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Героев Советского Союза, Героев Российской Федерации и полных кавалеров ордена Славы - 54,6 тыс. рублей (100%);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</w:r>
      <w:r w:rsidR="00151D80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</w:t>
      </w:r>
      <w:r w:rsidR="00151D80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020,2 тыс. рублей (80,2%)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Неполное освоение сре</w:t>
      </w:r>
      <w:proofErr w:type="gramStart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</w:t>
      </w:r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уменьшением количества получателей мер социальной поддержки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</w:r>
      <w:proofErr w:type="gramStart"/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</w:r>
      <w:r w:rsidR="00151D80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жета</w:t>
      </w:r>
      <w:r w:rsidR="00151D80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- 608,2 тыс. рублей (85%)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умен</w:t>
      </w:r>
      <w:r w:rsid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ьшением количества получателей 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 социальной поддержки</w:t>
      </w:r>
      <w:r w:rsidR="002021F5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государственной социальной помощи на основании социального контракта отдельным категориям граждан - 375834,3 тыс. рублей (99,9%), из них за счет средств, поступивших из федерального бюджета, – 372075,9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отдельным категориям граждан оплаты взноса на капитальный ремонт общего имущества в многоквартирном доме - 6207,3 тыс. рублей (100%), из них за счет средств, поступивших из федерального бюджета, – 6145,2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 - 153,7 тыс. рублей (69,5%)</w:t>
      </w:r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2B38D9"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 в результате проведенных конкурсных процедур</w:t>
      </w:r>
      <w:r w:rsidRPr="002B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общественно значимых мероприятий и мероприятий, связанных с памятными датами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- 1108,2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мер социальной поддержки отдельных категорий граждан по оплате жилищно-коммунальных 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луг 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1684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(96,8%);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социальной поддержки семьи 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- 1061948,2 тыс. рублей (93,2%), из них за счет средств, поступивших из федерального бюджета, – 442059,3 тыс. рублей (85,1%),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ежемесячного пособия на ребенка - 492207,5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ежемесячное пособие лицам из числа детей-сирот и детей, оставшихся без попечения родителей, в возрасте старше 18 лет,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- 2672,8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ежемесячную денежную компенсацию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продовольственные товары детям инвалидов, граждан, умерших вследствие чернобыльской катастрофы, в возрасте от 14 до 18 лет - 13,1 тыс. рублей (100%);</w:t>
      </w:r>
    </w:p>
    <w:p w:rsidR="002021F5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</w:r>
      <w:r w:rsidR="00151D80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</w:t>
      </w:r>
      <w:r w:rsidR="002021F5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21F5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- 442059,3 тыс. рублей (85,1%)</w:t>
      </w:r>
      <w:r w:rsid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Неполное освоение сре</w:t>
      </w:r>
      <w:proofErr w:type="gramStart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уменьшением количества получателей мер социальной поддержки</w:t>
      </w:r>
      <w:r w:rsidR="002021F5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новогодних праздников для детей, нуждающихся в социальной поддержке</w:t>
      </w:r>
      <w:r w:rsidR="00151D80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- 951,6 тыс. рублей (87,4%)</w:t>
      </w:r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 в результате проведенных конкурсных процедур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мероприятий по награждению орденом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любовь и верность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супружеских пар, состоящих в зарегистрированном браке 50 и более лет, воспитавших детей – достойных граждан Российской Федерации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- 160,9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поддержку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семей, имеющих детей, в виде республиканского материнского (семейного) капитал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– 123883,0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ежемесячные пожизненные государственные пособия за особые заслуги в развитии культуры 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уки – 1056,0 тыс. рублей (97,8%);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спорта высших достижений и системы подготовки спортивного резерва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ежемесячные пожизненные государственные пособия в области физической культуры и спорта для лиц, проживающих на территории Чувашской Республики, имеющих выдающиеся достижения и особые заслуги перед Российской Федерацией в области физической культуры и спор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- 577,5 тыс. рублей (97,2%);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выплаты безработным гражданам в соответствии с Законом Российской Федерации от 19 апреля 1991 года № 1032-I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занятости населения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бюджета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- 1616306,3 тыс. рублей (100%);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развития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- 7837,7 тыс. рублей (80,8%),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391CD2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 социальных пособий учащимся общеобразовательных организаций, студентам профессиональных образовательных организаций, образовательных организаций высшего образования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</w:r>
      <w:r w:rsidR="002021F5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- 885,4 тыс. рублей (35,6%)</w:t>
      </w:r>
      <w:r w:rsidR="00391CD2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391CD2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Неосвоение</w:t>
      </w:r>
      <w:proofErr w:type="spellEnd"/>
      <w:r w:rsidR="00391CD2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связано с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введением ограничений в целях предотвращения распространения </w:t>
      </w:r>
      <w:proofErr w:type="spellStart"/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</w:t>
      </w:r>
      <w:r w:rsidR="00391CD2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получатели 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391CD2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находились на дистанционном обучении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 социальных пособий учащимся общеобразовательных организаций, расположенных на территории Чувашской Республики,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</w:r>
      <w:r w:rsidR="002021F5"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- 1477,3 тыс. рублей (85,3%)</w:t>
      </w:r>
      <w:r w:rsidR="0039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C7FA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Неосвоение</w:t>
      </w:r>
      <w:proofErr w:type="spellEnd"/>
      <w:r w:rsidR="000C7FA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связано с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7FA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введением ограничений в целях предотвращения распространения </w:t>
      </w:r>
      <w:proofErr w:type="spellStart"/>
      <w:r w:rsidR="000C7FA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0C7FA5" w:rsidRP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(получатели средств находились на дистанционном обучении);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вып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единовременного денежного пособия гражданам, усыновившим (удочерившим) ребенка (детей) на территории Чувашской Республики</w:t>
      </w:r>
      <w:r w:rsidR="00151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5475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7A1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(100%).</w:t>
      </w: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5117" w:rsidRPr="00C54634" w:rsidRDefault="00325117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79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Подраздел «Охрана семьи и детства»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5141788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97% к годовым плановым назначениям (5300447,1 тыс. рублей), из них за счет средств, поступивших из федерального бюджета, – 4339629,8 тыс. рублей (99%),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граждан в Чувашской Республике доступным и комфортным жильем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- 514093,3 тыс. рублей (81,6%), из них за счет средств, поступивших из федерального бюджета, – 332726,4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рублей (89,2%),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строительства жилья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жильем молодых семей в рамках ведомственной целевой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Российской Федерации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- 246462,6 тыс. рублей (99,7%), из них за счет средств, поступивших из федерального бюджета, – 14676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государственной программы Чувашской Республики «Обеспечение граждан в Чувашской Республике доступным и комфортным жильем»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="007F689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267630,7 </w:t>
      </w:r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proofErr w:type="gramEnd"/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7F689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69,9</w:t>
      </w:r>
      <w:r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%), из них за счет средств, поступивших из федерального бюджета, – 185960,0 тыс. рублей (82,4%)</w:t>
      </w:r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Основной причиной низкого освоения является несвоевременное проведение мероприятий по проведению аукционов и заключению контрактов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F71A6B" w:rsidRPr="00F7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экономия по результатам конкурсных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процедур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кадровых ресурсов в здравоохранении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здравоохранения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Чувашской Республики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- 2241,7 тыс. рубле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социальной поддержки семьи 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- 4522776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(99,2%), из них за счет средств, поступивших из федерального бюджета, – 3999645,1 тыс. рублей (99,9%),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выплаты приемной семье на содержание подопечных детей - 108734,7 тыс. рублей (99,6%);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выплаты опекунам (попечителям), патронатным воспитателям на содержание подопечных детей - 98857,1 тыс. рублей (99%);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выплаты вознаграждения опекунам (попечителям), приемным родителям </w:t>
      </w:r>
      <w:r w:rsidR="00F71A6B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62167</w:t>
      </w:r>
      <w:r w:rsidR="00F71A6B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(84,5%)</w:t>
      </w:r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уменьшением количества получателей мер социальной поддержки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единовременную 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семьям, имеющим трех и более детей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- 79356,5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ежемесячную 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детей в возрасте от 3 до 7 лет включительно - 2441709,7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(99,9%), из них за счет средств, поступивших из федерального бюджета, – 2417122,8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на безвозмездной основе питанием, одеждой, обувью и другими предметами вещевого довольствия несовершеннолетних - 7819,3 тыс. рублей (100%);</w:t>
      </w:r>
    </w:p>
    <w:p w:rsidR="005F6514" w:rsidRPr="001B04E9" w:rsidRDefault="005F6514" w:rsidP="005F651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04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средств, поступивших из федерального бюджета, – 13,8 тыс. рублей (37,7%)</w:t>
      </w:r>
      <w:r w:rsidR="004F2591" w:rsidRPr="001B04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F2591"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Неполное освоение сре</w:t>
      </w:r>
      <w:proofErr w:type="gramStart"/>
      <w:r w:rsidR="004F2591" w:rsidRPr="001B04E9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4F2591" w:rsidRPr="001B04E9">
        <w:rPr>
          <w:rFonts w:ascii="Times New Roman" w:eastAsia="Times New Roman" w:hAnsi="Times New Roman"/>
          <w:sz w:val="24"/>
          <w:szCs w:val="24"/>
          <w:lang w:eastAsia="ru-RU"/>
        </w:rPr>
        <w:t xml:space="preserve">язано </w:t>
      </w:r>
      <w:r w:rsidR="001B04E9" w:rsidRPr="001B04E9">
        <w:rPr>
          <w:rFonts w:ascii="Times New Roman" w:eastAsia="Times New Roman" w:hAnsi="Times New Roman"/>
          <w:sz w:val="24"/>
          <w:szCs w:val="24"/>
          <w:lang w:eastAsia="ru-RU"/>
        </w:rPr>
        <w:t>с уменьшением количества несовершеннолетних, самовольно ушедших из семей, подлежащих перевозки;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республиканского конкурса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- 253,6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единовременное денежное поощрение при награждении орденом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Родительская слава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(98,4%);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выплат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назначаем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рождения (усыновления) третьего ребенка или последующих детей до достижения ребенком возраста трех лет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- 828468,2 тыс. рублей (97,7%), из них за счет средств, поступивших из федерального бюджета, – 687142,4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выплат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рождением (усыновлением) первого ребенка за счет субвенции, предоставляемой из федерального бюджета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- 895366,1 тыс. рублей (99,8%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Чувашской Республик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- 4279,3 тыс. рублей (98,9%);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«Развитие спорта высших достижений и системы подготовки спортивного резерва» государственной программы Чувашской Республики «Развитие физической культуры и спорта» на</w:t>
      </w:r>
      <w:r w:rsidR="002021F5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Чувашской Республики</w:t>
      </w:r>
      <w:r w:rsidR="007F689B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- 95,6 тыс. рублей (56,6%)</w:t>
      </w:r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Причина неполного освоения указанных средств является сокращение получателей выплат социальных пособий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поддержка развития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- 98302,1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(94,6%), из них за счет средств, поступивших из федерального бюджета, – 7258,3 тыс. рублей (98,6%),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негосударственных образовательных организациях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- 839,2 тыс. рублей (95,4%);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Чувашской Республики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- 74738,9 тыс. рублей (95,5%);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 компенсации,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 w:rsidR="002021F5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- 15465,7 тыс. рублей (88,8%)</w:t>
      </w:r>
      <w:r w:rsidR="004F2591"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Причина неполного освоения указанных средств – численность фактически обратившихся за получением выплаты в течение года сложилась меньше запланированного</w:t>
      </w:r>
      <w:r w:rsidRPr="004F2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единовременного пособия при всех формах устройства детей, лишенных родительского попечения, в семью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субвенции, предоставляемой из федерального бюджет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02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- 7258,3 тыс. рублей (98,6%).</w:t>
      </w:r>
    </w:p>
    <w:p w:rsidR="002021F5" w:rsidRPr="00C54634" w:rsidRDefault="002021F5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55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Подраздел «Другие вопросы в области социальной политики»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60497,8 тыс. рублей, или 99% к годовым плановым назначениям (61080,8 тыс. рублей), из них за счет средств, поступивших из федерального бюджета, – 684,1 тыс. рублей (75,1%),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- 4691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(95,3%), из них за счет средств, поступивших из федерального бюджета, – 684,1 тыс. рублей (75,1%), в том числе:</w:t>
      </w:r>
    </w:p>
    <w:p w:rsidR="005F6514" w:rsidRPr="00C54634" w:rsidRDefault="005F6514" w:rsidP="00633ED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социально ориентированных некоммерческих организаций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субсидий (грантов) социально ориентированным некоммерческим организациям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«Оказание содействия добровольному переселению в Чувашскую Республику соотечественников, проживающих за рубежом» на</w:t>
      </w:r>
      <w:r w:rsidR="00633EDD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</w:r>
      <w:r w:rsidR="007F689B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691,0 тыс. рублей (75,1%), из них за счет средств, поступивших из федерального бюджета, – 684,1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(75,1%)</w:t>
      </w:r>
      <w:r w:rsidR="004F2591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F2591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Неполное освоение сре</w:t>
      </w:r>
      <w:proofErr w:type="gramStart"/>
      <w:r w:rsidR="004F2591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св</w:t>
      </w:r>
      <w:proofErr w:type="gramEnd"/>
      <w:r w:rsidR="004F2591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язи</w:t>
      </w:r>
      <w:r w:rsidR="00F25BDC"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отсутствием обращений</w:t>
      </w:r>
      <w:r w:rsidRPr="00F2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- 51227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(99,4%),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Безопасный труд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- 3079,6 тыс. рублей (94%),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087E16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и программное обеспечение мониторинга условий и охраны труда - 220,8 тыс. рублей (92%)</w:t>
      </w:r>
      <w:r w:rsidR="00087E16"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Причиной неполного освоения средств является экономия в результате проведенных конкурсных процедур</w:t>
      </w:r>
      <w:r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087E16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государственной политики в сфере охраны тру</w:t>
      </w:r>
      <w:r w:rsidR="00087E16"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- 1934,9 тыс. рублей (94,4%). Оплата расходов произведена по факт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ическим расходам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C7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представленных документов</w:t>
      </w:r>
      <w:r w:rsidR="00087E16"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республиканского конкурса профессионального мастерства «Лучший специалист по охране труда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Республики» - 181,8 тыс. рублей (87,8%)</w:t>
      </w:r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="004D4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оение сре</w:t>
      </w:r>
      <w:proofErr w:type="gramStart"/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уменьшение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F25BDC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количества участников в конкурсе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республиканского конкурса социальных проектов некоммерческих организаций в области охраны труда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труда руководителей, специалистов в органах государственной власти Чувашской Республики и подведомственных им учреждениях - 355,1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 информационно-аналитического вестника «Охрана труда в Чувашской Республике» - 42,9 тыс. рублей (61,3%)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Неполное освоение сре</w:t>
      </w:r>
      <w:proofErr w:type="gramStart"/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экономией в результате проведенных конкурсных процедур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 методических рекомендаций по вопросам охраны 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 - 120,1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занятости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- 48147,4 тыс. рублей (99,8%),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- 47825,5 тыс. рублей (99,8%);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 по обязательствам Чувашской Республики - 10,1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- 311,8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«Совершенствование кадровой политики и развитие кадрового потенциала государственной гражданской службы Чувашской Республики»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государственной программы Чувашской Республики «Развитие потенциала государственного управления» на</w:t>
      </w:r>
      <w:r w:rsidR="000872A7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</w:r>
      <w:r w:rsidR="007F689B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80,0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(60,1%)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- 82,6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Доступная среда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предоставление протезно-ортопедических услуг гражданам, не являющимся инвалидами, нуждающимся в протезно-ортопедических издел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иях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- 4417,2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(100%).</w:t>
      </w: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C62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«Физическая культура и спорт»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391003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 и спорт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1284400,7 тыс. рублей, или 89,1% к годовым плановым назначениям (1441839,6 тыс. рублей), из них за счет средств, поступивших из федерального бюджета, – 95114,9 тыс. рублей, или 86,7% к годовым плановым назначениям.</w:t>
      </w:r>
    </w:p>
    <w:p w:rsidR="005F6514" w:rsidRPr="00235EC7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Pr="002D2B3B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910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«Массовый спорт»</w:t>
      </w:r>
    </w:p>
    <w:p w:rsidR="005F6514" w:rsidRPr="002D2B3B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778423,5 тыс. рублей, или 84,8% к годовым плановым назначениям (917765,3 тыс. рублей), из них за счет средств, поступивших из федерального бюджета, – 83179,1 тыс. рублей (85,5%), в том числе:</w:t>
      </w:r>
    </w:p>
    <w:p w:rsidR="005F6514" w:rsidRPr="00235EC7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- 778423,5 тыс. рублей (84,8%), из них за счет средств, поступивших из федерального бюджета, – 83179,1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рублей (85,5%),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массового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- 753171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(84,4%), из них за счет средств, поступивших из федерального бюджета, – 58179,1 тыс. рублей (80,4%),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официальных физкультурных мероприятий - 218,2 тыс. рублей (74,5%)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указанных бюджетных обязатель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является отмена мероприятий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распростране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нием новой </w:t>
      </w:r>
      <w:proofErr w:type="spellStart"/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физической культуры и спор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- 273,8 тыс. рублей (85,6%)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</w:t>
      </w:r>
      <w:r w:rsidR="00546F31" w:rsidRPr="00546F31">
        <w:t xml:space="preserve">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отмена мероприятий в связи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семинаров-совещаний, курсов повышения квалификации и профессиональной переподготовки для специалистов, работающих в сфере физической культуры и спорта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- 905,4 тыс. рублей (99%);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информационно-коммуникационной кампании, направленной на освещение мероприятий в рамках региональных проектов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(19,7%)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отсутствие заключенных контрактов на указанные цели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онструкцию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футбольного поля БУ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 по футболу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Чувашии, стадион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Чебоксары, ул. Гладкова, Владение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лыжероллерной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трассы протяженностью 3969 метров с освещением и видеонаблюдением в Центре зимних видов спорта (при БУ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СШОР №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Чувашии)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5500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стадиона-площадки в с. Яльчики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Яльчикского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- 8016,1 тыс. рублей (27,8%)</w:t>
      </w:r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716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позднее заключение контракта. </w:t>
      </w:r>
      <w:r w:rsidR="00737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</w:t>
      </w:r>
      <w:r w:rsidR="00E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37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год</w:t>
      </w:r>
      <w:r w:rsidR="00E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37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предусмотрено направление неиспользованных в 2020 году бюджетных ассигнований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футбольного поля в с. Красноармейское Красноармейского района Чувашской Республики - 29759,6 тыс. рублей (100%);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футбольного поля в с. Красные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Четаи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Красночетайского района Чувашской Республики - 6774,5 тыс. рублей (23,9%)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7980" w:rsidRP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позднее заключение контракта.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первого уточнения республиканского бюджета Чувашской Республики предусмотрено выделение средств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футбольного поля в г.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Козловка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Козловского района Чувашской Республики 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28670</w:t>
      </w:r>
      <w:r w:rsidR="002A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(95,3%);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футбольного поля в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Урмары Урмарского района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- 23138,4 тыс. рублей (90,7%)</w:t>
      </w:r>
      <w:r w:rsid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позднее заключение контракта.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первого уточнения республиканского бюджета Чувашской Республики предусмотрено выделение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футбольного поля в Чебоксарском районе Чувашской Республики - 22611,6 тыс. рублей (76%)</w:t>
      </w:r>
      <w:r w:rsid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D44A0" w:rsidRPr="004D44A0">
        <w:t xml:space="preserve"> 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оплата работ по фактически представленным документам.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</w:t>
      </w:r>
      <w:r w:rsidR="00E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37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год</w:t>
      </w:r>
      <w:r w:rsidR="00E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37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предусмотрено </w:t>
      </w:r>
      <w:r w:rsidR="00737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неиспользованных в 2020 году бюджетных ассигнований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Стадион-площадка при муниципальном бюджетном общеобразовательном учреждении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 №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Россия, Чувашская Республика,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Ядринский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г. Ядрин. Физкультурно-оздоровительный комплекс открытого типа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- 9468,6 тыс. рублей (28,4%)</w:t>
      </w:r>
      <w:r w:rsid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оплата работ по фактически представленным документам, 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несоблюдение подрядчиком 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4D44A0" w:rsidRPr="004D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работ</w:t>
      </w:r>
      <w:r w:rsid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первого уточнения республиканского бюджета Чувашской Республики </w:t>
      </w:r>
      <w:r w:rsidR="00E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год</w:t>
      </w:r>
      <w:r w:rsidR="00E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6F31" w:rsidRPr="00546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предусмотрено </w:t>
      </w:r>
      <w:r w:rsidR="00877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неиспользованных в 2020 году бюджетных ассигнований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Стадион-площадка по пер. Школьный в с. Порецкое Порецкого района Чувашской Республики, 2 этап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- 13169,1 тыс. рублей (100%);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нструкцию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 Чувашской Республики ДОД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СДЮСШОР №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Чувашии - 131876,3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компрессорной станции под спортивно-оздоровительный комплекс по адресу: г. Новочебоксарск, ул. Ж.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Крутовой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вл. 1А - 56717,2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учреждений в сфере физической культуры и спорта - 211202,2 тыс. рублей (81,9%)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</w:t>
      </w:r>
      <w:proofErr w:type="gramStart"/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</w:t>
      </w:r>
      <w:proofErr w:type="gramEnd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язано с несвоевременным заключением контрактов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муниципальными образованиями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регионального центра по хоккею при БОУ ЧР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Чувашский кадетский корпус Приволжского федерального округа имени Героя Советского Союза А.В.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Кочетова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расположенного по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Эгерскому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бульвару г. Чебоксары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- 18257,1 тыс. рублей (100%);</w:t>
      </w:r>
    </w:p>
    <w:p w:rsidR="000872A7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футбольного манежа при БУ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 по футболу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4544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оснащение объектов спортивной инфраструктуры спортивно-технологическим оборудованием - 26547,2 тыс. рублей (67,5%), из них за счет средств, поступивших из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федерального бюджета,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26281,7 тыс. рублей (67,5%)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 по итогам проведенных конкурсных процедур;</w:t>
      </w:r>
      <w:proofErr w:type="gramEnd"/>
    </w:p>
    <w:p w:rsidR="005F6514" w:rsidRPr="00F87A9E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объекта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Плавательный бассейн в с. Аликово Аликовского района Чувашской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Республики» - 113465,0 тыс. рублей (100%), из них за счет средств, поступивших из федерального бюджета, – 24997,1 тыс. рублей (100%);</w:t>
      </w:r>
      <w:proofErr w:type="gramEnd"/>
    </w:p>
    <w:p w:rsidR="005F6514" w:rsidRPr="00F87A9E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реконструкцию футбольного поля при БУ «СШ по футболу» </w:t>
      </w:r>
      <w:proofErr w:type="spellStart"/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Чувашии - 32769,7 тыс. рублей (100%);</w:t>
      </w:r>
    </w:p>
    <w:p w:rsidR="005F6514" w:rsidRPr="00F87A9E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закупку комплектов искусственных покрытий для футбольных полей для спортивных школ – 6970,0 тыс. рублей (82%), из них за счет средств, поступивших из федерального бюджета, – 6900,3 тыс. рублей (82%)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87A9E" w:rsidRPr="00F87A9E">
        <w:t xml:space="preserve"> </w:t>
      </w:r>
      <w:proofErr w:type="gramStart"/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 w:rsidRP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экономия по итогам проведенных конкурсных процедур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«Развитие спорта высших достижений и системы подготовки спортивного резерва» на</w:t>
      </w:r>
      <w:r w:rsidR="00633EDD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спортивного оборудования и инвентаря для приведения организаций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спортивной подготовки в нормативное состояние - 25252,5 тыс. рублей (100%), из них за счет средств, поступивших из федерального бюджета, – 25000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(100%).</w:t>
      </w:r>
    </w:p>
    <w:p w:rsidR="009A43BF" w:rsidRDefault="009A43BF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910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Подраздел «Спорт высших достижений»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</w:t>
      </w:r>
      <w:r w:rsidR="000872A7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872A7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спорта высших достижений и системы подготовки спортивного резерва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872A7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872A7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 470366,6 тыс. рублей, или 96,5% к годовым плановым назначениям (487485,8 тыс. рублей), из них за счет средств, поступивших из федерального бюджета, – 11935,8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рублей (96,5%), в том числе</w:t>
      </w:r>
      <w:proofErr w:type="gramEnd"/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противоэпидемических (профилактических) мероприятий в целях недопущения завоза и распространения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- 1655,6 тыс. рублей (100%);</w:t>
      </w:r>
    </w:p>
    <w:p w:rsidR="005F2692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</w:t>
      </w:r>
      <w:r w:rsidR="00DE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21623,2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DE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3112E" w:rsidRPr="00C3112E">
        <w:t xml:space="preserve">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 w:rsidRP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отсутствие потребности в средствах;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республиканских спортивных школ олимпийского резерва, спортивных школ, училища олимпийского резерва, центра спортивной подготовки - 372973,8 тыс. рублей (98,9%);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спортивной подготовки спортсменов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12900,5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республиканских физкультурно-оздоровительных центров - 29218,1 тыс. рублей (1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 - 10103,3 тыс. рублей (93%)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сокращение выездов на соревнования в связи с распространением новой </w:t>
      </w:r>
      <w:proofErr w:type="spellStart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C3112E" w:rsidRP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спортсменов и тренеров Чувашской Республики - 9835,7 тыс. рублей (85,9%)</w:t>
      </w:r>
      <w:r w:rsidR="00C31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3112E" w:rsidRPr="00C3112E">
        <w:t xml:space="preserve"> </w:t>
      </w:r>
      <w:proofErr w:type="gramStart"/>
      <w:r w:rsidR="005F2692" w:rsidRP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средств является сокращение выездов на соревнования в связи с распространением новой </w:t>
      </w:r>
      <w:proofErr w:type="spellStart"/>
      <w:r w:rsidR="005F2692" w:rsidRP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5F2692" w:rsidRP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08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- 7796,3 тыс. рублей (100%), из них за счет средств, поступивших из федерального бюджета, – 7718,3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закупк</w:t>
      </w:r>
      <w:r w:rsidR="00DE1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спортивного оборудования для спортивных школ олимпийского резерва и училищ олимпийского резерва - 4260,1 тыс. рублей (90,8%), из них за счет средств, поступивших из федерального бюджет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– 4217,5 тыс. рублей (90,7%</w:t>
      </w:r>
      <w:r w:rsidR="00F04935">
        <w:t xml:space="preserve">). </w:t>
      </w:r>
      <w:r w:rsidR="00F04935" w:rsidRPr="00F0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F04935" w:rsidRPr="00F0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экономия по итогам проведенных конкурсных процедур.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физической культуры и спорта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35610,6 тыс. рублей, или 97,3% к годовым плановым назначениям (36588,5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- 596,9 тыс. рублей (99,5%),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хранения, комплектования, учета и использования документов Архивного фонда Чувашской Республики - 593,8 тыс. рублей (99,5%);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ласти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- 32472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рублей (97,2%), в том числе:</w:t>
      </w:r>
    </w:p>
    <w:p w:rsidR="005F6514" w:rsidRPr="00F87A9E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массового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официальных физкультурных мероприя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тий - 92,6 тыс. рублей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(52,3%);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«Развитие спорта высших достижений и системы подготовки спортивного резерва» государственной программы Чувашской Республики «Развитие физической культуры и спорта» на</w:t>
      </w:r>
      <w:r w:rsidR="001E3068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 - 2381,1 тыс. рублей (89,9%)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87A9E" w:rsidRPr="00F87A9E">
        <w:t xml:space="preserve"> 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сокращение выездов на соревнования в связи с распространением новой </w:t>
      </w:r>
      <w:proofErr w:type="spellStart"/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COVID-19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- 29998,3 тыс. рублей (98,2%),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 государственных органов - 17218,4 тыс. рублей (98,3%);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выплаты по обязательствам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реализацию мер поддержки государственных учреждений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 на территории Чувашской Республики - 2001,7 тыс. рублей (89,3%)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="005F2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отсутствие потребности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БУ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финансового обеспечения учреждений физической культуры и спорта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- 10758,2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«Совершенствование кадровой политики и развитие кадрового потенциала государственной гражданской службы Чувашской Республики» государственной программы Чувашской Республики «Развитие потенциала государственного управления» на</w:t>
      </w:r>
      <w:r w:rsidR="00633EDD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выплат по государственному социальному страхованию государственных гражданских служащих Чувашской</w:t>
      </w:r>
      <w:r w:rsidRPr="009A43B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в случаях, установленных законодательством Чувашской Республики</w:t>
      </w:r>
      <w:r w:rsidR="001E3068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- 12,6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(51,4%)</w:t>
      </w:r>
      <w:r w:rsidR="00F87A9E"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Причиной неполного освоения средств является экономия, сложившаяся по результатам </w:t>
      </w:r>
      <w:r w:rsidR="00211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процедур</w:t>
      </w:r>
      <w:r w:rsidRPr="00F87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- 2529,1 тыс. рублей (99,4%).</w:t>
      </w:r>
    </w:p>
    <w:p w:rsidR="001E3068" w:rsidRPr="00C54634" w:rsidRDefault="001E3068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Средства массовой информации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A43BF" w:rsidRDefault="009A43BF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массовой 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192828,7 тыс. рублей, или 99,9% к годовым плановым назначениям (193028,5 тыс. рублей)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Телевидение и радиовещание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94261,9 тыс. рублей, или 100% к годовым плановым назначениям (94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265,3 тыс. рублей),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правонарушений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создания и размещения в средствах массовой информации социальной рекламы, направленной на профилактику правонарушений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504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единства российской нации и этнокультурное развитие народов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республиканского конкурса социально значимых проектов средств массовой информ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– 3622,0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терроризма и экстремистской деятельности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республиканского конкурса среди журналистов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Чувашия против террора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- 30,0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Массовые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- 89605,9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государственных учреждений телерадиокомпаний и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телеорганизаций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- 85028,3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обеспечение мероприятий, создание и (или) размещение информационных материалов и социальных роликов в федеральных и региональных электронных средствах массовой информаци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- 4577,6 тыс. рублей (99,9%);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Доступная среда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субтитрирования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телевизионных программ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DC0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(100%).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Периодическая печать и издательства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91311,8 тыс. рублей, или 100% к годовым плановым назначениям (91327,2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правонарушений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плений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70,0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- 35689,2 тыс. рублей (100%),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издание альбома, посвященного празднованию 100-летия Чувашской автономной области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- 2239,6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единства российской нации и этнокультурное развитие народов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- 27212,3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печатных средств массовой информации 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8077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республиканского конкурса социально значимых проектов средств массовой информаци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- 19135,3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и развитие чтения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- 6237,3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 книг в соответствии с тематическим планом издания социально значимой литературы - 4546,9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денежное поощрение для авторов рукописей книг для детей и юношества на чувашском языке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 книжных серий, собраний сочинений, избранных произведений чувашских писателей, книг памяти Чувашской Республики, книг-альбомов произведений чувашских художников, словарей чувашского язы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- 1490,4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терроризма и экстремистской деятельности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и территорий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республиканского конкурса среди журналистов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Чувашия против террора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- 20,0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обеспечения реализации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(оказание услуг) государственных учрежден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- 2914,3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- 52618,3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рублей (100%), в том числе:</w:t>
      </w:r>
    </w:p>
    <w:p w:rsidR="005F6514" w:rsidRPr="00C54634" w:rsidRDefault="00EA0707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инфраструктура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5F6514"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</w:t>
      </w:r>
      <w:r w:rsidR="005F6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- 16,1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Массовые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- 52602,2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квалификации работников средств массовой информации, проведение обучающих семинаров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(99,7%);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государственных учреждений печати, обеспечивающих выпуск периодических изданий, учрежденных органами законодательной и исполнительной власт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- 50712,8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фестивалей, конкурсов, мастер-классов, конференций, семинаров, симпозиумов республиканского, регионального, всероссийского и международного уровней в сфере средств массовой 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(94,6%);</w:t>
      </w:r>
      <w:proofErr w:type="gramEnd"/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информационное обеспечение мероприятий в федеральных и региональных печатных средствах массовой информа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- 1419,4 тыс. рублей (100%).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Другие вопросы в области средств массовой информации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7255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97,6% к годовым плановым назначениям (7436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в Чувашской 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и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проведение фестивалей, торжественных вечеров, концертов и иных зрелищных меропри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ятий - 993,2 тыс. рублей (85%);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Массовые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Цифровое общество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633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мероприятий в информационно-телекоммуникационной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федеральных информационных агентствах и организаци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мониторинга средств массовой информации и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блогосфе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- 6261,8 тыс. рублей (99,9%).</w:t>
      </w:r>
    </w:p>
    <w:p w:rsidR="00F60B27" w:rsidRDefault="00F60B27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12830,5 тыс. рублей, или 100% 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годовым плановым назначениям.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Обслуживание государственного внутреннего и муниципального долга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бюджетной политики и обеспечение сбалансированности консолидированного бюджета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процентные платежи по государственному долгу Чувашской Республи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- 12830,5 тыс. рублей (100%).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республиканского бюджета Чувашской Республики по разделу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составили 2528957,3 тыс. рублей, или 99,6% к годовым плановым назначениям (2538621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Дотации на выравнивание бюджетной обеспеченности субъектов Российской Федерации и муниципальных образований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данному подразделу осуществлены расходы республиканского бюджета Чувашской Республики 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бюджетной политики и обеспечение сбалансированности консолидированного бюджета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дотации на выравнивание бюджетной обеспеченности муниципальных районов (городских округов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611283,4 тыс. рублей (100%).</w:t>
      </w: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Иные дотации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429419,9 тыс. рублей, или 100% к годовым плановым назначениям,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бюджетной политики и обеспечение сбалансированности консолидированного бюджета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- 429419,9</w:t>
      </w:r>
      <w:r w:rsidR="00651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на поддержку мер по обеспечению сбалансированности бюджетов муниципальных районов (городских округов)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</w:t>
      </w:r>
      <w:proofErr w:type="spell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- 389819,9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на поддержку мер по обеспечению сбалансированности бюджетов муниципальных районов (городских округов)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39600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</w:p>
    <w:p w:rsidR="005F6514" w:rsidRPr="00C54634" w:rsidRDefault="005F6514" w:rsidP="005F6514">
      <w:pPr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6514" w:rsidRDefault="005F6514" w:rsidP="005F6514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Прочие межбюджетные трансферты общего характера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подразделу осуществлены расходы республиканского бюджета Чувашской Республики в сумме 1488254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99,4%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годовым плановым назначениям (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1497917,7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и общественных территорий муниципальных образований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городской среды на территории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2018–2024 годы - 21277,6 тыс. рублей (95,2%),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развитию общественной инфраструктуры населенных пунктов в рамках празднования Дня Республики - 9802,2 тыс. рублей (98%);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развития общественной инфраструктуры, основанных на местных инициативах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- 11475,4 тыс. рублей (92,9%)</w:t>
      </w:r>
      <w:r w:rsidR="005076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60B66" w:rsidRPr="00260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Причиной неполного освоения является экономия, образовавшаяся по результатам конкурсных процедур</w:t>
      </w:r>
      <w:r w:rsidR="00291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91C1C" w:rsidRPr="00291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291C1C" w:rsidRPr="00291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незавершением</w:t>
      </w:r>
      <w:proofErr w:type="spellEnd"/>
      <w:r w:rsidR="00291C1C" w:rsidRPr="00291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 по 2 проектам</w:t>
      </w:r>
      <w:r w:rsidR="00260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развитие инфраструктуры на сельских территориях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развитие сельских территорий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- 261322,5 тыс. рублей (96,8%),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развития общественной инфраструктуры, основанных на местных инициативах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- 184474,4 тыс. рублей (97%);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- 62931,6 тыс. рублей (95,5%);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проектов, направленных на благоустройство и развитие территорий населенных пунктов Чувашской Республики, за счет средств резервного фонда Правительства Российской Федерации - 13916,5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Инвестиционный климат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Экономическое развитие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- 54999,9 тыс.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(100%), в том числе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городских округов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- 49999,9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бюджетной политики и обеспечение сбалансированности консолидированного бюджета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общественными финансами и государственным долгом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- 1147534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(100%), в том числе </w:t>
      </w:r>
      <w:proofErr w:type="gramStart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межбюджетные трансферты </w:t>
      </w:r>
      <w:r w:rsidR="001E3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</w:t>
      </w:r>
      <w:r w:rsidR="007F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надлежащего осуществления полномочий по решению вопросов местного значения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вопросов местного значения в сфере образования, физической культуры и спорта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650000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5F6514" w:rsidRPr="00C54634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447534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(100%);</w:t>
      </w:r>
    </w:p>
    <w:p w:rsidR="009846A6" w:rsidRDefault="005F6514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государственного управления в сфере юстиции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программы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потенциала государственного 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поощрение победителей регионального этапа Всероссийского конкурса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Лучшая муниципальная практика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5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- 3120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рублей (100%).</w:t>
      </w:r>
    </w:p>
    <w:p w:rsidR="00262931" w:rsidRDefault="00262931" w:rsidP="005F651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931" w:rsidRPr="007E5061" w:rsidRDefault="00262931" w:rsidP="00262931">
      <w:pPr>
        <w:ind w:firstLine="72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7E5061">
        <w:rPr>
          <w:rFonts w:ascii="Times New Roman" w:hAnsi="Times New Roman"/>
          <w:b/>
          <w:color w:val="000000"/>
          <w:spacing w:val="-4"/>
          <w:sz w:val="26"/>
          <w:szCs w:val="26"/>
        </w:rPr>
        <w:t>ИСТОЧНИКИ ФИНАНСИРОВАНИЯ ДЕФИЦИТА</w:t>
      </w:r>
    </w:p>
    <w:p w:rsidR="00262931" w:rsidRDefault="00262931" w:rsidP="00262931">
      <w:pPr>
        <w:ind w:firstLine="72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7E5061">
        <w:rPr>
          <w:rFonts w:ascii="Times New Roman" w:hAnsi="Times New Roman"/>
          <w:b/>
          <w:color w:val="000000"/>
          <w:spacing w:val="-4"/>
          <w:sz w:val="26"/>
          <w:szCs w:val="26"/>
        </w:rPr>
        <w:t>БЮДЖЕТА ЧУВАШСКОЙ РЕСПУБЛИКИ</w:t>
      </w:r>
    </w:p>
    <w:p w:rsidR="00262931" w:rsidRPr="007E5061" w:rsidRDefault="00262931" w:rsidP="00262931">
      <w:pPr>
        <w:ind w:firstLine="72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</w:p>
    <w:p w:rsidR="00262931" w:rsidRPr="00262931" w:rsidRDefault="00262931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2931">
        <w:rPr>
          <w:rFonts w:ascii="Times New Roman" w:hAnsi="Times New Roman"/>
          <w:sz w:val="24"/>
          <w:szCs w:val="24"/>
        </w:rPr>
        <w:t xml:space="preserve">В 2020 году профицит республиканского бюджета Чувашской Республики составил 722853,0 тыс. рублей. </w:t>
      </w:r>
    </w:p>
    <w:p w:rsidR="00262931" w:rsidRPr="00262931" w:rsidRDefault="00262931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931">
        <w:rPr>
          <w:rFonts w:ascii="Times New Roman" w:hAnsi="Times New Roman"/>
          <w:sz w:val="24"/>
          <w:szCs w:val="24"/>
        </w:rPr>
        <w:t>Источниками финансирования дефицита республиканского бюджета Чувашской Республики явились поступление средств от продажи акций и иных форм участия в капитале, находящихся в государственной (муниципальной) собственности Чувашской Республики, привлечение кредитов от кредитных организаций, привлечение бюджетных кредитов из других бюджетов бюджетной системы Российской Федерации, бюджетные кредиты, предоставленные внутри страны в валюте Российской Федерации, и изменение остатков средств на счетах по учету средств бюджетов.</w:t>
      </w:r>
      <w:proofErr w:type="gramEnd"/>
    </w:p>
    <w:p w:rsidR="00262931" w:rsidRPr="00262931" w:rsidRDefault="00262931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2931">
        <w:rPr>
          <w:rFonts w:ascii="Times New Roman" w:hAnsi="Times New Roman"/>
          <w:sz w:val="24"/>
          <w:szCs w:val="24"/>
        </w:rPr>
        <w:t>В результате продажи акций и иных форм участия в капитале, находящихся в государственной собственности Чувашской Республики, в республиканский бюджет Чувашской Республики поступило 25034,7 тыс. рублей.</w:t>
      </w:r>
    </w:p>
    <w:p w:rsidR="00262931" w:rsidRPr="00262931" w:rsidRDefault="0019738D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</w:t>
      </w:r>
      <w:r w:rsidR="00262931" w:rsidRPr="00262931">
        <w:rPr>
          <w:rFonts w:ascii="Times New Roman" w:hAnsi="Times New Roman"/>
          <w:sz w:val="24"/>
          <w:szCs w:val="24"/>
        </w:rPr>
        <w:t>еспубликански</w:t>
      </w:r>
      <w:r>
        <w:rPr>
          <w:rFonts w:ascii="Times New Roman" w:hAnsi="Times New Roman"/>
          <w:sz w:val="24"/>
          <w:szCs w:val="24"/>
        </w:rPr>
        <w:t>й</w:t>
      </w:r>
      <w:r w:rsidR="00262931" w:rsidRPr="00262931">
        <w:rPr>
          <w:rFonts w:ascii="Times New Roman" w:hAnsi="Times New Roman"/>
          <w:sz w:val="24"/>
          <w:szCs w:val="24"/>
        </w:rPr>
        <w:t xml:space="preserve"> бюджет Чувашской Республики в 20</w:t>
      </w:r>
      <w:r w:rsidR="007B75B0">
        <w:rPr>
          <w:rFonts w:ascii="Times New Roman" w:hAnsi="Times New Roman"/>
          <w:sz w:val="24"/>
          <w:szCs w:val="24"/>
        </w:rPr>
        <w:t>20</w:t>
      </w:r>
      <w:r w:rsidR="00262931" w:rsidRPr="00262931">
        <w:rPr>
          <w:rFonts w:ascii="Times New Roman" w:hAnsi="Times New Roman"/>
          <w:sz w:val="24"/>
          <w:szCs w:val="24"/>
        </w:rPr>
        <w:t xml:space="preserve"> году привлечены кредиты от кредитных организаций в сумме 500000,0 тыс. рублей</w:t>
      </w:r>
      <w:r>
        <w:rPr>
          <w:rFonts w:ascii="Times New Roman" w:hAnsi="Times New Roman"/>
          <w:sz w:val="24"/>
          <w:szCs w:val="24"/>
        </w:rPr>
        <w:t xml:space="preserve"> под </w:t>
      </w:r>
      <w:r w:rsidR="007B75B0">
        <w:rPr>
          <w:rFonts w:ascii="Times New Roman" w:hAnsi="Times New Roman"/>
          <w:sz w:val="24"/>
          <w:szCs w:val="24"/>
        </w:rPr>
        <w:t>5</w:t>
      </w:r>
      <w:r w:rsidR="00F165CE">
        <w:rPr>
          <w:rFonts w:ascii="Times New Roman" w:hAnsi="Times New Roman"/>
          <w:sz w:val="24"/>
          <w:szCs w:val="24"/>
        </w:rPr>
        <w:t>,19</w:t>
      </w:r>
      <w:r>
        <w:rPr>
          <w:rFonts w:ascii="Times New Roman" w:hAnsi="Times New Roman"/>
          <w:sz w:val="24"/>
          <w:szCs w:val="24"/>
        </w:rPr>
        <w:t>% годовых</w:t>
      </w:r>
      <w:r w:rsidR="00262931" w:rsidRPr="00262931">
        <w:rPr>
          <w:rFonts w:ascii="Times New Roman" w:hAnsi="Times New Roman"/>
          <w:sz w:val="24"/>
          <w:szCs w:val="24"/>
        </w:rPr>
        <w:t>, бюджетный кредит из федерального бюджета – 1372645,0 тыс. рублей</w:t>
      </w:r>
      <w:r>
        <w:rPr>
          <w:rFonts w:ascii="Times New Roman" w:hAnsi="Times New Roman"/>
          <w:sz w:val="24"/>
          <w:szCs w:val="24"/>
        </w:rPr>
        <w:t xml:space="preserve"> под 0,1% годовых</w:t>
      </w:r>
      <w:r w:rsidR="00262931" w:rsidRPr="00262931">
        <w:rPr>
          <w:rFonts w:ascii="Times New Roman" w:hAnsi="Times New Roman"/>
          <w:sz w:val="24"/>
          <w:szCs w:val="24"/>
        </w:rPr>
        <w:t>, бюджетные кредиты УФК по Чувашской Республике на пополнение остатков средств на счетах бюджетов субъектов Российской Федерации (местных бюджетов) – 1372645,0 тыс. рублей</w:t>
      </w:r>
      <w:r>
        <w:rPr>
          <w:rFonts w:ascii="Times New Roman" w:hAnsi="Times New Roman"/>
          <w:sz w:val="24"/>
          <w:szCs w:val="24"/>
        </w:rPr>
        <w:t xml:space="preserve"> под 0,1% годовых.</w:t>
      </w:r>
      <w:proofErr w:type="gramEnd"/>
    </w:p>
    <w:p w:rsidR="00262931" w:rsidRPr="00262931" w:rsidRDefault="00262931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931">
        <w:rPr>
          <w:rFonts w:ascii="Times New Roman" w:hAnsi="Times New Roman"/>
          <w:sz w:val="24"/>
          <w:szCs w:val="24"/>
        </w:rPr>
        <w:t>Республиканским бюджетом Чувашской Республики в 2020 году погашены:</w:t>
      </w:r>
      <w:proofErr w:type="gramEnd"/>
    </w:p>
    <w:p w:rsidR="00262931" w:rsidRPr="00262931" w:rsidRDefault="00262931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2931">
        <w:rPr>
          <w:rFonts w:ascii="Times New Roman" w:hAnsi="Times New Roman"/>
          <w:sz w:val="24"/>
          <w:szCs w:val="24"/>
        </w:rPr>
        <w:t>кредиты от кредитных организаций – 3300000,0 тыс. рублей;</w:t>
      </w:r>
    </w:p>
    <w:p w:rsidR="00262931" w:rsidRPr="00262931" w:rsidRDefault="00262931" w:rsidP="002629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2931">
        <w:rPr>
          <w:rFonts w:ascii="Times New Roman" w:hAnsi="Times New Roman"/>
          <w:sz w:val="24"/>
          <w:szCs w:val="24"/>
        </w:rPr>
        <w:t>бюджетные кредиты УФК по Чувашской Республике на пополнение остатков средств на счетах бюджетов субъектов Российской Федерации (местных бюджетов) – 1372645,0 тыс. рублей.</w:t>
      </w:r>
    </w:p>
    <w:p w:rsidR="00262931" w:rsidRDefault="00262931" w:rsidP="005F65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931" w:rsidRDefault="00262931" w:rsidP="005F65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931" w:rsidRPr="00262931" w:rsidRDefault="00262931" w:rsidP="005F65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931" w:rsidRPr="00262931" w:rsidRDefault="00262931" w:rsidP="00262931">
      <w:pPr>
        <w:pStyle w:val="Style3"/>
        <w:spacing w:before="10" w:line="240" w:lineRule="auto"/>
        <w:ind w:firstLine="0"/>
        <w:rPr>
          <w:rStyle w:val="FontStyle11"/>
          <w:sz w:val="24"/>
          <w:szCs w:val="24"/>
        </w:rPr>
      </w:pPr>
      <w:r w:rsidRPr="00262931">
        <w:rPr>
          <w:rStyle w:val="FontStyle11"/>
          <w:sz w:val="24"/>
          <w:szCs w:val="24"/>
        </w:rPr>
        <w:t>Первый заместитель Председателя Кабинета</w:t>
      </w:r>
    </w:p>
    <w:p w:rsidR="00262931" w:rsidRPr="00262931" w:rsidRDefault="00262931" w:rsidP="00262931">
      <w:pPr>
        <w:pStyle w:val="Style3"/>
        <w:spacing w:before="10" w:line="240" w:lineRule="auto"/>
        <w:ind w:firstLine="0"/>
        <w:rPr>
          <w:rStyle w:val="FontStyle11"/>
          <w:sz w:val="24"/>
          <w:szCs w:val="24"/>
        </w:rPr>
      </w:pPr>
      <w:r w:rsidRPr="00262931">
        <w:rPr>
          <w:rStyle w:val="FontStyle11"/>
          <w:sz w:val="24"/>
          <w:szCs w:val="24"/>
        </w:rPr>
        <w:t>Министров Чувашской Республики-</w:t>
      </w:r>
    </w:p>
    <w:p w:rsidR="00262931" w:rsidRPr="00C54634" w:rsidRDefault="00262931" w:rsidP="00325117">
      <w:pPr>
        <w:pStyle w:val="Style3"/>
        <w:widowControl/>
        <w:spacing w:before="10" w:line="240" w:lineRule="auto"/>
        <w:ind w:firstLine="0"/>
      </w:pPr>
      <w:r w:rsidRPr="00262931">
        <w:rPr>
          <w:rStyle w:val="FontStyle11"/>
          <w:sz w:val="24"/>
          <w:szCs w:val="24"/>
        </w:rPr>
        <w:t xml:space="preserve">министр финансов Чувашской Республики                                      </w:t>
      </w:r>
      <w:r>
        <w:rPr>
          <w:rStyle w:val="FontStyle11"/>
          <w:sz w:val="24"/>
          <w:szCs w:val="24"/>
        </w:rPr>
        <w:tab/>
        <w:t xml:space="preserve">      </w:t>
      </w:r>
      <w:r w:rsidRPr="00262931">
        <w:rPr>
          <w:rStyle w:val="FontStyle11"/>
          <w:sz w:val="24"/>
          <w:szCs w:val="24"/>
        </w:rPr>
        <w:t xml:space="preserve">    М.Г. </w:t>
      </w:r>
      <w:proofErr w:type="spellStart"/>
      <w:r w:rsidRPr="00262931">
        <w:rPr>
          <w:rStyle w:val="FontStyle11"/>
          <w:sz w:val="24"/>
          <w:szCs w:val="24"/>
        </w:rPr>
        <w:t>Ноздряков</w:t>
      </w:r>
      <w:proofErr w:type="spellEnd"/>
    </w:p>
    <w:sectPr w:rsidR="00262931" w:rsidRPr="00C54634" w:rsidSect="00D51E5C">
      <w:headerReference w:type="default" r:id="rId11"/>
      <w:pgSz w:w="11906" w:h="16838"/>
      <w:pgMar w:top="1276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99" w:rsidRDefault="00D12D99" w:rsidP="00882BFC">
      <w:r>
        <w:separator/>
      </w:r>
    </w:p>
  </w:endnote>
  <w:endnote w:type="continuationSeparator" w:id="0">
    <w:p w:rsidR="00D12D99" w:rsidRDefault="00D12D99" w:rsidP="008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99" w:rsidRDefault="00D12D99" w:rsidP="00882BFC">
      <w:r>
        <w:separator/>
      </w:r>
    </w:p>
  </w:footnote>
  <w:footnote w:type="continuationSeparator" w:id="0">
    <w:p w:rsidR="00D12D99" w:rsidRDefault="00D12D99" w:rsidP="0088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08346"/>
      <w:docPartObj>
        <w:docPartGallery w:val="Page Numbers (Top of Page)"/>
        <w:docPartUnique/>
      </w:docPartObj>
    </w:sdtPr>
    <w:sdtEndPr/>
    <w:sdtContent>
      <w:p w:rsidR="00D12D99" w:rsidRDefault="00D12D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5C">
          <w:rPr>
            <w:noProof/>
          </w:rPr>
          <w:t>91</w:t>
        </w:r>
        <w:r>
          <w:fldChar w:fldCharType="end"/>
        </w:r>
      </w:p>
    </w:sdtContent>
  </w:sdt>
  <w:p w:rsidR="00D12D99" w:rsidRDefault="00D12D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60"/>
    <w:rsid w:val="000071D5"/>
    <w:rsid w:val="00014271"/>
    <w:rsid w:val="00045DD8"/>
    <w:rsid w:val="00053782"/>
    <w:rsid w:val="00071B86"/>
    <w:rsid w:val="000872A7"/>
    <w:rsid w:val="00087E16"/>
    <w:rsid w:val="00095F1E"/>
    <w:rsid w:val="000976ED"/>
    <w:rsid w:val="000C7FA5"/>
    <w:rsid w:val="000F7DDC"/>
    <w:rsid w:val="00147935"/>
    <w:rsid w:val="00151571"/>
    <w:rsid w:val="00151D80"/>
    <w:rsid w:val="00182297"/>
    <w:rsid w:val="0019738D"/>
    <w:rsid w:val="001B04E9"/>
    <w:rsid w:val="001B13B2"/>
    <w:rsid w:val="001B3764"/>
    <w:rsid w:val="001D7224"/>
    <w:rsid w:val="001E3068"/>
    <w:rsid w:val="001E5657"/>
    <w:rsid w:val="002021F5"/>
    <w:rsid w:val="0021110A"/>
    <w:rsid w:val="002157B5"/>
    <w:rsid w:val="00234197"/>
    <w:rsid w:val="002353D5"/>
    <w:rsid w:val="002408E1"/>
    <w:rsid w:val="00250FF1"/>
    <w:rsid w:val="00260B66"/>
    <w:rsid w:val="00262931"/>
    <w:rsid w:val="0026562A"/>
    <w:rsid w:val="00282812"/>
    <w:rsid w:val="00291C1C"/>
    <w:rsid w:val="002A1680"/>
    <w:rsid w:val="002A7980"/>
    <w:rsid w:val="002B227E"/>
    <w:rsid w:val="002B38D9"/>
    <w:rsid w:val="002C45EF"/>
    <w:rsid w:val="002E3A65"/>
    <w:rsid w:val="003005F2"/>
    <w:rsid w:val="00302006"/>
    <w:rsid w:val="00313C77"/>
    <w:rsid w:val="003146B0"/>
    <w:rsid w:val="003215A1"/>
    <w:rsid w:val="00321BB5"/>
    <w:rsid w:val="00325117"/>
    <w:rsid w:val="00347768"/>
    <w:rsid w:val="00352385"/>
    <w:rsid w:val="00356E99"/>
    <w:rsid w:val="003625DA"/>
    <w:rsid w:val="00365065"/>
    <w:rsid w:val="0036576B"/>
    <w:rsid w:val="00370C56"/>
    <w:rsid w:val="00377947"/>
    <w:rsid w:val="00391CD2"/>
    <w:rsid w:val="003B2925"/>
    <w:rsid w:val="003C3186"/>
    <w:rsid w:val="003D0648"/>
    <w:rsid w:val="003E49B9"/>
    <w:rsid w:val="003F0654"/>
    <w:rsid w:val="003F4411"/>
    <w:rsid w:val="003F4D0A"/>
    <w:rsid w:val="004019BD"/>
    <w:rsid w:val="0041390E"/>
    <w:rsid w:val="0042360D"/>
    <w:rsid w:val="004309AE"/>
    <w:rsid w:val="004322F4"/>
    <w:rsid w:val="00441260"/>
    <w:rsid w:val="00462B0B"/>
    <w:rsid w:val="004B3291"/>
    <w:rsid w:val="004C67DC"/>
    <w:rsid w:val="004D4089"/>
    <w:rsid w:val="004D44A0"/>
    <w:rsid w:val="004E7CAD"/>
    <w:rsid w:val="004F1287"/>
    <w:rsid w:val="004F2591"/>
    <w:rsid w:val="00504D2C"/>
    <w:rsid w:val="00506C41"/>
    <w:rsid w:val="0050767B"/>
    <w:rsid w:val="00546F31"/>
    <w:rsid w:val="00561F35"/>
    <w:rsid w:val="00573502"/>
    <w:rsid w:val="00573A74"/>
    <w:rsid w:val="00586B6A"/>
    <w:rsid w:val="0059156B"/>
    <w:rsid w:val="005C51A7"/>
    <w:rsid w:val="005C5DDE"/>
    <w:rsid w:val="005C66A4"/>
    <w:rsid w:val="005D5375"/>
    <w:rsid w:val="005E709A"/>
    <w:rsid w:val="005E784E"/>
    <w:rsid w:val="005F2692"/>
    <w:rsid w:val="005F448D"/>
    <w:rsid w:val="005F6514"/>
    <w:rsid w:val="00603796"/>
    <w:rsid w:val="006207BF"/>
    <w:rsid w:val="00624806"/>
    <w:rsid w:val="0062623E"/>
    <w:rsid w:val="00633EDD"/>
    <w:rsid w:val="00651C1E"/>
    <w:rsid w:val="006A7A51"/>
    <w:rsid w:val="006C77EF"/>
    <w:rsid w:val="006D4176"/>
    <w:rsid w:val="007007B2"/>
    <w:rsid w:val="007074BC"/>
    <w:rsid w:val="0071640D"/>
    <w:rsid w:val="007169C0"/>
    <w:rsid w:val="00726111"/>
    <w:rsid w:val="00737F9C"/>
    <w:rsid w:val="007879D2"/>
    <w:rsid w:val="007A18E2"/>
    <w:rsid w:val="007A69C0"/>
    <w:rsid w:val="007B4950"/>
    <w:rsid w:val="007B75B0"/>
    <w:rsid w:val="007D11E4"/>
    <w:rsid w:val="007D3D2C"/>
    <w:rsid w:val="007D4661"/>
    <w:rsid w:val="007E0226"/>
    <w:rsid w:val="007F0169"/>
    <w:rsid w:val="007F689B"/>
    <w:rsid w:val="00825140"/>
    <w:rsid w:val="00861AD3"/>
    <w:rsid w:val="00877C06"/>
    <w:rsid w:val="00882BFC"/>
    <w:rsid w:val="008978E1"/>
    <w:rsid w:val="008A07D8"/>
    <w:rsid w:val="008E1053"/>
    <w:rsid w:val="008E4FDE"/>
    <w:rsid w:val="00951BBA"/>
    <w:rsid w:val="009614F8"/>
    <w:rsid w:val="009648FB"/>
    <w:rsid w:val="00965B72"/>
    <w:rsid w:val="00966FE8"/>
    <w:rsid w:val="009846A6"/>
    <w:rsid w:val="009A43BF"/>
    <w:rsid w:val="009A4F4F"/>
    <w:rsid w:val="009B7BBC"/>
    <w:rsid w:val="009C0166"/>
    <w:rsid w:val="009C06C1"/>
    <w:rsid w:val="009C0CC3"/>
    <w:rsid w:val="00A265AF"/>
    <w:rsid w:val="00A3008E"/>
    <w:rsid w:val="00A43198"/>
    <w:rsid w:val="00A7509F"/>
    <w:rsid w:val="00AA62CD"/>
    <w:rsid w:val="00AC343A"/>
    <w:rsid w:val="00AF4A3A"/>
    <w:rsid w:val="00B16647"/>
    <w:rsid w:val="00B2027C"/>
    <w:rsid w:val="00B276DB"/>
    <w:rsid w:val="00B3099B"/>
    <w:rsid w:val="00B43E06"/>
    <w:rsid w:val="00B50173"/>
    <w:rsid w:val="00B7516D"/>
    <w:rsid w:val="00B77F16"/>
    <w:rsid w:val="00B948F9"/>
    <w:rsid w:val="00B97CC3"/>
    <w:rsid w:val="00BA6B99"/>
    <w:rsid w:val="00BC3455"/>
    <w:rsid w:val="00BE7CF0"/>
    <w:rsid w:val="00BF29B3"/>
    <w:rsid w:val="00C01BA3"/>
    <w:rsid w:val="00C074B8"/>
    <w:rsid w:val="00C157DF"/>
    <w:rsid w:val="00C3112E"/>
    <w:rsid w:val="00C37A99"/>
    <w:rsid w:val="00C44518"/>
    <w:rsid w:val="00C54634"/>
    <w:rsid w:val="00C75284"/>
    <w:rsid w:val="00CE6840"/>
    <w:rsid w:val="00CF0E97"/>
    <w:rsid w:val="00D12D99"/>
    <w:rsid w:val="00D2086A"/>
    <w:rsid w:val="00D311D3"/>
    <w:rsid w:val="00D46CFF"/>
    <w:rsid w:val="00D51E5C"/>
    <w:rsid w:val="00D8004D"/>
    <w:rsid w:val="00D941CD"/>
    <w:rsid w:val="00D96442"/>
    <w:rsid w:val="00DA7AE2"/>
    <w:rsid w:val="00DC0557"/>
    <w:rsid w:val="00DC7602"/>
    <w:rsid w:val="00DD2976"/>
    <w:rsid w:val="00DE155E"/>
    <w:rsid w:val="00DE2F60"/>
    <w:rsid w:val="00DF6207"/>
    <w:rsid w:val="00E02766"/>
    <w:rsid w:val="00E235BA"/>
    <w:rsid w:val="00E35BC9"/>
    <w:rsid w:val="00E377DA"/>
    <w:rsid w:val="00E644D3"/>
    <w:rsid w:val="00E674BE"/>
    <w:rsid w:val="00E873B4"/>
    <w:rsid w:val="00E920E6"/>
    <w:rsid w:val="00E9405B"/>
    <w:rsid w:val="00EA0707"/>
    <w:rsid w:val="00ED72AB"/>
    <w:rsid w:val="00EE27F2"/>
    <w:rsid w:val="00F02FD0"/>
    <w:rsid w:val="00F04935"/>
    <w:rsid w:val="00F14A11"/>
    <w:rsid w:val="00F16210"/>
    <w:rsid w:val="00F165CE"/>
    <w:rsid w:val="00F22B56"/>
    <w:rsid w:val="00F25BDC"/>
    <w:rsid w:val="00F60B27"/>
    <w:rsid w:val="00F71A6B"/>
    <w:rsid w:val="00F87A9E"/>
    <w:rsid w:val="00F918F8"/>
    <w:rsid w:val="00F91AD3"/>
    <w:rsid w:val="00FC1049"/>
    <w:rsid w:val="00FC238D"/>
    <w:rsid w:val="00FD1175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F60"/>
    <w:rPr>
      <w:color w:val="800080"/>
      <w:u w:val="single"/>
    </w:rPr>
  </w:style>
  <w:style w:type="paragraph" w:customStyle="1" w:styleId="xl73">
    <w:name w:val="xl73"/>
    <w:basedOn w:val="a"/>
    <w:rsid w:val="00DE2F60"/>
    <w:pPr>
      <w:spacing w:before="100" w:beforeAutospacing="1" w:after="100" w:afterAutospacing="1"/>
      <w:jc w:val="both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E2F60"/>
    <w:pPr>
      <w:spacing w:before="100" w:beforeAutospacing="1" w:after="100" w:afterAutospacing="1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xl75">
    <w:name w:val="xl75"/>
    <w:basedOn w:val="a"/>
    <w:rsid w:val="00DE2F60"/>
    <w:pPr>
      <w:spacing w:before="100" w:beforeAutospacing="1" w:after="100" w:afterAutospacing="1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2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BFC"/>
  </w:style>
  <w:style w:type="paragraph" w:styleId="a7">
    <w:name w:val="footer"/>
    <w:basedOn w:val="a"/>
    <w:link w:val="a8"/>
    <w:uiPriority w:val="99"/>
    <w:unhideWhenUsed/>
    <w:rsid w:val="00882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BFC"/>
  </w:style>
  <w:style w:type="paragraph" w:styleId="a9">
    <w:name w:val="Balloon Text"/>
    <w:basedOn w:val="a"/>
    <w:link w:val="aa"/>
    <w:uiPriority w:val="99"/>
    <w:semiHidden/>
    <w:unhideWhenUsed/>
    <w:rsid w:val="00391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CD2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26293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262931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F60"/>
    <w:rPr>
      <w:color w:val="800080"/>
      <w:u w:val="single"/>
    </w:rPr>
  </w:style>
  <w:style w:type="paragraph" w:customStyle="1" w:styleId="xl73">
    <w:name w:val="xl73"/>
    <w:basedOn w:val="a"/>
    <w:rsid w:val="00DE2F60"/>
    <w:pPr>
      <w:spacing w:before="100" w:beforeAutospacing="1" w:after="100" w:afterAutospacing="1"/>
      <w:jc w:val="both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E2F60"/>
    <w:pPr>
      <w:spacing w:before="100" w:beforeAutospacing="1" w:after="100" w:afterAutospacing="1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xl75">
    <w:name w:val="xl75"/>
    <w:basedOn w:val="a"/>
    <w:rsid w:val="00DE2F60"/>
    <w:pPr>
      <w:spacing w:before="100" w:beforeAutospacing="1" w:after="100" w:afterAutospacing="1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2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BFC"/>
  </w:style>
  <w:style w:type="paragraph" w:styleId="a7">
    <w:name w:val="footer"/>
    <w:basedOn w:val="a"/>
    <w:link w:val="a8"/>
    <w:uiPriority w:val="99"/>
    <w:unhideWhenUsed/>
    <w:rsid w:val="00882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BFC"/>
  </w:style>
  <w:style w:type="paragraph" w:styleId="a9">
    <w:name w:val="Balloon Text"/>
    <w:basedOn w:val="a"/>
    <w:link w:val="aa"/>
    <w:uiPriority w:val="99"/>
    <w:semiHidden/>
    <w:unhideWhenUsed/>
    <w:rsid w:val="00391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CD2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26293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262931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11E7942ED77C33B475EB9606B5331B97094BFEA82BD1C2003740E3455E1B87F4DE7542AD804B6D7F7E46F234399Fw9Z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AD693B98ADF3C08CE7A8411D40A76194B953E84501741F4A83EA0EC7BE6CC29EC4BB929AC32F32363035BA6EBBA2EEEBBCAB140B6B3381F74EDDB5q4d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AD693B98ADF3C08CE7A8411D40A76194B953E8450275194A85EA0EC7BE6CC29EC4BB929AC32F32363035BA6EBBA2EEEBBCAB140B6B3381F74EDDB5q4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A9EB-464A-40C9-BA77-B7AA93B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91</Pages>
  <Words>45823</Words>
  <Characters>261197</Characters>
  <Application>Microsoft Office Word</Application>
  <DocSecurity>0</DocSecurity>
  <Lines>2176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Ярухин Алексей Владимирович</dc:creator>
  <cp:lastModifiedBy>Грибоедова София Александровна</cp:lastModifiedBy>
  <cp:revision>13</cp:revision>
  <cp:lastPrinted>2021-03-19T10:34:00Z</cp:lastPrinted>
  <dcterms:created xsi:type="dcterms:W3CDTF">2021-03-18T15:09:00Z</dcterms:created>
  <dcterms:modified xsi:type="dcterms:W3CDTF">2021-03-19T10:34:00Z</dcterms:modified>
</cp:coreProperties>
</file>