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92" w:rsidRDefault="00F5565C" w:rsidP="00F5565C">
      <w:pPr>
        <w:pStyle w:val="ConsPlusTitlePage"/>
        <w:jc w:val="right"/>
      </w:pPr>
      <w:r>
        <w:t>Извлечение</w:t>
      </w:r>
    </w:p>
    <w:p w:rsidR="00A83292" w:rsidRDefault="00A83292" w:rsidP="00F5565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832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3292" w:rsidRDefault="00A83292" w:rsidP="00F5565C">
            <w:pPr>
              <w:pStyle w:val="ConsPlusNormal"/>
              <w:outlineLvl w:val="0"/>
            </w:pPr>
            <w:r>
              <w:t>23 июля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3292" w:rsidRDefault="00A83292" w:rsidP="00F5565C">
            <w:pPr>
              <w:pStyle w:val="ConsPlusNormal"/>
              <w:jc w:val="right"/>
              <w:outlineLvl w:val="0"/>
            </w:pPr>
            <w:r>
              <w:t>N 38</w:t>
            </w:r>
          </w:p>
        </w:tc>
      </w:tr>
    </w:tbl>
    <w:p w:rsidR="00A83292" w:rsidRDefault="00A83292" w:rsidP="00F5565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83292" w:rsidRDefault="00A83292" w:rsidP="00F5565C">
      <w:pPr>
        <w:pStyle w:val="ConsPlusNormal"/>
        <w:jc w:val="both"/>
      </w:pPr>
    </w:p>
    <w:p w:rsidR="00A83292" w:rsidRDefault="00A83292" w:rsidP="00F5565C">
      <w:pPr>
        <w:pStyle w:val="ConsPlusTitle"/>
        <w:jc w:val="center"/>
      </w:pPr>
      <w:r>
        <w:t>ЗАКОН</w:t>
      </w:r>
    </w:p>
    <w:p w:rsidR="00A83292" w:rsidRDefault="00A83292" w:rsidP="00F5565C">
      <w:pPr>
        <w:pStyle w:val="ConsPlusTitle"/>
        <w:jc w:val="center"/>
      </w:pPr>
    </w:p>
    <w:p w:rsidR="00A83292" w:rsidRDefault="00A83292" w:rsidP="00F5565C">
      <w:pPr>
        <w:pStyle w:val="ConsPlusTitle"/>
        <w:jc w:val="center"/>
      </w:pPr>
      <w:r>
        <w:t>ЧУВАШСКОЙ РЕСПУБЛИКИ</w:t>
      </w:r>
    </w:p>
    <w:p w:rsidR="00A83292" w:rsidRDefault="00A83292" w:rsidP="00F5565C">
      <w:pPr>
        <w:pStyle w:val="ConsPlusTitle"/>
        <w:jc w:val="center"/>
      </w:pPr>
    </w:p>
    <w:p w:rsidR="00A83292" w:rsidRDefault="00A83292" w:rsidP="00F5565C">
      <w:pPr>
        <w:pStyle w:val="ConsPlusTitle"/>
        <w:jc w:val="center"/>
      </w:pPr>
      <w:r>
        <w:t>О ВОПРОСАХ НАЛОГОВОГО РЕГУЛИРОВАНИЯ</w:t>
      </w:r>
    </w:p>
    <w:p w:rsidR="00A83292" w:rsidRDefault="00A83292" w:rsidP="00F5565C">
      <w:pPr>
        <w:pStyle w:val="ConsPlusTitle"/>
        <w:jc w:val="center"/>
      </w:pPr>
      <w:r>
        <w:t xml:space="preserve">В ЧУВАШСКОЙ РЕСПУБЛИКЕ, </w:t>
      </w:r>
      <w:proofErr w:type="gramStart"/>
      <w:r>
        <w:t>ОТНЕСЕННЫХ</w:t>
      </w:r>
      <w:proofErr w:type="gramEnd"/>
      <w:r>
        <w:t xml:space="preserve"> ЗАКОНОДАТЕЛЬСТВОМ</w:t>
      </w:r>
    </w:p>
    <w:p w:rsidR="00A83292" w:rsidRDefault="00A83292" w:rsidP="00F5565C">
      <w:pPr>
        <w:pStyle w:val="ConsPlusTitle"/>
        <w:jc w:val="center"/>
      </w:pPr>
      <w:r>
        <w:t>РОССИЙСКОЙ ФЕДЕРАЦИИ О НАЛОГАХ И СБОРАХ К ВЕДЕНИЮ</w:t>
      </w:r>
    </w:p>
    <w:p w:rsidR="00A83292" w:rsidRDefault="00A83292" w:rsidP="00F5565C">
      <w:pPr>
        <w:pStyle w:val="ConsPlusTitle"/>
        <w:jc w:val="center"/>
      </w:pPr>
      <w:r>
        <w:t>СУБЪЕКТОВ РОССИЙСКОЙ ФЕДЕРАЦИИ</w:t>
      </w:r>
    </w:p>
    <w:p w:rsidR="00A83292" w:rsidRDefault="00A83292" w:rsidP="00F5565C">
      <w:pPr>
        <w:pStyle w:val="ConsPlusNormal"/>
        <w:jc w:val="both"/>
      </w:pPr>
    </w:p>
    <w:p w:rsidR="00A83292" w:rsidRDefault="00A83292" w:rsidP="00F5565C">
      <w:pPr>
        <w:pStyle w:val="ConsPlusNormal"/>
        <w:jc w:val="right"/>
      </w:pPr>
      <w:proofErr w:type="gramStart"/>
      <w:r>
        <w:t>Принят</w:t>
      </w:r>
      <w:proofErr w:type="gramEnd"/>
    </w:p>
    <w:p w:rsidR="00A83292" w:rsidRDefault="00A83292" w:rsidP="00F5565C">
      <w:pPr>
        <w:pStyle w:val="ConsPlusNormal"/>
        <w:jc w:val="right"/>
      </w:pPr>
      <w:r>
        <w:t>Государственным Советом</w:t>
      </w:r>
    </w:p>
    <w:p w:rsidR="00A83292" w:rsidRDefault="00A83292" w:rsidP="00F5565C">
      <w:pPr>
        <w:pStyle w:val="ConsPlusNormal"/>
        <w:jc w:val="right"/>
      </w:pPr>
      <w:r>
        <w:t>Чувашской Республики</w:t>
      </w:r>
    </w:p>
    <w:p w:rsidR="00A83292" w:rsidRDefault="00A83292" w:rsidP="00F5565C">
      <w:pPr>
        <w:pStyle w:val="ConsPlusNormal"/>
        <w:jc w:val="right"/>
      </w:pPr>
      <w:r>
        <w:t>12 июля 2001 года</w:t>
      </w:r>
    </w:p>
    <w:p w:rsidR="00A83292" w:rsidRDefault="00A83292" w:rsidP="00F5565C">
      <w:pPr>
        <w:spacing w:after="0" w:line="240" w:lineRule="auto"/>
      </w:pPr>
    </w:p>
    <w:p w:rsidR="00A83292" w:rsidRDefault="00F5565C" w:rsidP="00F5565C">
      <w:pPr>
        <w:pStyle w:val="ConsPlusNormal"/>
        <w:jc w:val="both"/>
      </w:pPr>
      <w:r>
        <w:rPr>
          <w:color w:val="392C69"/>
        </w:rPr>
        <w:t>…</w:t>
      </w:r>
    </w:p>
    <w:p w:rsidR="00A83292" w:rsidRDefault="00A83292" w:rsidP="00F5565C">
      <w:pPr>
        <w:pStyle w:val="ConsPlusTitle"/>
        <w:ind w:firstLine="540"/>
        <w:jc w:val="both"/>
        <w:outlineLvl w:val="4"/>
      </w:pPr>
      <w:r>
        <w:t>Статья 2.1. Полномочия Министерства финансов Чувашской Республики в области налогов и сборов</w:t>
      </w:r>
    </w:p>
    <w:p w:rsidR="00A83292" w:rsidRDefault="00A83292" w:rsidP="00F5565C">
      <w:pPr>
        <w:pStyle w:val="ConsPlusNormal"/>
        <w:ind w:firstLine="540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A83292" w:rsidRDefault="00A83292" w:rsidP="00F5565C">
      <w:pPr>
        <w:pStyle w:val="ConsPlusNormal"/>
        <w:ind w:firstLine="540"/>
        <w:jc w:val="both"/>
      </w:pPr>
      <w:r>
        <w:t>1. Министерство финансов Чувашской Республики дает письменные разъяснения налогоплательщикам и налоговым агентам по вопросам применения законодательства Чувашской Республики о налогах.</w:t>
      </w:r>
    </w:p>
    <w:p w:rsidR="00A83292" w:rsidRDefault="00F5565C" w:rsidP="00F5565C">
      <w:pPr>
        <w:pStyle w:val="ConsPlusNormal"/>
        <w:jc w:val="both"/>
      </w:pPr>
      <w:r>
        <w:t>…</w:t>
      </w:r>
    </w:p>
    <w:p w:rsidR="00A83292" w:rsidRDefault="00A83292" w:rsidP="00F5565C">
      <w:pPr>
        <w:pStyle w:val="ConsPlusTitle"/>
        <w:ind w:firstLine="540"/>
        <w:jc w:val="both"/>
        <w:outlineLvl w:val="4"/>
      </w:pPr>
      <w:r>
        <w:t xml:space="preserve">Статья 19. Налоговые </w:t>
      </w:r>
      <w:hyperlink r:id="rId6" w:history="1">
        <w:r>
          <w:rPr>
            <w:color w:val="0000FF"/>
          </w:rPr>
          <w:t>ставки</w:t>
        </w:r>
      </w:hyperlink>
    </w:p>
    <w:p w:rsidR="00A83292" w:rsidRDefault="00A83292" w:rsidP="00F5565C">
      <w:pPr>
        <w:pStyle w:val="ConsPlusNormal"/>
        <w:ind w:firstLine="540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ЧР от 06.03.2013 N 4)</w:t>
      </w:r>
    </w:p>
    <w:p w:rsidR="00A83292" w:rsidRDefault="00F5565C" w:rsidP="00F5565C">
      <w:pPr>
        <w:pStyle w:val="ConsPlusNormal"/>
        <w:jc w:val="both"/>
      </w:pPr>
      <w:r>
        <w:t>…</w:t>
      </w:r>
    </w:p>
    <w:p w:rsidR="00A83292" w:rsidRDefault="00A83292" w:rsidP="00F5565C">
      <w:pPr>
        <w:pStyle w:val="ConsPlusNormal"/>
        <w:ind w:firstLine="540"/>
        <w:jc w:val="both"/>
      </w:pPr>
      <w:bookmarkStart w:id="0" w:name="P316"/>
      <w:bookmarkEnd w:id="0"/>
      <w:r>
        <w:t xml:space="preserve">2. Абзац утратил силу. - </w:t>
      </w:r>
      <w:hyperlink r:id="rId8" w:history="1">
        <w:r>
          <w:rPr>
            <w:color w:val="0000FF"/>
          </w:rPr>
          <w:t>Закон</w:t>
        </w:r>
      </w:hyperlink>
      <w:r>
        <w:t xml:space="preserve"> ЧР от 20.12.2019 N 88.</w:t>
      </w:r>
    </w:p>
    <w:p w:rsidR="00A83292" w:rsidRDefault="00A83292" w:rsidP="00F5565C">
      <w:pPr>
        <w:pStyle w:val="ConsPlusNormal"/>
        <w:ind w:firstLine="540"/>
        <w:jc w:val="both"/>
      </w:pPr>
      <w:r>
        <w:t>Налоговые ставки в отношении железнодорожных путей общего пользования и сооружений, являющихся их неотъемлемой технологической частью, устанавливаются в 2017 году в размере 1,0 процента, в 2018 году - 1,3 процента, в 2019 году - 1,3 процента, в 2020 году - 1,6 процента.</w:t>
      </w:r>
    </w:p>
    <w:p w:rsidR="00A83292" w:rsidRDefault="00A83292" w:rsidP="00F5565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ЧР от 28.09.2017 N 52)</w:t>
      </w:r>
    </w:p>
    <w:p w:rsidR="00A83292" w:rsidRDefault="00BE1544" w:rsidP="00F5565C">
      <w:pPr>
        <w:pStyle w:val="ConsPlusNormal"/>
        <w:jc w:val="both"/>
      </w:pPr>
      <w:r>
        <w:t>…</w:t>
      </w:r>
      <w:bookmarkStart w:id="1" w:name="_GoBack"/>
      <w:bookmarkEnd w:id="1"/>
    </w:p>
    <w:p w:rsidR="00A83292" w:rsidRDefault="00A83292" w:rsidP="00F5565C">
      <w:pPr>
        <w:pStyle w:val="ConsPlusTitle"/>
        <w:ind w:firstLine="540"/>
        <w:jc w:val="both"/>
        <w:outlineLvl w:val="4"/>
      </w:pPr>
      <w:r>
        <w:t xml:space="preserve">Статья 33. Налоговые </w:t>
      </w:r>
      <w:hyperlink r:id="rId10" w:history="1">
        <w:r>
          <w:rPr>
            <w:color w:val="0000FF"/>
          </w:rPr>
          <w:t>льготы</w:t>
        </w:r>
      </w:hyperlink>
    </w:p>
    <w:p w:rsidR="00A83292" w:rsidRDefault="00A83292" w:rsidP="00F5565C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ЧР от 11.10.2013 N 60)</w:t>
      </w:r>
    </w:p>
    <w:p w:rsidR="00A83292" w:rsidRDefault="00F5565C" w:rsidP="00F5565C">
      <w:pPr>
        <w:pStyle w:val="ConsPlusNormal"/>
        <w:jc w:val="both"/>
      </w:pPr>
      <w:r>
        <w:t>…</w:t>
      </w:r>
    </w:p>
    <w:p w:rsidR="00A83292" w:rsidRDefault="00A83292" w:rsidP="00F5565C">
      <w:pPr>
        <w:pStyle w:val="ConsPlusNormal"/>
        <w:ind w:firstLine="540"/>
        <w:jc w:val="both"/>
      </w:pPr>
      <w:r>
        <w:t xml:space="preserve">Для физических лиц, на которых зарегистрированы два и </w:t>
      </w:r>
      <w:proofErr w:type="gramStart"/>
      <w:r>
        <w:t>более транспортных</w:t>
      </w:r>
      <w:proofErr w:type="gramEnd"/>
      <w:r>
        <w:t xml:space="preserve"> средства, в отношении которых в соответствии с настоящей статьей они освобождаются от уплаты налога, льгота предоставляется по их выбору на одно транспортное средство.</w:t>
      </w:r>
    </w:p>
    <w:p w:rsidR="00A83292" w:rsidRDefault="00F5565C" w:rsidP="00F5565C">
      <w:pPr>
        <w:pStyle w:val="ConsPlusNormal"/>
        <w:jc w:val="both"/>
      </w:pPr>
      <w:r>
        <w:t>…</w:t>
      </w:r>
    </w:p>
    <w:p w:rsidR="00A83292" w:rsidRDefault="00A83292" w:rsidP="00F5565C">
      <w:pPr>
        <w:pStyle w:val="ConsPlusTitle"/>
        <w:ind w:firstLine="540"/>
        <w:jc w:val="both"/>
        <w:outlineLvl w:val="4"/>
      </w:pPr>
      <w:r>
        <w:t>Статья 39. Применение индивидуальными предпринимателями патентной системы налогообложения</w:t>
      </w:r>
    </w:p>
    <w:p w:rsidR="00A83292" w:rsidRDefault="00A83292" w:rsidP="00F5565C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ЧР от 02.10.2012 N 56)</w:t>
      </w:r>
    </w:p>
    <w:p w:rsidR="00A83292" w:rsidRDefault="00F5565C" w:rsidP="00F5565C">
      <w:pPr>
        <w:pStyle w:val="ConsPlusNormal"/>
        <w:jc w:val="both"/>
      </w:pPr>
      <w:r>
        <w:t>…</w:t>
      </w:r>
    </w:p>
    <w:p w:rsidR="00A83292" w:rsidRDefault="00A83292" w:rsidP="00F5565C">
      <w:pPr>
        <w:pStyle w:val="ConsPlusNormal"/>
        <w:ind w:firstLine="540"/>
        <w:jc w:val="both"/>
      </w:pPr>
      <w:bookmarkStart w:id="2" w:name="P573"/>
      <w:bookmarkEnd w:id="2"/>
      <w:r>
        <w:t>2. Потенциально возможный к получению индивидуальными предпринимателями годовой доход по видам предпринимательской деятельности устанавливается в следующих размерах:</w:t>
      </w:r>
    </w:p>
    <w:p w:rsidR="00A83292" w:rsidRDefault="00A83292" w:rsidP="00F556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74"/>
      </w:tblGrid>
      <w:tr w:rsidR="00A8329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3292" w:rsidRDefault="00A83292" w:rsidP="00F5565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A83292" w:rsidRDefault="00A83292" w:rsidP="00F5565C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83292" w:rsidRDefault="00A83292" w:rsidP="00F5565C">
            <w:pPr>
              <w:pStyle w:val="ConsPlusNormal"/>
              <w:jc w:val="center"/>
            </w:pPr>
            <w:r>
              <w:t xml:space="preserve">Размеры потенциально </w:t>
            </w:r>
            <w:proofErr w:type="gramStart"/>
            <w:r>
              <w:t>возможного</w:t>
            </w:r>
            <w:proofErr w:type="gramEnd"/>
          </w:p>
          <w:p w:rsidR="00A83292" w:rsidRDefault="00A83292" w:rsidP="00F5565C">
            <w:pPr>
              <w:pStyle w:val="ConsPlusNormal"/>
              <w:jc w:val="center"/>
            </w:pPr>
            <w:r>
              <w:t xml:space="preserve">к получению </w:t>
            </w:r>
            <w:r>
              <w:lastRenderedPageBreak/>
              <w:t>индивидуальным предпринимателем годового дохода,</w:t>
            </w:r>
          </w:p>
          <w:p w:rsidR="00A83292" w:rsidRDefault="00A83292" w:rsidP="00F5565C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A8329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3292" w:rsidRDefault="00A83292" w:rsidP="00F5565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A83292" w:rsidRDefault="00A83292" w:rsidP="00F556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3292" w:rsidRDefault="00A83292" w:rsidP="00F5565C">
            <w:pPr>
              <w:pStyle w:val="ConsPlusNormal"/>
              <w:jc w:val="center"/>
            </w:pPr>
            <w:r>
              <w:t>3</w:t>
            </w:r>
          </w:p>
        </w:tc>
      </w:tr>
      <w:tr w:rsidR="00A8329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565C" w:rsidRDefault="00F5565C" w:rsidP="00F5565C">
            <w:pPr>
              <w:pStyle w:val="ConsPlusNormal"/>
              <w:jc w:val="center"/>
            </w:pPr>
            <w:r>
              <w:t>…</w:t>
            </w:r>
          </w:p>
          <w:p w:rsidR="00A83292" w:rsidRDefault="00A83292" w:rsidP="00F5565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5565C" w:rsidRDefault="00F5565C" w:rsidP="00F5565C">
            <w:pPr>
              <w:pStyle w:val="ConsPlusNormal"/>
              <w:jc w:val="both"/>
            </w:pPr>
          </w:p>
          <w:p w:rsidR="00A83292" w:rsidRDefault="00A83292" w:rsidP="00F5565C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292" w:rsidRDefault="00A83292" w:rsidP="00F5565C">
            <w:pPr>
              <w:pStyle w:val="ConsPlusNormal"/>
              <w:jc w:val="center"/>
            </w:pPr>
            <w:r>
              <w:t>204</w:t>
            </w:r>
          </w:p>
        </w:tc>
      </w:tr>
    </w:tbl>
    <w:p w:rsidR="00A83292" w:rsidRDefault="00F5565C" w:rsidP="00F5565C">
      <w:pPr>
        <w:pStyle w:val="ConsPlusNormal"/>
        <w:jc w:val="both"/>
      </w:pPr>
      <w:bookmarkStart w:id="3" w:name="P743"/>
      <w:bookmarkEnd w:id="3"/>
      <w:r>
        <w:t>…</w:t>
      </w:r>
    </w:p>
    <w:p w:rsidR="00A83292" w:rsidRDefault="00A83292" w:rsidP="00F5565C">
      <w:pPr>
        <w:pStyle w:val="ConsPlusTitle"/>
        <w:ind w:firstLine="540"/>
        <w:jc w:val="both"/>
        <w:outlineLvl w:val="4"/>
      </w:pPr>
      <w:r>
        <w:t>Статья 39.1. Налоговая ставка по налогу, взимаемому в связи с применением упрощенной системы налогообложения</w:t>
      </w:r>
    </w:p>
    <w:p w:rsidR="00A83292" w:rsidRDefault="00A83292" w:rsidP="00F5565C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ЧР от 22.06.2015 N 27)</w:t>
      </w:r>
    </w:p>
    <w:p w:rsidR="00A83292" w:rsidRDefault="00F5565C" w:rsidP="00F5565C">
      <w:pPr>
        <w:pStyle w:val="ConsPlusNormal"/>
        <w:jc w:val="both"/>
      </w:pPr>
      <w:r>
        <w:t>…</w:t>
      </w:r>
    </w:p>
    <w:p w:rsidR="00A83292" w:rsidRDefault="00A83292" w:rsidP="00F5565C">
      <w:pPr>
        <w:pStyle w:val="ConsPlusNormal"/>
        <w:ind w:firstLine="540"/>
        <w:jc w:val="both"/>
      </w:pPr>
      <w:bookmarkStart w:id="4" w:name="P1040"/>
      <w:bookmarkEnd w:id="4"/>
      <w:r>
        <w:t xml:space="preserve">1.1. </w:t>
      </w:r>
      <w:proofErr w:type="gramStart"/>
      <w:r>
        <w:t xml:space="preserve">Для категории налогоплательщиков, по состоянию на 1 марта 2020 года осуществляющих в качестве основного вид экономической деятельности, вошедший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утвержденный Правительством Российской Федерации, и включенных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в единый реестр</w:t>
      </w:r>
      <w:proofErr w:type="gramEnd"/>
      <w:r>
        <w:t xml:space="preserve"> субъектов малого и среднего предпринимательства, ставка налога, взимаемого в связи с применением упрощенной системы налогообложения, устанавливается:</w:t>
      </w:r>
    </w:p>
    <w:p w:rsidR="00A83292" w:rsidRDefault="00F5565C" w:rsidP="00F5565C">
      <w:pPr>
        <w:pStyle w:val="ConsPlusNormal"/>
        <w:jc w:val="both"/>
      </w:pPr>
      <w:r>
        <w:t>…</w:t>
      </w:r>
    </w:p>
    <w:p w:rsidR="00A83292" w:rsidRDefault="00A83292" w:rsidP="00F5565C">
      <w:pPr>
        <w:pStyle w:val="ConsPlusNormal"/>
        <w:ind w:firstLine="540"/>
        <w:jc w:val="both"/>
      </w:pPr>
      <w:r>
        <w:t>Пониженные налоговые ставки применяются налогоплательщиками при соблюдении следующих условий:</w:t>
      </w:r>
    </w:p>
    <w:p w:rsidR="00A83292" w:rsidRDefault="00A83292" w:rsidP="00F5565C">
      <w:pPr>
        <w:pStyle w:val="ConsPlusNormal"/>
        <w:ind w:firstLine="540"/>
        <w:jc w:val="both"/>
      </w:pPr>
      <w:r>
        <w:t>по итогам предыдущего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применяется пониженная налоговая ставка, в общем объеме доходов от реализации товаров (работ, услуг) должна быть не менее 70 процентов;</w:t>
      </w:r>
    </w:p>
    <w:p w:rsidR="00F5565C" w:rsidRDefault="00F5565C" w:rsidP="00F5565C">
      <w:pPr>
        <w:pStyle w:val="ConsPlusTitle"/>
        <w:jc w:val="both"/>
        <w:outlineLvl w:val="4"/>
      </w:pPr>
      <w:bookmarkStart w:id="5" w:name="P1078"/>
      <w:bookmarkEnd w:id="5"/>
      <w:r>
        <w:t>…</w:t>
      </w:r>
    </w:p>
    <w:p w:rsidR="00A83292" w:rsidRDefault="00A83292" w:rsidP="00F5565C">
      <w:pPr>
        <w:pStyle w:val="ConsPlusTitle"/>
        <w:ind w:firstLine="540"/>
        <w:jc w:val="both"/>
        <w:outlineLvl w:val="4"/>
      </w:pPr>
      <w:r>
        <w:t>Статья 39.2. Налоговая ставка в размере 0 процентов при применении упрощенной системы налогообложения</w:t>
      </w:r>
    </w:p>
    <w:p w:rsidR="00A83292" w:rsidRDefault="00A83292" w:rsidP="00F5565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ЧР от 22.06.2015 N 27)</w:t>
      </w:r>
    </w:p>
    <w:p w:rsidR="00A83292" w:rsidRDefault="00F5565C" w:rsidP="00F5565C">
      <w:pPr>
        <w:pStyle w:val="ConsPlusNormal"/>
        <w:jc w:val="both"/>
      </w:pPr>
      <w:r>
        <w:t>…</w:t>
      </w:r>
    </w:p>
    <w:p w:rsidR="00A83292" w:rsidRDefault="00A83292" w:rsidP="00F5565C">
      <w:pPr>
        <w:pStyle w:val="ConsPlusNormal"/>
        <w:ind w:firstLine="540"/>
        <w:jc w:val="both"/>
      </w:pPr>
      <w:r>
        <w:t xml:space="preserve">предельный размер доходов от реализации, определяемых в соответствии со </w:t>
      </w:r>
      <w:hyperlink r:id="rId16" w:history="1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полученных индивидуальным предпринимателем при осуществлении вида деятельности, в отношении которого применяется налоговая ставка в размере 0 процентов, за налоговый период не превышает 12 млн. рублей;</w:t>
      </w:r>
    </w:p>
    <w:p w:rsidR="00A83292" w:rsidRDefault="00F5565C" w:rsidP="00F5565C">
      <w:pPr>
        <w:pStyle w:val="ConsPlusNormal"/>
        <w:jc w:val="both"/>
      </w:pPr>
      <w:r>
        <w:t>…</w:t>
      </w:r>
    </w:p>
    <w:p w:rsidR="00A83292" w:rsidRDefault="00A83292" w:rsidP="00F5565C">
      <w:pPr>
        <w:pStyle w:val="ConsPlusNormal"/>
        <w:jc w:val="right"/>
      </w:pPr>
      <w:r>
        <w:t>Президент</w:t>
      </w:r>
    </w:p>
    <w:p w:rsidR="00A83292" w:rsidRDefault="00A83292" w:rsidP="00F5565C">
      <w:pPr>
        <w:pStyle w:val="ConsPlusNormal"/>
        <w:jc w:val="right"/>
      </w:pPr>
      <w:r>
        <w:t>Чувашской Республики</w:t>
      </w:r>
    </w:p>
    <w:p w:rsidR="00A83292" w:rsidRDefault="00A83292" w:rsidP="00F5565C">
      <w:pPr>
        <w:pStyle w:val="ConsPlusNormal"/>
        <w:jc w:val="right"/>
      </w:pPr>
      <w:r>
        <w:t>Н.ФЕДОРОВ</w:t>
      </w:r>
    </w:p>
    <w:p w:rsidR="00A83292" w:rsidRDefault="00A83292" w:rsidP="00F5565C">
      <w:pPr>
        <w:pStyle w:val="ConsPlusNormal"/>
      </w:pPr>
      <w:r>
        <w:t>г. Чебоксары</w:t>
      </w:r>
    </w:p>
    <w:p w:rsidR="00A83292" w:rsidRDefault="00A83292" w:rsidP="00F5565C">
      <w:pPr>
        <w:pStyle w:val="ConsPlusNormal"/>
      </w:pPr>
      <w:r>
        <w:t>23 июля 2001 года</w:t>
      </w:r>
    </w:p>
    <w:p w:rsidR="00A83292" w:rsidRDefault="00A83292" w:rsidP="00F5565C">
      <w:pPr>
        <w:pStyle w:val="ConsPlusNormal"/>
      </w:pPr>
      <w:r>
        <w:t>N 38</w:t>
      </w:r>
    </w:p>
    <w:sectPr w:rsidR="00A83292" w:rsidSect="0019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92"/>
    <w:rsid w:val="00594F55"/>
    <w:rsid w:val="00A83292"/>
    <w:rsid w:val="00BE1544"/>
    <w:rsid w:val="00F5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32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3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32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3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32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32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32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32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3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32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3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32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32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32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05C49EAABAC484DE759252C7384737ED76742DC098A6B36678D7638FF3B7BCAFD428854BE3F5E60EB4DD1CE15F15A1946D5FB90C5CD1951791D6F25S0M" TargetMode="External"/><Relationship Id="rId13" Type="http://schemas.openxmlformats.org/officeDocument/2006/relationships/hyperlink" Target="consultantplus://offline/ref=06105C49EAABAC484DE759252C7384737ED76742DC08886E33688D7638FF3B7BCAFD428854BE3F5E60EB4CD0C815F15A1946D5FB90C5CD1951791D6F25S0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05C49EAABAC484DE759252C7384737ED76742D80E8F633764D07C30A63779CDF21D9F53F7335F60EB4DD8C04AF44F081ED9F88CDBC8024D7B1F26SCM" TargetMode="External"/><Relationship Id="rId12" Type="http://schemas.openxmlformats.org/officeDocument/2006/relationships/hyperlink" Target="consultantplus://offline/ref=06105C49EAABAC484DE759252C7384737ED76742D8098F623364D07C30A63779CDF21D9F53F7335F60EB4CD6C04AF44F081ED9F88CDBC8024D7B1F26SC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105C49EAABAC484DE747283A1FDA7775D43B49D90F803D6A3B8B2167AF3D2E8ABD44DD17FB3A5960E019818F4BA80A5F0DD8FF8CD9CD1E24S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05C49EAABAC484DE747283A1FDA7775D43B49D90F803D6A3B8B2167AF3D2E8ABD44DE14F2390B31AF18DDCA1CBB0B580DDAFA902DSAM" TargetMode="External"/><Relationship Id="rId11" Type="http://schemas.openxmlformats.org/officeDocument/2006/relationships/hyperlink" Target="consultantplus://offline/ref=06105C49EAABAC484DE759252C7384737ED76742DB0A8F693E64D07C30A63779CDF21D9F53F7335F60EB4CD1C04AF44F081ED9F88CDBC8024D7B1F26SCM" TargetMode="External"/><Relationship Id="rId5" Type="http://schemas.openxmlformats.org/officeDocument/2006/relationships/hyperlink" Target="consultantplus://offline/ref=06105C49EAABAC484DE759252C7384737ED76742DF0B826E3564D07C30A63779CDF21D9F53F7335F60EB4CD1C04AF44F081ED9F88CDBC8024D7B1F26SCM" TargetMode="External"/><Relationship Id="rId15" Type="http://schemas.openxmlformats.org/officeDocument/2006/relationships/hyperlink" Target="consultantplus://offline/ref=06105C49EAABAC484DE759252C7384737ED76742DC08886E33688D7638FF3B7BCAFD428854BE3F5E60EB4CD1CC15F15A1946D5FB90C5CD1951791D6F25S0M" TargetMode="External"/><Relationship Id="rId10" Type="http://schemas.openxmlformats.org/officeDocument/2006/relationships/hyperlink" Target="consultantplus://offline/ref=06105C49EAABAC484DE747283A1FDA7775D43B49D90F803D6A3B8B2167AF3D2E8ABD44DD17F93B5E65E019818F4BA80A5F0DD8FF8CD9CD1E24S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105C49EAABAC484DE759252C7384737ED76742D40C8E683764D07C30A63779CDF21D9F53F7335F60EB4FD4C04AF44F081ED9F88CDBC8024D7B1F26SCM" TargetMode="External"/><Relationship Id="rId14" Type="http://schemas.openxmlformats.org/officeDocument/2006/relationships/hyperlink" Target="consultantplus://offline/ref=06105C49EAABAC484DE747283A1FDA7775D93F4BDF0E803D6A3B8B2167AF3D2E98BD1CD116F82C5F65F54FD0C921S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ТЕ</dc:creator>
  <cp:lastModifiedBy>Семенова ТЕ</cp:lastModifiedBy>
  <cp:revision>2</cp:revision>
  <cp:lastPrinted>2021-05-12T12:31:00Z</cp:lastPrinted>
  <dcterms:created xsi:type="dcterms:W3CDTF">2021-05-12T12:18:00Z</dcterms:created>
  <dcterms:modified xsi:type="dcterms:W3CDTF">2021-05-12T12:31:00Z</dcterms:modified>
</cp:coreProperties>
</file>