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894E38" w:rsidTr="00894E38">
        <w:tc>
          <w:tcPr>
            <w:tcW w:w="4785" w:type="dxa"/>
          </w:tcPr>
          <w:p w:rsidR="00894E38" w:rsidRDefault="00894E38">
            <w:pPr>
              <w:pStyle w:val="ConsPlusTitle"/>
              <w:jc w:val="center"/>
            </w:pPr>
          </w:p>
        </w:tc>
        <w:tc>
          <w:tcPr>
            <w:tcW w:w="4786" w:type="dxa"/>
          </w:tcPr>
          <w:p w:rsidR="00894E38" w:rsidRPr="00894E38" w:rsidRDefault="00894E38" w:rsidP="00894E38">
            <w:pPr>
              <w:pStyle w:val="ConsPlusTitle"/>
              <w:jc w:val="right"/>
            </w:pPr>
            <w:r w:rsidRPr="00894E38">
              <w:t>Извлечение</w:t>
            </w:r>
          </w:p>
        </w:tc>
      </w:tr>
    </w:tbl>
    <w:p w:rsidR="00894E38" w:rsidRDefault="00894E38">
      <w:pPr>
        <w:pStyle w:val="ConsPlusTitle"/>
        <w:jc w:val="center"/>
      </w:pPr>
    </w:p>
    <w:p w:rsidR="00894E38" w:rsidRDefault="00894E38">
      <w:pPr>
        <w:pStyle w:val="ConsPlusTitle"/>
        <w:jc w:val="center"/>
      </w:pPr>
    </w:p>
    <w:p w:rsidR="00894E38" w:rsidRDefault="00894E38" w:rsidP="00894E38">
      <w:pPr>
        <w:pStyle w:val="ConsPlusTitle"/>
        <w:contextualSpacing/>
        <w:jc w:val="center"/>
      </w:pPr>
      <w:r>
        <w:t>КОНСТИТУЦИЯ</w:t>
      </w:r>
    </w:p>
    <w:p w:rsidR="00894E38" w:rsidRDefault="00894E38" w:rsidP="00894E38">
      <w:pPr>
        <w:pStyle w:val="ConsPlusTitle"/>
        <w:contextualSpacing/>
        <w:jc w:val="center"/>
        <w:outlineLvl w:val="0"/>
      </w:pPr>
    </w:p>
    <w:p w:rsidR="00894E38" w:rsidRDefault="00894E38" w:rsidP="00894E38">
      <w:pPr>
        <w:pStyle w:val="ConsPlusTitle"/>
        <w:contextualSpacing/>
        <w:jc w:val="center"/>
      </w:pPr>
      <w:r>
        <w:t>ЧУВАШСКОЙ РЕСПУБЛИКИ</w:t>
      </w:r>
    </w:p>
    <w:p w:rsidR="00894E38" w:rsidRDefault="00894E38" w:rsidP="00894E38">
      <w:pPr>
        <w:pStyle w:val="ConsPlusNormal"/>
        <w:contextualSpacing/>
        <w:jc w:val="both"/>
      </w:pPr>
    </w:p>
    <w:p w:rsidR="00894E38" w:rsidRDefault="00894E38" w:rsidP="00894E38">
      <w:pPr>
        <w:pStyle w:val="ConsPlusNormal"/>
        <w:contextualSpacing/>
        <w:jc w:val="right"/>
      </w:pPr>
      <w:proofErr w:type="gramStart"/>
      <w:r>
        <w:t>Принята</w:t>
      </w:r>
      <w:proofErr w:type="gramEnd"/>
    </w:p>
    <w:p w:rsidR="00894E38" w:rsidRDefault="00894E38" w:rsidP="00894E38">
      <w:pPr>
        <w:pStyle w:val="ConsPlusNormal"/>
        <w:contextualSpacing/>
        <w:jc w:val="right"/>
      </w:pPr>
      <w:r>
        <w:t>Государственным Советом</w:t>
      </w:r>
    </w:p>
    <w:p w:rsidR="00894E38" w:rsidRDefault="00894E38" w:rsidP="00894E38">
      <w:pPr>
        <w:pStyle w:val="ConsPlusNormal"/>
        <w:contextualSpacing/>
        <w:jc w:val="right"/>
      </w:pPr>
      <w:r>
        <w:t>Чувашской Республики</w:t>
      </w:r>
    </w:p>
    <w:p w:rsidR="00894E38" w:rsidRDefault="00894E38" w:rsidP="00894E38">
      <w:pPr>
        <w:pStyle w:val="ConsPlusNormal"/>
        <w:contextualSpacing/>
        <w:jc w:val="right"/>
      </w:pPr>
      <w:r>
        <w:t>30 ноября 2000 года</w:t>
      </w:r>
    </w:p>
    <w:p w:rsidR="00894E38" w:rsidRDefault="003C1650" w:rsidP="003C1650">
      <w:pPr>
        <w:pStyle w:val="ConsPlusTitle"/>
        <w:contextualSpacing/>
        <w:outlineLvl w:val="0"/>
      </w:pPr>
      <w:r>
        <w:t>…</w:t>
      </w:r>
    </w:p>
    <w:p w:rsidR="00894E38" w:rsidRDefault="00894E38" w:rsidP="00894E38">
      <w:pPr>
        <w:pStyle w:val="ConsPlusTitle"/>
        <w:contextualSpacing/>
        <w:jc w:val="center"/>
        <w:outlineLvl w:val="0"/>
      </w:pPr>
      <w:r>
        <w:t>Глава 4. ГЛАВА ЧУВАШСКОЙ РЕСПУБЛИКИ</w:t>
      </w:r>
    </w:p>
    <w:p w:rsidR="003C1650" w:rsidRDefault="003C1650" w:rsidP="00894E38">
      <w:pPr>
        <w:pStyle w:val="ConsPlusTitle"/>
        <w:spacing w:before="220"/>
        <w:contextualSpacing/>
        <w:jc w:val="center"/>
        <w:outlineLvl w:val="1"/>
      </w:pPr>
    </w:p>
    <w:p w:rsidR="00894E38" w:rsidRDefault="00894E38" w:rsidP="00894E38">
      <w:pPr>
        <w:pStyle w:val="ConsPlusTitle"/>
        <w:spacing w:before="220"/>
        <w:contextualSpacing/>
        <w:jc w:val="center"/>
        <w:outlineLvl w:val="1"/>
      </w:pPr>
      <w:r>
        <w:t>Статья 68</w:t>
      </w:r>
    </w:p>
    <w:p w:rsidR="003C1650" w:rsidRDefault="003C1650" w:rsidP="003C1650">
      <w:pPr>
        <w:pStyle w:val="ConsPlusTitle"/>
        <w:spacing w:before="220"/>
        <w:contextualSpacing/>
        <w:outlineLvl w:val="1"/>
      </w:pPr>
      <w:r>
        <w:t>…</w:t>
      </w:r>
    </w:p>
    <w:p w:rsidR="00894E38" w:rsidRDefault="00894E38" w:rsidP="00894E38">
      <w:pPr>
        <w:pStyle w:val="ConsPlusNormal"/>
        <w:spacing w:before="220"/>
        <w:ind w:firstLine="540"/>
        <w:contextualSpacing/>
        <w:jc w:val="both"/>
      </w:pPr>
      <w:r>
        <w:t xml:space="preserve">6. В течение срока своих полномочий Глава Чувашской Республики не может </w:t>
      </w:r>
      <w:proofErr w:type="gramStart"/>
      <w:r>
        <w:t>заниматься деятельностью и замещать</w:t>
      </w:r>
      <w:proofErr w:type="gramEnd"/>
      <w:r>
        <w:t xml:space="preserve"> должности, несовместимые со статусом высшего должностного лица субъекта Российской Федерации в соответствии с федеральными законами.</w:t>
      </w:r>
    </w:p>
    <w:p w:rsidR="00894E38" w:rsidRDefault="00894E38" w:rsidP="00894E38">
      <w:pPr>
        <w:pStyle w:val="ConsPlusNormal"/>
        <w:spacing w:before="220"/>
        <w:ind w:firstLine="540"/>
        <w:contextualSpacing/>
        <w:jc w:val="both"/>
      </w:pPr>
      <w:r>
        <w:t>На Главу Чувашской Республики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894E38" w:rsidRDefault="00894E38" w:rsidP="00894E38">
      <w:pPr>
        <w:pStyle w:val="ConsPlusNormal"/>
        <w:contextualSpacing/>
      </w:pPr>
    </w:p>
    <w:p w:rsidR="00894E38" w:rsidRDefault="00894E38" w:rsidP="00894E38">
      <w:pPr>
        <w:pStyle w:val="ConsPlusTitle"/>
        <w:spacing w:before="220"/>
        <w:contextualSpacing/>
        <w:jc w:val="center"/>
        <w:outlineLvl w:val="1"/>
      </w:pPr>
      <w:r>
        <w:t>Статья 69</w:t>
      </w:r>
    </w:p>
    <w:p w:rsidR="003C1650" w:rsidRDefault="003C1650" w:rsidP="003C1650">
      <w:pPr>
        <w:pStyle w:val="ConsPlusTitle"/>
        <w:spacing w:before="220"/>
        <w:contextualSpacing/>
        <w:outlineLvl w:val="1"/>
      </w:pPr>
      <w:r>
        <w:t>…</w:t>
      </w:r>
    </w:p>
    <w:p w:rsidR="00894E38" w:rsidRDefault="00894E38" w:rsidP="00894E38">
      <w:pPr>
        <w:pStyle w:val="ConsPlusNormal"/>
        <w:spacing w:before="220"/>
        <w:ind w:firstLine="540"/>
        <w:contextualSpacing/>
        <w:jc w:val="both"/>
      </w:pPr>
      <w:r>
        <w:t xml:space="preserve">2. Главой Чувашской Республики может быть избран гражданин Российской Федерации, обладающий в соответствии с </w:t>
      </w:r>
      <w:hyperlink r:id="rId5"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894E38" w:rsidRDefault="003C1650" w:rsidP="00894E38">
      <w:pPr>
        <w:pStyle w:val="ConsPlusNormal"/>
        <w:contextualSpacing/>
      </w:pPr>
      <w:r>
        <w:t>…</w:t>
      </w:r>
    </w:p>
    <w:p w:rsidR="00894E38" w:rsidRDefault="00894E38" w:rsidP="00894E38">
      <w:pPr>
        <w:pStyle w:val="ConsPlusTitle"/>
        <w:spacing w:before="220"/>
        <w:contextualSpacing/>
        <w:jc w:val="center"/>
        <w:outlineLvl w:val="1"/>
      </w:pPr>
      <w:r>
        <w:t>Статья 72</w:t>
      </w:r>
    </w:p>
    <w:p w:rsidR="00894E38" w:rsidRDefault="00894E38" w:rsidP="00894E38">
      <w:pPr>
        <w:pStyle w:val="ConsPlusNormal"/>
        <w:spacing w:before="220"/>
        <w:ind w:firstLine="540"/>
        <w:contextualSpacing/>
        <w:jc w:val="both"/>
      </w:pPr>
      <w:r>
        <w:t>Глава Чувашской Республики:</w:t>
      </w:r>
    </w:p>
    <w:p w:rsidR="003C1650" w:rsidRDefault="003C1650" w:rsidP="003C1650">
      <w:pPr>
        <w:pStyle w:val="ConsPlusNormal"/>
        <w:spacing w:before="220"/>
        <w:contextualSpacing/>
        <w:jc w:val="both"/>
      </w:pPr>
      <w:r>
        <w:t>…</w:t>
      </w:r>
    </w:p>
    <w:p w:rsidR="00894E38" w:rsidRDefault="00894E38" w:rsidP="00894E38">
      <w:pPr>
        <w:pStyle w:val="ConsPlusNormal"/>
        <w:spacing w:before="220"/>
        <w:ind w:firstLine="540"/>
        <w:contextualSpacing/>
        <w:jc w:val="both"/>
      </w:pPr>
      <w:r>
        <w:t>9) согласовывает представление Генерального прокурора Российской Федерации о назначении на должность Прокурора Чувашской Республики;</w:t>
      </w:r>
    </w:p>
    <w:p w:rsidR="00894E38" w:rsidRDefault="003C1650" w:rsidP="00894E38">
      <w:pPr>
        <w:pStyle w:val="ConsPlusNormal"/>
        <w:contextualSpacing/>
      </w:pPr>
      <w:r>
        <w:t>…</w:t>
      </w:r>
    </w:p>
    <w:p w:rsidR="00894E38" w:rsidRDefault="00894E38" w:rsidP="00894E38">
      <w:pPr>
        <w:pStyle w:val="ConsPlusTitle"/>
        <w:spacing w:before="220"/>
        <w:contextualSpacing/>
        <w:jc w:val="center"/>
        <w:outlineLvl w:val="1"/>
      </w:pPr>
      <w:r>
        <w:t>Статья 74</w:t>
      </w:r>
    </w:p>
    <w:p w:rsidR="003C1650" w:rsidRDefault="003C1650" w:rsidP="003C1650">
      <w:pPr>
        <w:pStyle w:val="ConsPlusNormal"/>
        <w:spacing w:before="220"/>
        <w:contextualSpacing/>
        <w:jc w:val="both"/>
      </w:pPr>
      <w:r>
        <w:t>…</w:t>
      </w:r>
    </w:p>
    <w:p w:rsidR="00894E38" w:rsidRDefault="00894E38" w:rsidP="00894E38">
      <w:pPr>
        <w:pStyle w:val="ConsPlusNormal"/>
        <w:spacing w:before="220"/>
        <w:ind w:firstLine="540"/>
        <w:contextualSpacing/>
        <w:jc w:val="both"/>
      </w:pPr>
      <w:r>
        <w:t>8)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94E38" w:rsidRDefault="003C1650" w:rsidP="00894E38">
      <w:pPr>
        <w:pStyle w:val="ConsPlusNormal"/>
        <w:contextualSpacing/>
      </w:pPr>
      <w:r>
        <w:t>…</w:t>
      </w:r>
    </w:p>
    <w:p w:rsidR="008B0F7B" w:rsidRDefault="008B0F7B" w:rsidP="00894E38">
      <w:pPr>
        <w:pStyle w:val="ConsPlusNormal"/>
        <w:contextualSpacing/>
      </w:pPr>
    </w:p>
    <w:p w:rsidR="008B0F7B" w:rsidRDefault="008B0F7B" w:rsidP="00894E38">
      <w:pPr>
        <w:pStyle w:val="ConsPlusNormal"/>
        <w:contextualSpacing/>
      </w:pPr>
    </w:p>
    <w:p w:rsidR="00894E38" w:rsidRDefault="00894E38" w:rsidP="00894E38">
      <w:pPr>
        <w:pStyle w:val="ConsPlusTitle"/>
        <w:spacing w:before="220"/>
        <w:contextualSpacing/>
        <w:jc w:val="center"/>
        <w:outlineLvl w:val="1"/>
      </w:pPr>
      <w:r>
        <w:lastRenderedPageBreak/>
        <w:t>Статья 80</w:t>
      </w:r>
    </w:p>
    <w:p w:rsidR="00894E38" w:rsidRDefault="00894E38" w:rsidP="00894E38">
      <w:pPr>
        <w:pStyle w:val="ConsPlusNormal"/>
        <w:spacing w:before="220"/>
        <w:ind w:firstLine="540"/>
        <w:contextualSpacing/>
        <w:jc w:val="both"/>
      </w:pPr>
      <w:r>
        <w:t>1. К ведению Государственного Совета Чувашской Республики относятся:</w:t>
      </w:r>
    </w:p>
    <w:p w:rsidR="003C1650" w:rsidRDefault="003C1650" w:rsidP="003C1650">
      <w:pPr>
        <w:pStyle w:val="ConsPlusNormal"/>
        <w:spacing w:before="220"/>
        <w:contextualSpacing/>
        <w:jc w:val="both"/>
      </w:pPr>
      <w:r>
        <w:t>…</w:t>
      </w:r>
    </w:p>
    <w:p w:rsidR="00894E38" w:rsidRDefault="00894E38" w:rsidP="00894E38">
      <w:pPr>
        <w:pStyle w:val="ConsPlusNormal"/>
        <w:spacing w:before="220"/>
        <w:ind w:firstLine="540"/>
        <w:contextualSpacing/>
        <w:jc w:val="both"/>
      </w:pPr>
      <w:r>
        <w:t>14) согласование представления Генерального прокурора Российской Федерации о назначении на должность Прокурора Чувашской Республики;</w:t>
      </w:r>
    </w:p>
    <w:p w:rsidR="003C1650" w:rsidRDefault="003C1650" w:rsidP="003C1650">
      <w:pPr>
        <w:pStyle w:val="ConsPlusNormal"/>
        <w:spacing w:before="220"/>
        <w:contextualSpacing/>
        <w:jc w:val="both"/>
      </w:pPr>
      <w:r>
        <w:t>…</w:t>
      </w:r>
    </w:p>
    <w:p w:rsidR="00894E38" w:rsidRDefault="00894E38" w:rsidP="00894E38">
      <w:pPr>
        <w:pStyle w:val="ConsPlusNormal"/>
        <w:spacing w:before="220"/>
        <w:ind w:firstLine="540"/>
        <w:contextualSpacing/>
        <w:jc w:val="both"/>
      </w:pPr>
      <w:r>
        <w:t>33) назначение представителей в квалификационную комиссию при Адвокатской палате Чувашской Республики;</w:t>
      </w:r>
    </w:p>
    <w:p w:rsidR="00894E38" w:rsidRDefault="00894E38" w:rsidP="00894E38">
      <w:pPr>
        <w:pStyle w:val="ConsPlusNormal"/>
        <w:spacing w:before="220"/>
        <w:ind w:firstLine="540"/>
        <w:contextualSpacing/>
        <w:jc w:val="both"/>
      </w:pPr>
      <w:r>
        <w:t xml:space="preserve">2. </w:t>
      </w:r>
      <w:proofErr w:type="gramStart"/>
      <w:r>
        <w:t>Государственный</w:t>
      </w:r>
      <w:proofErr w:type="gramEnd"/>
      <w:r>
        <w:t xml:space="preserve"> Совет Чувашской Республики принимает законы большинством голосов от установленного числа депутатов, а Конституция Чувашской Республики, изменения и дополнения к ней принимаются большинством не менее двух третей голосов от установленного числа депутатов.</w:t>
      </w:r>
    </w:p>
    <w:p w:rsidR="00894E38" w:rsidRDefault="00894E38" w:rsidP="00894E38">
      <w:pPr>
        <w:pStyle w:val="ConsPlusNormal"/>
        <w:contextualSpacing/>
      </w:pPr>
    </w:p>
    <w:p w:rsidR="008B0F7B" w:rsidRDefault="008B0F7B" w:rsidP="008B0F7B">
      <w:pPr>
        <w:autoSpaceDE w:val="0"/>
        <w:autoSpaceDN w:val="0"/>
        <w:adjustRightInd w:val="0"/>
        <w:spacing w:after="0" w:line="240" w:lineRule="auto"/>
        <w:contextualSpacing/>
        <w:jc w:val="center"/>
        <w:outlineLvl w:val="0"/>
        <w:rPr>
          <w:rFonts w:ascii="Calibri" w:hAnsi="Calibri" w:cs="Calibri"/>
          <w:b/>
          <w:bCs/>
        </w:rPr>
      </w:pPr>
      <w:r>
        <w:rPr>
          <w:rFonts w:ascii="Calibri" w:hAnsi="Calibri" w:cs="Calibri"/>
          <w:b/>
          <w:bCs/>
        </w:rPr>
        <w:t>Статья 83</w:t>
      </w:r>
    </w:p>
    <w:p w:rsidR="008B0F7B" w:rsidRPr="008B0F7B" w:rsidRDefault="008B0F7B" w:rsidP="008B0F7B">
      <w:pPr>
        <w:autoSpaceDE w:val="0"/>
        <w:autoSpaceDN w:val="0"/>
        <w:adjustRightInd w:val="0"/>
        <w:spacing w:before="220" w:after="0" w:line="240" w:lineRule="auto"/>
        <w:ind w:firstLine="540"/>
        <w:contextualSpacing/>
        <w:jc w:val="both"/>
        <w:rPr>
          <w:rFonts w:ascii="Calibri" w:hAnsi="Calibri" w:cs="Calibri"/>
          <w:bCs/>
        </w:rPr>
      </w:pPr>
      <w:r w:rsidRPr="008B0F7B">
        <w:rPr>
          <w:rFonts w:ascii="Calibri" w:hAnsi="Calibri" w:cs="Calibri"/>
          <w:bCs/>
        </w:rPr>
        <w:t>2. Председатель Государственного Совета Чувашской Республики избирается из числа депутатов Государственного Совета Чувашской Республики большинством голосов от установленного числа депутатов на срок полномочий Государственного Совета Чувашской Республики.</w:t>
      </w:r>
    </w:p>
    <w:p w:rsidR="008B0F7B" w:rsidRDefault="008B0F7B" w:rsidP="008B0F7B">
      <w:pPr>
        <w:autoSpaceDE w:val="0"/>
        <w:autoSpaceDN w:val="0"/>
        <w:adjustRightInd w:val="0"/>
        <w:spacing w:before="220" w:after="0" w:line="240" w:lineRule="auto"/>
        <w:contextualSpacing/>
        <w:jc w:val="center"/>
        <w:outlineLvl w:val="0"/>
        <w:rPr>
          <w:rFonts w:ascii="Calibri" w:hAnsi="Calibri" w:cs="Calibri"/>
          <w:b/>
          <w:bCs/>
        </w:rPr>
      </w:pPr>
      <w:r>
        <w:rPr>
          <w:rFonts w:ascii="Calibri" w:hAnsi="Calibri" w:cs="Calibri"/>
          <w:b/>
          <w:bCs/>
        </w:rPr>
        <w:t>Статья 84</w:t>
      </w:r>
    </w:p>
    <w:p w:rsidR="008B0F7B" w:rsidRPr="008B0F7B" w:rsidRDefault="008B0F7B" w:rsidP="008B0F7B">
      <w:pPr>
        <w:autoSpaceDE w:val="0"/>
        <w:autoSpaceDN w:val="0"/>
        <w:adjustRightInd w:val="0"/>
        <w:spacing w:after="0" w:line="240" w:lineRule="auto"/>
        <w:contextualSpacing/>
        <w:jc w:val="both"/>
        <w:rPr>
          <w:rFonts w:ascii="Calibri" w:hAnsi="Calibri" w:cs="Calibri"/>
          <w:bCs/>
        </w:rPr>
      </w:pPr>
    </w:p>
    <w:p w:rsidR="008B0F7B" w:rsidRPr="008B0F7B" w:rsidRDefault="008B0F7B" w:rsidP="008B0F7B">
      <w:pPr>
        <w:autoSpaceDE w:val="0"/>
        <w:autoSpaceDN w:val="0"/>
        <w:adjustRightInd w:val="0"/>
        <w:spacing w:after="0" w:line="240" w:lineRule="auto"/>
        <w:ind w:firstLine="540"/>
        <w:contextualSpacing/>
        <w:jc w:val="both"/>
        <w:rPr>
          <w:rFonts w:ascii="Calibri" w:hAnsi="Calibri" w:cs="Calibri"/>
          <w:bCs/>
        </w:rPr>
      </w:pPr>
      <w:r w:rsidRPr="008B0F7B">
        <w:rPr>
          <w:rFonts w:ascii="Calibri" w:hAnsi="Calibri" w:cs="Calibri"/>
          <w:bCs/>
        </w:rPr>
        <w:t>1. Депутатом Государственного Совета Чувашской Республики может быть избран гражданин Российской Федерации, достигший 21 года и имеющий право участвовать в выборах.</w:t>
      </w:r>
    </w:p>
    <w:p w:rsidR="008B0F7B" w:rsidRDefault="008B0F7B" w:rsidP="00894E38">
      <w:pPr>
        <w:pStyle w:val="ConsPlusNormal"/>
        <w:contextualSpacing/>
      </w:pPr>
    </w:p>
    <w:p w:rsidR="00894E38" w:rsidRDefault="00894E38" w:rsidP="00894E38">
      <w:pPr>
        <w:pStyle w:val="ConsPlusTitle"/>
        <w:spacing w:before="220"/>
        <w:contextualSpacing/>
        <w:jc w:val="center"/>
        <w:outlineLvl w:val="0"/>
      </w:pPr>
      <w:r>
        <w:t>Глава 7. СУДЕБНАЯ ВЛАСТЬ И ПРОКУРАТУРА</w:t>
      </w:r>
    </w:p>
    <w:p w:rsidR="00894E38" w:rsidRDefault="00894E38" w:rsidP="00894E38">
      <w:pPr>
        <w:pStyle w:val="ConsPlusTitle"/>
        <w:contextualSpacing/>
        <w:jc w:val="center"/>
      </w:pPr>
      <w:r>
        <w:t>В ЧУВАШСКОЙ РЕСПУБЛИКЕ</w:t>
      </w:r>
    </w:p>
    <w:p w:rsidR="00894E38" w:rsidRDefault="003C1650" w:rsidP="00894E38">
      <w:pPr>
        <w:pStyle w:val="ConsPlusNormal"/>
        <w:contextualSpacing/>
      </w:pPr>
      <w:r>
        <w:t>…</w:t>
      </w:r>
    </w:p>
    <w:p w:rsidR="00894E38" w:rsidRDefault="00894E38" w:rsidP="00894E38">
      <w:pPr>
        <w:pStyle w:val="ConsPlusTitle"/>
        <w:spacing w:before="220"/>
        <w:contextualSpacing/>
        <w:jc w:val="center"/>
        <w:outlineLvl w:val="1"/>
      </w:pPr>
      <w:r>
        <w:t>Статья 93</w:t>
      </w:r>
    </w:p>
    <w:p w:rsidR="00894E38" w:rsidRDefault="00894E38" w:rsidP="00894E38">
      <w:pPr>
        <w:pStyle w:val="ConsPlusNormal"/>
        <w:spacing w:before="220"/>
        <w:ind w:firstLine="540"/>
        <w:contextualSpacing/>
        <w:jc w:val="both"/>
      </w:pPr>
      <w:r>
        <w:t xml:space="preserve">1. Судебная система в Чувашской Республике устанавливается в </w:t>
      </w:r>
      <w:proofErr w:type="gramStart"/>
      <w:r>
        <w:t>соответствии</w:t>
      </w:r>
      <w:proofErr w:type="gramEnd"/>
      <w:r>
        <w:t xml:space="preserve"> с </w:t>
      </w:r>
      <w:hyperlink r:id="rId6" w:history="1">
        <w:r>
          <w:rPr>
            <w:color w:val="0000FF"/>
          </w:rPr>
          <w:t>Конституцией</w:t>
        </w:r>
      </w:hyperlink>
      <w:r>
        <w:t xml:space="preserve"> Российской Федерации и федеральным конституционным законом. В соответствии с законом Чувашской Республики назначаются мировые судьи.</w:t>
      </w:r>
    </w:p>
    <w:p w:rsidR="00894E38" w:rsidRDefault="00894E38" w:rsidP="00894E38">
      <w:pPr>
        <w:pStyle w:val="ConsPlusNormal"/>
        <w:spacing w:before="220"/>
        <w:ind w:firstLine="540"/>
        <w:contextualSpacing/>
        <w:jc w:val="both"/>
      </w:pPr>
      <w:r>
        <w:t xml:space="preserve">2. Судьи </w:t>
      </w:r>
      <w:proofErr w:type="gramStart"/>
      <w:r>
        <w:t>независимы и подчиняются</w:t>
      </w:r>
      <w:proofErr w:type="gramEnd"/>
      <w:r>
        <w:t xml:space="preserve"> только </w:t>
      </w:r>
      <w:hyperlink r:id="rId7" w:history="1">
        <w:r>
          <w:rPr>
            <w:color w:val="0000FF"/>
          </w:rPr>
          <w:t>Конституции</w:t>
        </w:r>
      </w:hyperlink>
      <w:r>
        <w:t xml:space="preserve"> Российской Федерации и закону.</w:t>
      </w:r>
    </w:p>
    <w:p w:rsidR="00894E38" w:rsidRDefault="00894E38" w:rsidP="00894E38">
      <w:pPr>
        <w:pStyle w:val="ConsPlusTitle"/>
        <w:spacing w:before="220"/>
        <w:contextualSpacing/>
        <w:jc w:val="center"/>
        <w:outlineLvl w:val="1"/>
      </w:pPr>
      <w:r>
        <w:t>Статья 94</w:t>
      </w:r>
    </w:p>
    <w:p w:rsidR="00894E38" w:rsidRDefault="00894E38" w:rsidP="00894E38">
      <w:pPr>
        <w:pStyle w:val="ConsPlusNormal"/>
        <w:contextualSpacing/>
        <w:jc w:val="both"/>
      </w:pPr>
    </w:p>
    <w:p w:rsidR="00894E38" w:rsidRDefault="00894E38" w:rsidP="00894E38">
      <w:pPr>
        <w:pStyle w:val="ConsPlusNormal"/>
        <w:ind w:firstLine="540"/>
        <w:contextualSpacing/>
        <w:jc w:val="both"/>
      </w:pPr>
      <w:r>
        <w:t>Организация, полномочия, порядок формирования и деятельности федеральных судов определяются федеральным конституционным законом, а в отношении мировых судей - также Конституцией Чувашской Республики и законами Чувашской Республики в пределах полномочий Чувашской Республики.</w:t>
      </w:r>
    </w:p>
    <w:p w:rsidR="00894E38" w:rsidRDefault="00894E38" w:rsidP="00894E38">
      <w:pPr>
        <w:pStyle w:val="ConsPlusTitle"/>
        <w:spacing w:before="220"/>
        <w:contextualSpacing/>
        <w:jc w:val="center"/>
        <w:outlineLvl w:val="1"/>
      </w:pPr>
      <w:r>
        <w:t>Статья 95</w:t>
      </w:r>
    </w:p>
    <w:p w:rsidR="00894E38" w:rsidRDefault="00894E38" w:rsidP="00894E38">
      <w:pPr>
        <w:pStyle w:val="ConsPlusNormal"/>
        <w:contextualSpacing/>
        <w:jc w:val="both"/>
      </w:pPr>
    </w:p>
    <w:p w:rsidR="00894E38" w:rsidRDefault="00894E38" w:rsidP="00894E38">
      <w:pPr>
        <w:pStyle w:val="ConsPlusNormal"/>
        <w:ind w:firstLine="540"/>
        <w:contextualSpacing/>
        <w:jc w:val="both"/>
      </w:pPr>
      <w:r>
        <w:t xml:space="preserve">1. Прокуратура Чувашской Республики осуществляет надзор за соблюдением </w:t>
      </w:r>
      <w:hyperlink r:id="rId8" w:history="1">
        <w:r>
          <w:rPr>
            <w:color w:val="0000FF"/>
          </w:rPr>
          <w:t>Конституции</w:t>
        </w:r>
      </w:hyperlink>
      <w:r>
        <w:t xml:space="preserve"> Российской Федерации и исполнением законов, выполняет иные функции, установленные федеральными законами.</w:t>
      </w:r>
    </w:p>
    <w:p w:rsidR="00894E38" w:rsidRDefault="00894E38" w:rsidP="00894E38">
      <w:pPr>
        <w:pStyle w:val="ConsPlusNormal"/>
        <w:spacing w:before="220"/>
        <w:ind w:firstLine="540"/>
        <w:contextualSpacing/>
        <w:jc w:val="both"/>
      </w:pPr>
      <w:r>
        <w:t>2. В соответствии с законодательством Российской Федерации Прокурор Чувашской Республики назначается на должность Президентом Российской Федерации по представлению Генерального прокурора Российской Федерации, согласованному с Главой Чувашской Республики и Государственным Советом Чувашской Республики.</w:t>
      </w:r>
    </w:p>
    <w:p w:rsidR="00894E38" w:rsidRDefault="00894E38" w:rsidP="00894E38">
      <w:pPr>
        <w:pStyle w:val="ConsPlusNormal"/>
        <w:contextualSpacing/>
        <w:jc w:val="both"/>
      </w:pPr>
      <w:r>
        <w:t xml:space="preserve">(п. 2 в ред. </w:t>
      </w:r>
      <w:hyperlink r:id="rId9" w:history="1">
        <w:r>
          <w:rPr>
            <w:color w:val="0000FF"/>
          </w:rPr>
          <w:t>Закона</w:t>
        </w:r>
      </w:hyperlink>
      <w:r>
        <w:t xml:space="preserve"> ЧР от 26.06.2014 N 34)</w:t>
      </w:r>
    </w:p>
    <w:p w:rsidR="00894E38" w:rsidRDefault="00894E38" w:rsidP="00894E38">
      <w:pPr>
        <w:pStyle w:val="ConsPlusNormal"/>
        <w:spacing w:before="220"/>
        <w:ind w:firstLine="540"/>
        <w:contextualSpacing/>
        <w:jc w:val="both"/>
      </w:pPr>
      <w:r>
        <w:t xml:space="preserve">3. Прокуроры районов и городов </w:t>
      </w:r>
      <w:proofErr w:type="gramStart"/>
      <w:r>
        <w:t>назначаются на должность и освобождаются</w:t>
      </w:r>
      <w:proofErr w:type="gramEnd"/>
      <w:r>
        <w:t xml:space="preserve"> от должности Генеральным прокурором Российской Федерации.</w:t>
      </w:r>
    </w:p>
    <w:p w:rsidR="00894E38" w:rsidRDefault="00894E38" w:rsidP="00894E38">
      <w:pPr>
        <w:pStyle w:val="ConsPlusTitle"/>
        <w:spacing w:before="220"/>
        <w:contextualSpacing/>
        <w:jc w:val="center"/>
        <w:outlineLvl w:val="0"/>
      </w:pPr>
      <w:bookmarkStart w:id="0" w:name="_GoBack"/>
      <w:bookmarkEnd w:id="0"/>
      <w:r>
        <w:lastRenderedPageBreak/>
        <w:t>Глава 8. МЕСТНОЕ САМОУПРАВЛЕНИЕ</w:t>
      </w:r>
    </w:p>
    <w:p w:rsidR="00894E38" w:rsidRDefault="00894E38" w:rsidP="00894E38">
      <w:pPr>
        <w:pStyle w:val="ConsPlusNormal"/>
        <w:contextualSpacing/>
        <w:jc w:val="both"/>
      </w:pPr>
    </w:p>
    <w:p w:rsidR="00894E38" w:rsidRDefault="00894E38" w:rsidP="00894E38">
      <w:pPr>
        <w:pStyle w:val="ConsPlusTitle"/>
        <w:contextualSpacing/>
        <w:jc w:val="center"/>
        <w:outlineLvl w:val="1"/>
      </w:pPr>
      <w:r>
        <w:t>Статья 96</w:t>
      </w:r>
    </w:p>
    <w:p w:rsidR="00894E38" w:rsidRDefault="003C1650" w:rsidP="00894E38">
      <w:pPr>
        <w:pStyle w:val="ConsPlusNormal"/>
        <w:contextualSpacing/>
        <w:outlineLvl w:val="1"/>
      </w:pPr>
      <w:r>
        <w:t>…</w:t>
      </w:r>
    </w:p>
    <w:p w:rsidR="00894E38" w:rsidRDefault="00894E38" w:rsidP="00894E38">
      <w:pPr>
        <w:pStyle w:val="ConsPlusNormal"/>
        <w:spacing w:before="220"/>
        <w:ind w:firstLine="540"/>
        <w:contextualSpacing/>
        <w:jc w:val="both"/>
      </w:pPr>
      <w:r>
        <w:t>3. Органы местного самоуправления не входят в систему органов государственной власти Чувашской Республики.</w:t>
      </w:r>
    </w:p>
    <w:p w:rsidR="00894E38" w:rsidRDefault="00894E38" w:rsidP="00894E38">
      <w:pPr>
        <w:pStyle w:val="ConsPlusNormal"/>
        <w:spacing w:before="220"/>
        <w:ind w:firstLine="540"/>
        <w:contextualSpacing/>
        <w:jc w:val="both"/>
      </w:pPr>
      <w:r>
        <w:t>4. Изменение границ муниципального образования допускается с учетом мнения населения соответствующих территорий.</w:t>
      </w:r>
    </w:p>
    <w:p w:rsidR="00894E38" w:rsidRDefault="003C1650" w:rsidP="00894E38">
      <w:pPr>
        <w:pStyle w:val="ConsPlusNormal"/>
        <w:contextualSpacing/>
      </w:pPr>
      <w:r>
        <w:t>…</w:t>
      </w:r>
    </w:p>
    <w:p w:rsidR="00894E38" w:rsidRDefault="00894E38" w:rsidP="00894E38">
      <w:pPr>
        <w:pStyle w:val="ConsPlusTitle"/>
        <w:spacing w:before="220"/>
        <w:contextualSpacing/>
        <w:jc w:val="center"/>
        <w:outlineLvl w:val="1"/>
      </w:pPr>
      <w:r>
        <w:t>Статья 99</w:t>
      </w:r>
    </w:p>
    <w:p w:rsidR="00894E38" w:rsidRDefault="00894E38" w:rsidP="00894E38">
      <w:pPr>
        <w:pStyle w:val="ConsPlusNormal"/>
        <w:contextualSpacing/>
        <w:jc w:val="both"/>
      </w:pPr>
    </w:p>
    <w:p w:rsidR="00894E38" w:rsidRDefault="00894E38" w:rsidP="00894E38">
      <w:pPr>
        <w:pStyle w:val="ConsPlusNormal"/>
        <w:ind w:firstLine="540"/>
        <w:contextualSpacing/>
        <w:jc w:val="both"/>
      </w:pPr>
      <w:r>
        <w:t xml:space="preserve">1. Органы местного самоуправления самостоятельно управляют муниципальной собственностью, формируют, </w:t>
      </w:r>
      <w:proofErr w:type="gramStart"/>
      <w:r>
        <w:t>утверждают и исполняют</w:t>
      </w:r>
      <w:proofErr w:type="gramEnd"/>
      <w:r>
        <w:t xml:space="preserve"> местный бюджет, устанавливают местные налоги, осуществляют охрану общественного порядка, а также решают иные вопросы местного значения.</w:t>
      </w:r>
    </w:p>
    <w:p w:rsidR="00894E38" w:rsidRDefault="00894E38" w:rsidP="00894E38">
      <w:pPr>
        <w:pStyle w:val="ConsPlusNormal"/>
        <w:spacing w:before="220"/>
        <w:ind w:firstLine="540"/>
        <w:contextualSpacing/>
        <w:jc w:val="both"/>
      </w:pPr>
      <w:r>
        <w:t>2. Органы местного самоуправления могут наделяться законом Чувашской Республики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органам государственной власти Чувашской Республики.</w:t>
      </w:r>
    </w:p>
    <w:p w:rsidR="00894E38" w:rsidRDefault="00894E38" w:rsidP="00894E38">
      <w:pPr>
        <w:pStyle w:val="ConsPlusTitle"/>
        <w:spacing w:before="220"/>
        <w:contextualSpacing/>
        <w:jc w:val="center"/>
        <w:outlineLvl w:val="1"/>
      </w:pPr>
      <w:r>
        <w:t>Статья 100</w:t>
      </w:r>
    </w:p>
    <w:p w:rsidR="00894E38" w:rsidRDefault="00894E38" w:rsidP="00894E38">
      <w:pPr>
        <w:pStyle w:val="ConsPlusNormal"/>
        <w:contextualSpacing/>
        <w:jc w:val="both"/>
      </w:pPr>
    </w:p>
    <w:p w:rsidR="00894E38" w:rsidRDefault="00894E38" w:rsidP="00894E38">
      <w:pPr>
        <w:pStyle w:val="ConsPlusNormal"/>
        <w:ind w:firstLine="540"/>
        <w:contextualSpacing/>
        <w:jc w:val="both"/>
      </w:pPr>
      <w:r>
        <w:t xml:space="preserve">Местное самоуправление в Чувашской Республике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Чувашской Республики, и запретом на ограничение прав местного самоуправления, установленных </w:t>
      </w:r>
      <w:hyperlink r:id="rId10" w:history="1">
        <w:r>
          <w:rPr>
            <w:color w:val="0000FF"/>
          </w:rPr>
          <w:t>Конституцией</w:t>
        </w:r>
      </w:hyperlink>
      <w:r>
        <w:t xml:space="preserve"> Российской Федерации и федеральными законами.</w:t>
      </w:r>
    </w:p>
    <w:p w:rsidR="00C719FF" w:rsidRDefault="00C719FF" w:rsidP="00894E38">
      <w:pPr>
        <w:contextualSpacing/>
      </w:pPr>
    </w:p>
    <w:sectPr w:rsidR="00C719FF" w:rsidSect="008B0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38"/>
    <w:rsid w:val="003C1650"/>
    <w:rsid w:val="00894E38"/>
    <w:rsid w:val="008B0F7B"/>
    <w:rsid w:val="00C7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E3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89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C16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E3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89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C16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EB43DD85E48DC265A931EDE6EBFE442EA9B42E7C38327C0D8158EC352494BA2A057193DF78BA9B90DF6a6w2F" TargetMode="External"/><Relationship Id="rId3" Type="http://schemas.openxmlformats.org/officeDocument/2006/relationships/settings" Target="settings.xml"/><Relationship Id="rId7" Type="http://schemas.openxmlformats.org/officeDocument/2006/relationships/hyperlink" Target="consultantplus://offline/ref=203EB43DD85E48DC265A931EDE6EBFE442EA9B42E7C38327C0D8158EC3525B4BFAAC561926F48CBCEF5CB036AFAB59FC0E6594651484a6w9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03EB43DD85E48DC265A931EDE6EBFE442EA9B42E7C38327C0D8158EC3525B4BFAAC561926F58ABCEF5CB036AFAB59FC0E6594651484a6w9F" TargetMode="External"/><Relationship Id="rId11" Type="http://schemas.openxmlformats.org/officeDocument/2006/relationships/fontTable" Target="fontTable.xml"/><Relationship Id="rId5" Type="http://schemas.openxmlformats.org/officeDocument/2006/relationships/hyperlink" Target="consultantplus://offline/ref=203EB43DD85E48DC265A931EDE6EBFE442EA9B42E7C38327C0D8158EC352494BA2A057193DF78BA9B90DF6a6w2F" TargetMode="External"/><Relationship Id="rId10" Type="http://schemas.openxmlformats.org/officeDocument/2006/relationships/hyperlink" Target="consultantplus://offline/ref=203EB43DD85E48DC265A931EDE6EBFE442EA9B42E7C38327C0D8158EC3525B4BFAAC561926FF8BBCEF5CB036AFAB59FC0E6594651484a6w9F" TargetMode="External"/><Relationship Id="rId4" Type="http://schemas.openxmlformats.org/officeDocument/2006/relationships/webSettings" Target="webSettings.xml"/><Relationship Id="rId9" Type="http://schemas.openxmlformats.org/officeDocument/2006/relationships/hyperlink" Target="consultantplus://offline/ref=203EB43DD85E48DC265A8D13C802E1E048E9C24AEA9DDA73CAD240D69C0B190CF3A6025A67FA8CB7BB0DF562A9FE08A65B6E8B670A866E56BEFC25aD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3</cp:revision>
  <cp:lastPrinted>2021-06-10T05:53:00Z</cp:lastPrinted>
  <dcterms:created xsi:type="dcterms:W3CDTF">2021-06-10T05:48:00Z</dcterms:created>
  <dcterms:modified xsi:type="dcterms:W3CDTF">2021-06-11T11:07:00Z</dcterms:modified>
</cp:coreProperties>
</file>