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F9" w:rsidRPr="001D6922" w:rsidRDefault="00687305" w:rsidP="00347FF7">
      <w:pPr>
        <w:spacing w:line="240" w:lineRule="auto"/>
        <w:jc w:val="center"/>
        <w:rPr>
          <w:b/>
          <w:u w:val="single"/>
        </w:rPr>
      </w:pPr>
      <w:r w:rsidRPr="001D6922">
        <w:rPr>
          <w:b/>
          <w:u w:val="single"/>
        </w:rPr>
        <w:t xml:space="preserve">Об изменении платы граждан </w:t>
      </w:r>
      <w:r w:rsidR="00B413DB">
        <w:rPr>
          <w:b/>
          <w:u w:val="single"/>
        </w:rPr>
        <w:t>в</w:t>
      </w:r>
      <w:r w:rsidRPr="001D6922">
        <w:rPr>
          <w:b/>
          <w:u w:val="single"/>
        </w:rPr>
        <w:t xml:space="preserve"> 20</w:t>
      </w:r>
      <w:r w:rsidR="006C0E01">
        <w:rPr>
          <w:b/>
          <w:u w:val="single"/>
        </w:rPr>
        <w:t>2</w:t>
      </w:r>
      <w:r w:rsidR="00631341">
        <w:rPr>
          <w:b/>
          <w:u w:val="single"/>
        </w:rPr>
        <w:t>1 году</w:t>
      </w:r>
      <w:r w:rsidRPr="001D6922">
        <w:rPr>
          <w:b/>
          <w:u w:val="single"/>
        </w:rPr>
        <w:t xml:space="preserve"> по </w:t>
      </w:r>
      <w:r w:rsidR="00C30787" w:rsidRPr="001D6922">
        <w:rPr>
          <w:b/>
          <w:u w:val="single"/>
        </w:rPr>
        <w:t>Цивиль</w:t>
      </w:r>
      <w:r w:rsidR="00994B5D" w:rsidRPr="001D6922">
        <w:rPr>
          <w:b/>
          <w:u w:val="single"/>
        </w:rPr>
        <w:t>скому</w:t>
      </w:r>
      <w:r w:rsidR="001F6851" w:rsidRPr="001D6922">
        <w:rPr>
          <w:b/>
          <w:u w:val="single"/>
        </w:rPr>
        <w:t>району</w:t>
      </w:r>
    </w:p>
    <w:p w:rsidR="006C0E01" w:rsidRDefault="006C0E01" w:rsidP="005E2602">
      <w:pPr>
        <w:spacing w:line="240" w:lineRule="auto"/>
        <w:ind w:firstLine="709"/>
      </w:pPr>
    </w:p>
    <w:p w:rsidR="00631341" w:rsidRPr="00631341" w:rsidRDefault="00631341" w:rsidP="00631341">
      <w:pPr>
        <w:spacing w:line="240" w:lineRule="auto"/>
        <w:ind w:firstLine="709"/>
      </w:pPr>
      <w:r w:rsidRPr="00631341">
        <w:t xml:space="preserve">С 1 января 2021 года повышения тарифов на </w:t>
      </w:r>
      <w:r w:rsidRPr="00636FF7">
        <w:t>коммунальные</w:t>
      </w:r>
      <w:r w:rsidRPr="00631341">
        <w:t xml:space="preserve"> услуги (</w:t>
      </w:r>
      <w:r w:rsidRPr="00631341">
        <w:rPr>
          <w:i/>
        </w:rPr>
        <w:t>к ним относятся от</w:t>
      </w:r>
      <w:r w:rsidRPr="00631341">
        <w:rPr>
          <w:i/>
        </w:rPr>
        <w:t>о</w:t>
      </w:r>
      <w:r w:rsidRPr="00631341">
        <w:rPr>
          <w:i/>
        </w:rPr>
        <w:t>пление, газоснабж</w:t>
      </w:r>
      <w:r w:rsidRPr="00631341">
        <w:rPr>
          <w:i/>
        </w:rPr>
        <w:t>е</w:t>
      </w:r>
      <w:r w:rsidRPr="00631341">
        <w:rPr>
          <w:i/>
        </w:rPr>
        <w:t>ние, электроснабжение, холодное и горячее водоснабжение, водоотведение, услуга по обращению с твердыми коммунальн</w:t>
      </w:r>
      <w:r w:rsidRPr="00631341">
        <w:rPr>
          <w:i/>
        </w:rPr>
        <w:t>ы</w:t>
      </w:r>
      <w:r w:rsidRPr="00631341">
        <w:rPr>
          <w:i/>
        </w:rPr>
        <w:t>ми отходами)</w:t>
      </w:r>
      <w:r w:rsidRPr="00631341">
        <w:t xml:space="preserve"> не будет. Изменение тарифов в 2021 году произойдет с 1 июля.  </w:t>
      </w:r>
    </w:p>
    <w:p w:rsidR="00631341" w:rsidRPr="00631341" w:rsidRDefault="00631341" w:rsidP="00631341">
      <w:pPr>
        <w:spacing w:line="240" w:lineRule="auto"/>
        <w:ind w:firstLine="709"/>
      </w:pPr>
      <w:r w:rsidRPr="00631341">
        <w:t>Со второго полугодия плата граждан за коммунальные услуги в среднем по республике и</w:t>
      </w:r>
      <w:r w:rsidRPr="00631341">
        <w:t>з</w:t>
      </w:r>
      <w:r w:rsidRPr="00631341">
        <w:t>менится в пределах установленного Правительством Российской Федерации для нашей республ</w:t>
      </w:r>
      <w:r w:rsidRPr="00631341">
        <w:t>и</w:t>
      </w:r>
      <w:r w:rsidRPr="00631341">
        <w:t>ки индекса 3,4%. А для отдельных муниципальных образований предусмотрено 2%-ное отклон</w:t>
      </w:r>
      <w:r w:rsidRPr="00631341">
        <w:t>е</w:t>
      </w:r>
      <w:r w:rsidRPr="00631341">
        <w:t>ние. Таким образом, максимальное изменение платы по республике огран</w:t>
      </w:r>
      <w:r w:rsidRPr="00631341">
        <w:t>и</w:t>
      </w:r>
      <w:r w:rsidRPr="00631341">
        <w:t>чено индексом 5,4%.</w:t>
      </w:r>
    </w:p>
    <w:p w:rsidR="00631341" w:rsidRPr="00631341" w:rsidRDefault="00631341" w:rsidP="00631341">
      <w:pPr>
        <w:spacing w:line="240" w:lineRule="auto"/>
        <w:ind w:firstLine="709"/>
      </w:pPr>
      <w:r w:rsidRPr="00631341">
        <w:t>Каждый регион нашей страны рассчитывает и утверждает в рамках установленных огран</w:t>
      </w:r>
      <w:r w:rsidRPr="00631341">
        <w:t>и</w:t>
      </w:r>
      <w:r w:rsidRPr="00631341">
        <w:t>чений предел</w:t>
      </w:r>
      <w:r w:rsidRPr="00631341">
        <w:t>ь</w:t>
      </w:r>
      <w:r w:rsidRPr="00631341">
        <w:t>ные (максимальные) индексы изменения размера вносимой гражданами платы за коммунальные услуги по каждому муниципал</w:t>
      </w:r>
      <w:r w:rsidRPr="00631341">
        <w:t>ь</w:t>
      </w:r>
      <w:r w:rsidRPr="00631341">
        <w:t xml:space="preserve">ному образованию.  </w:t>
      </w:r>
    </w:p>
    <w:p w:rsidR="00631341" w:rsidRPr="00631341" w:rsidRDefault="00631341" w:rsidP="00631341">
      <w:pPr>
        <w:spacing w:line="240" w:lineRule="auto"/>
        <w:ind w:firstLine="709"/>
      </w:pPr>
      <w:r w:rsidRPr="00631341">
        <w:t>Для этого отбирается категория населения, у которой изменение платы за коммунальные услуги в процентном отношении будет большим к уровню декабря 2020 г. (при этом для сопост</w:t>
      </w:r>
      <w:r w:rsidRPr="00631341">
        <w:t>а</w:t>
      </w:r>
      <w:r w:rsidRPr="00631341">
        <w:t>вимости учитывается одинаковый набор комм</w:t>
      </w:r>
      <w:r w:rsidRPr="00631341">
        <w:t>у</w:t>
      </w:r>
      <w:r w:rsidRPr="00631341">
        <w:t>нальных услуг и одинаковое потребление). Индекс устанавливается максимальным, следовательно, для насел</w:t>
      </w:r>
      <w:r w:rsidRPr="00631341">
        <w:t>е</w:t>
      </w:r>
      <w:r w:rsidRPr="00631341">
        <w:t>ния с иным набором услуг изменение платы в процентах будет меньше.</w:t>
      </w:r>
    </w:p>
    <w:p w:rsidR="00631341" w:rsidRPr="00631341" w:rsidRDefault="00631341" w:rsidP="00631341">
      <w:pPr>
        <w:spacing w:line="240" w:lineRule="auto"/>
        <w:ind w:firstLine="709"/>
      </w:pPr>
      <w:r w:rsidRPr="00631341">
        <w:t>Указом Главы Чувашской Республики от 15 декабря 2020 г. № 314 «О внесении изменений в Указ Главы Чувашской Республики от 15 декабря 2018 г. № 149» (далее – Указ) установлены предельные (максимальные) индексы изменения размера вносимой гражданами платы за комм</w:t>
      </w:r>
      <w:r w:rsidRPr="00631341">
        <w:t>у</w:t>
      </w:r>
      <w:r w:rsidRPr="00631341">
        <w:t>нальные услуги по всем муниципальным образованиям Чувашской Респу</w:t>
      </w:r>
      <w:r w:rsidRPr="00631341">
        <w:t>б</w:t>
      </w:r>
      <w:r w:rsidRPr="00631341">
        <w:t xml:space="preserve">лики на 2021 год.  </w:t>
      </w:r>
    </w:p>
    <w:p w:rsidR="00631341" w:rsidRPr="00631341" w:rsidRDefault="00631341" w:rsidP="00631341">
      <w:pPr>
        <w:spacing w:line="240" w:lineRule="auto"/>
        <w:ind w:firstLine="709"/>
      </w:pPr>
      <w:r w:rsidRPr="00631341">
        <w:t>На первое полугодие установлен нулевой индекс (поскольку тарифы не растут), а с 1 июля для больши</w:t>
      </w:r>
      <w:r w:rsidRPr="00631341">
        <w:t>н</w:t>
      </w:r>
      <w:r w:rsidRPr="00631341">
        <w:t>ства муниципальных образований (285 из 296) предельные (максимальные) индексы установлены в размере 3,4%. Для 11 муниципальных образований республики изменение пр</w:t>
      </w:r>
      <w:r w:rsidRPr="00631341">
        <w:t>о</w:t>
      </w:r>
      <w:r w:rsidRPr="00631341">
        <w:t>изойдет до 5,4% (по наиболее невыгодному для потребит</w:t>
      </w:r>
      <w:r w:rsidRPr="00631341">
        <w:t>е</w:t>
      </w:r>
      <w:r w:rsidRPr="00631341">
        <w:t>лей приросту платы за коммунальные услуги  в связи с установлением экономически обоснованных тар</w:t>
      </w:r>
      <w:r w:rsidRPr="00631341">
        <w:t>и</w:t>
      </w:r>
      <w:r w:rsidRPr="00631341">
        <w:t>фов).</w:t>
      </w:r>
    </w:p>
    <w:p w:rsidR="006C0E01" w:rsidRPr="002B1F5A" w:rsidRDefault="006C0E01" w:rsidP="006C0E01">
      <w:pPr>
        <w:spacing w:line="240" w:lineRule="auto"/>
        <w:ind w:firstLine="709"/>
        <w:rPr>
          <w:b/>
        </w:rPr>
      </w:pPr>
      <w:r>
        <w:t>Так, п</w:t>
      </w:r>
      <w:r w:rsidRPr="000353AD">
        <w:t>о</w:t>
      </w:r>
      <w:r w:rsidR="00BF06B2" w:rsidRPr="00BF06B2">
        <w:rPr>
          <w:b/>
          <w:i/>
        </w:rPr>
        <w:t>Цивильскому г/п</w:t>
      </w:r>
      <w:r w:rsidRPr="002B1F5A">
        <w:t xml:space="preserve">предельный (максимальный) индекс </w:t>
      </w:r>
      <w:r>
        <w:rPr>
          <w:b/>
        </w:rPr>
        <w:t xml:space="preserve">для населения с </w:t>
      </w:r>
      <w:r w:rsidRPr="002B1F5A">
        <w:rPr>
          <w:b/>
        </w:rPr>
        <w:t>набор</w:t>
      </w:r>
      <w:r>
        <w:rPr>
          <w:b/>
        </w:rPr>
        <w:t>ом</w:t>
      </w:r>
      <w:r w:rsidRPr="002B1F5A">
        <w:rPr>
          <w:b/>
        </w:rPr>
        <w:t xml:space="preserve"> коммунальных </w:t>
      </w:r>
      <w:r w:rsidRPr="00F76330">
        <w:rPr>
          <w:b/>
        </w:rPr>
        <w:t>услуг</w:t>
      </w:r>
      <w:r w:rsidRPr="00F76330">
        <w:rPr>
          <w:i/>
        </w:rPr>
        <w:t>(холодное водоснабжение,электроснабжение, газоснабжение, обращение с твердыми коммунальными отх</w:t>
      </w:r>
      <w:r>
        <w:rPr>
          <w:i/>
        </w:rPr>
        <w:t>о</w:t>
      </w:r>
      <w:r w:rsidRPr="00F76330">
        <w:rPr>
          <w:i/>
        </w:rPr>
        <w:t>д</w:t>
      </w:r>
      <w:r w:rsidRPr="00F76330">
        <w:rPr>
          <w:i/>
        </w:rPr>
        <w:t>а</w:t>
      </w:r>
      <w:r w:rsidRPr="00F76330">
        <w:rPr>
          <w:i/>
        </w:rPr>
        <w:t>ми)</w:t>
      </w:r>
      <w:r w:rsidRPr="002B1F5A">
        <w:rPr>
          <w:b/>
        </w:rPr>
        <w:t xml:space="preserve">установлен в размере </w:t>
      </w:r>
      <w:r w:rsidR="00631341">
        <w:rPr>
          <w:b/>
        </w:rPr>
        <w:t>3,4</w:t>
      </w:r>
      <w:r>
        <w:rPr>
          <w:b/>
        </w:rPr>
        <w:t>% исходя из</w:t>
      </w:r>
      <w:r w:rsidRPr="002B1F5A">
        <w:rPr>
          <w:b/>
        </w:rPr>
        <w:t>тариф</w:t>
      </w:r>
      <w:r>
        <w:rPr>
          <w:b/>
        </w:rPr>
        <w:t>ов</w:t>
      </w:r>
      <w:r w:rsidRPr="002B1F5A">
        <w:rPr>
          <w:b/>
        </w:rPr>
        <w:t>, размеры и темпы изменения которых приведены в сл</w:t>
      </w:r>
      <w:r w:rsidRPr="002B1F5A">
        <w:rPr>
          <w:b/>
        </w:rPr>
        <w:t>е</w:t>
      </w:r>
      <w:r w:rsidRPr="002B1F5A">
        <w:rPr>
          <w:b/>
        </w:rPr>
        <w:t>дующей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3"/>
        <w:gridCol w:w="1465"/>
        <w:gridCol w:w="1467"/>
        <w:gridCol w:w="1465"/>
        <w:gridCol w:w="1461"/>
      </w:tblGrid>
      <w:tr w:rsidR="006C0E01" w:rsidRPr="00F76330" w:rsidTr="00BF06B2">
        <w:trPr>
          <w:trHeight w:val="296"/>
        </w:trPr>
        <w:tc>
          <w:tcPr>
            <w:tcW w:w="2189" w:type="pct"/>
            <w:vMerge w:val="restart"/>
            <w:noWrap/>
            <w:vAlign w:val="center"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F76330">
              <w:t>Набор коммунальных у</w:t>
            </w:r>
            <w:r w:rsidRPr="00F76330">
              <w:t>с</w:t>
            </w:r>
            <w:r w:rsidRPr="00F76330">
              <w:t>луг</w:t>
            </w:r>
          </w:p>
        </w:tc>
        <w:tc>
          <w:tcPr>
            <w:tcW w:w="1407" w:type="pct"/>
            <w:gridSpan w:val="2"/>
            <w:noWrap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F76330">
              <w:t>Размер тарифов</w:t>
            </w:r>
          </w:p>
        </w:tc>
        <w:tc>
          <w:tcPr>
            <w:tcW w:w="1404" w:type="pct"/>
            <w:gridSpan w:val="2"/>
            <w:noWrap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ind w:left="-108" w:right="-198"/>
              <w:jc w:val="center"/>
              <w:textAlignment w:val="auto"/>
            </w:pPr>
            <w:r w:rsidRPr="00F76330">
              <w:t>Темп изм</w:t>
            </w:r>
            <w:r w:rsidRPr="00F76330">
              <w:t>е</w:t>
            </w:r>
            <w:r w:rsidRPr="00F76330">
              <w:t xml:space="preserve">нения </w:t>
            </w:r>
          </w:p>
          <w:p w:rsidR="006C0E01" w:rsidRPr="00F76330" w:rsidRDefault="006C0E01" w:rsidP="00636FF7">
            <w:pPr>
              <w:widowControl/>
              <w:adjustRightInd/>
              <w:spacing w:line="240" w:lineRule="auto"/>
              <w:ind w:left="-108" w:right="-198"/>
              <w:jc w:val="center"/>
              <w:textAlignment w:val="auto"/>
            </w:pPr>
            <w:r w:rsidRPr="00F76330">
              <w:t>к декабрю 20</w:t>
            </w:r>
            <w:r w:rsidR="00636FF7">
              <w:t>20</w:t>
            </w:r>
            <w:r w:rsidRPr="00F76330">
              <w:t xml:space="preserve"> г., %</w:t>
            </w:r>
          </w:p>
        </w:tc>
      </w:tr>
      <w:tr w:rsidR="006C0E01" w:rsidRPr="00F76330" w:rsidTr="00BF06B2">
        <w:trPr>
          <w:trHeight w:val="296"/>
        </w:trPr>
        <w:tc>
          <w:tcPr>
            <w:tcW w:w="2189" w:type="pct"/>
            <w:vMerge/>
            <w:vAlign w:val="center"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703" w:type="pct"/>
            <w:noWrap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с 1 янв</w:t>
            </w:r>
            <w:r w:rsidRPr="00F76330">
              <w:t>а</w:t>
            </w:r>
            <w:r w:rsidRPr="00F76330">
              <w:t xml:space="preserve">ря </w:t>
            </w:r>
            <w:r w:rsidRPr="00F76330">
              <w:lastRenderedPageBreak/>
              <w:t>по 30 и</w:t>
            </w:r>
            <w:r w:rsidRPr="00F76330">
              <w:t>ю</w:t>
            </w:r>
            <w:r w:rsidRPr="00F76330">
              <w:t>ня</w:t>
            </w:r>
          </w:p>
        </w:tc>
        <w:tc>
          <w:tcPr>
            <w:tcW w:w="704" w:type="pct"/>
            <w:noWrap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lastRenderedPageBreak/>
              <w:t xml:space="preserve">с 1 июля </w:t>
            </w:r>
            <w:r w:rsidRPr="00F76330">
              <w:lastRenderedPageBreak/>
              <w:t>по 31 д</w:t>
            </w:r>
            <w:r w:rsidRPr="00F76330">
              <w:t>е</w:t>
            </w:r>
            <w:r w:rsidRPr="00F76330">
              <w:t>кабря</w:t>
            </w:r>
          </w:p>
        </w:tc>
        <w:tc>
          <w:tcPr>
            <w:tcW w:w="703" w:type="pct"/>
            <w:noWrap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lastRenderedPageBreak/>
              <w:t xml:space="preserve">с 1 </w:t>
            </w:r>
            <w:r w:rsidRPr="00F76330">
              <w:lastRenderedPageBreak/>
              <w:t>янв</w:t>
            </w:r>
            <w:r w:rsidRPr="00F76330">
              <w:t>а</w:t>
            </w:r>
            <w:r w:rsidRPr="00F76330">
              <w:t xml:space="preserve">ря </w:t>
            </w:r>
          </w:p>
          <w:p w:rsidR="006C0E01" w:rsidRPr="00F76330" w:rsidRDefault="006C0E01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по 30 июня</w:t>
            </w:r>
          </w:p>
        </w:tc>
        <w:tc>
          <w:tcPr>
            <w:tcW w:w="701" w:type="pct"/>
            <w:hideMark/>
          </w:tcPr>
          <w:p w:rsidR="006C0E01" w:rsidRPr="00F76330" w:rsidRDefault="006C0E01" w:rsidP="00373A69">
            <w:pPr>
              <w:widowControl/>
              <w:adjustRightInd/>
              <w:spacing w:line="240" w:lineRule="auto"/>
              <w:ind w:left="-108" w:right="-57"/>
              <w:jc w:val="center"/>
              <w:textAlignment w:val="auto"/>
            </w:pPr>
            <w:r w:rsidRPr="00F76330">
              <w:lastRenderedPageBreak/>
              <w:t xml:space="preserve">с 1 </w:t>
            </w:r>
            <w:r w:rsidRPr="00F76330">
              <w:lastRenderedPageBreak/>
              <w:t>и</w:t>
            </w:r>
            <w:r w:rsidRPr="00F76330">
              <w:t>ю</w:t>
            </w:r>
            <w:r w:rsidRPr="00F76330">
              <w:t>ля по 31 дека</w:t>
            </w:r>
            <w:r w:rsidRPr="00F76330">
              <w:t>б</w:t>
            </w:r>
            <w:r w:rsidRPr="00F76330">
              <w:t>ря</w:t>
            </w:r>
          </w:p>
        </w:tc>
      </w:tr>
      <w:tr w:rsidR="00631341" w:rsidRPr="00F76330" w:rsidTr="00BF06B2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631341">
            <w:pPr>
              <w:spacing w:line="240" w:lineRule="auto"/>
              <w:ind w:right="-57"/>
            </w:pPr>
            <w:r w:rsidRPr="00534821">
              <w:lastRenderedPageBreak/>
              <w:t>Холодное водоснабжение, рублей/1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18,24</w:t>
            </w:r>
          </w:p>
        </w:tc>
        <w:tc>
          <w:tcPr>
            <w:tcW w:w="704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18,85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3,4</w:t>
            </w:r>
          </w:p>
        </w:tc>
      </w:tr>
      <w:tr w:rsidR="00631341" w:rsidRPr="00F76330" w:rsidTr="00BF06B2">
        <w:trPr>
          <w:trHeight w:val="296"/>
        </w:trPr>
        <w:tc>
          <w:tcPr>
            <w:tcW w:w="2189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ind w:right="-108"/>
            </w:pPr>
            <w:r w:rsidRPr="00534821">
              <w:t>Электроснабжение, ру</w:t>
            </w:r>
            <w:r w:rsidRPr="00534821">
              <w:t>б</w:t>
            </w:r>
            <w:r w:rsidRPr="00534821">
              <w:t>лей/ 1 кВт·ч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3,48</w:t>
            </w:r>
          </w:p>
        </w:tc>
        <w:tc>
          <w:tcPr>
            <w:tcW w:w="704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3,60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3,5</w:t>
            </w:r>
          </w:p>
        </w:tc>
      </w:tr>
      <w:tr w:rsidR="00631341" w:rsidRPr="00F76330" w:rsidTr="00BF06B2">
        <w:trPr>
          <w:trHeight w:val="296"/>
        </w:trPr>
        <w:tc>
          <w:tcPr>
            <w:tcW w:w="2189" w:type="pct"/>
            <w:noWrap/>
            <w:hideMark/>
          </w:tcPr>
          <w:p w:rsidR="00631341" w:rsidRPr="00534821" w:rsidRDefault="00631341" w:rsidP="00BD5C66">
            <w:pPr>
              <w:spacing w:line="240" w:lineRule="auto"/>
            </w:pPr>
            <w:r w:rsidRPr="00534821">
              <w:t>Газоснабжение, рублей/ 1 куб. м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5,88</w:t>
            </w:r>
          </w:p>
        </w:tc>
        <w:tc>
          <w:tcPr>
            <w:tcW w:w="704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6,06</w:t>
            </w:r>
            <w:r w:rsidR="00636FF7" w:rsidRPr="00636FF7">
              <w:rPr>
                <w:i/>
              </w:rPr>
              <w:t>*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3,1</w:t>
            </w:r>
          </w:p>
        </w:tc>
      </w:tr>
      <w:tr w:rsidR="00631341" w:rsidRPr="00F76330" w:rsidTr="00BF06B2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BD5C66">
            <w:pPr>
              <w:spacing w:line="240" w:lineRule="auto"/>
            </w:pPr>
            <w:r w:rsidRPr="00534821">
              <w:t>Обращение с твердыми коммунальными отход</w:t>
            </w:r>
            <w:r w:rsidRPr="00534821">
              <w:t>а</w:t>
            </w:r>
            <w:r w:rsidRPr="00534821">
              <w:t>ми, рублей/ 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382,30</w:t>
            </w:r>
          </w:p>
        </w:tc>
        <w:tc>
          <w:tcPr>
            <w:tcW w:w="704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395,26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3,4</w:t>
            </w:r>
          </w:p>
        </w:tc>
      </w:tr>
    </w:tbl>
    <w:p w:rsidR="006C0E01" w:rsidRDefault="006C0E01" w:rsidP="006C0E01">
      <w:pPr>
        <w:spacing w:line="240" w:lineRule="auto"/>
        <w:ind w:firstLine="709"/>
        <w:rPr>
          <w:i/>
          <w:sz w:val="16"/>
          <w:szCs w:val="16"/>
        </w:rPr>
      </w:pPr>
      <w:r w:rsidRPr="00437B0F">
        <w:rPr>
          <w:i/>
          <w:sz w:val="16"/>
          <w:szCs w:val="16"/>
        </w:rPr>
        <w:t xml:space="preserve">* В соответствии с </w:t>
      </w:r>
      <w:r w:rsidR="00E71BBE">
        <w:rPr>
          <w:i/>
          <w:sz w:val="16"/>
          <w:szCs w:val="16"/>
        </w:rPr>
        <w:t>П</w:t>
      </w:r>
      <w:r w:rsidRPr="00437B0F">
        <w:rPr>
          <w:i/>
          <w:sz w:val="16"/>
          <w:szCs w:val="16"/>
        </w:rPr>
        <w:t xml:space="preserve">рогнозом социально-экономического развития Российской Федерации на </w:t>
      </w:r>
      <w:r w:rsidR="00631341">
        <w:rPr>
          <w:i/>
          <w:sz w:val="16"/>
          <w:szCs w:val="16"/>
        </w:rPr>
        <w:t xml:space="preserve">2021 год и на плановый </w:t>
      </w:r>
      <w:r>
        <w:rPr>
          <w:i/>
          <w:sz w:val="16"/>
          <w:szCs w:val="16"/>
        </w:rPr>
        <w:t xml:space="preserve">период </w:t>
      </w:r>
      <w:r w:rsidR="00631341">
        <w:rPr>
          <w:i/>
          <w:sz w:val="16"/>
          <w:szCs w:val="16"/>
        </w:rPr>
        <w:t>2022 и</w:t>
      </w:r>
      <w:r w:rsidRPr="00437B0F">
        <w:rPr>
          <w:i/>
          <w:sz w:val="16"/>
          <w:szCs w:val="16"/>
        </w:rPr>
        <w:t xml:space="preserve"> 202</w:t>
      </w:r>
      <w:r w:rsidR="00631341">
        <w:rPr>
          <w:i/>
          <w:sz w:val="16"/>
          <w:szCs w:val="16"/>
        </w:rPr>
        <w:t>3</w:t>
      </w:r>
      <w:r w:rsidRPr="00437B0F">
        <w:rPr>
          <w:i/>
          <w:sz w:val="16"/>
          <w:szCs w:val="16"/>
        </w:rPr>
        <w:t xml:space="preserve"> г</w:t>
      </w:r>
      <w:r w:rsidR="00631341">
        <w:rPr>
          <w:i/>
          <w:sz w:val="16"/>
          <w:szCs w:val="16"/>
        </w:rPr>
        <w:t>одов</w:t>
      </w:r>
    </w:p>
    <w:p w:rsidR="00BF06B2" w:rsidRDefault="00BF06B2" w:rsidP="006C0E01">
      <w:pPr>
        <w:spacing w:line="240" w:lineRule="auto"/>
        <w:ind w:firstLine="709"/>
        <w:rPr>
          <w:i/>
          <w:sz w:val="16"/>
          <w:szCs w:val="16"/>
        </w:rPr>
      </w:pPr>
    </w:p>
    <w:p w:rsidR="006C0E01" w:rsidRDefault="006C0E01" w:rsidP="006C0E01">
      <w:pPr>
        <w:spacing w:line="240" w:lineRule="auto"/>
        <w:ind w:firstLine="709"/>
      </w:pPr>
      <w:r w:rsidRPr="002B1F5A">
        <w:t xml:space="preserve">Это изменение коснется </w:t>
      </w:r>
      <w:r w:rsidR="00631341">
        <w:t>30</w:t>
      </w:r>
      <w:r>
        <w:t xml:space="preserve"> чел., у которых такой набор коммунальных услуг, или </w:t>
      </w:r>
      <w:r w:rsidR="00631341">
        <w:t>0,20</w:t>
      </w:r>
      <w:r w:rsidRPr="002B1F5A">
        <w:t xml:space="preserve">% от общей численности населения </w:t>
      </w:r>
      <w:r w:rsidR="00BF06B2" w:rsidRPr="00BF06B2">
        <w:t>Цивильского г/п</w:t>
      </w:r>
      <w:r w:rsidRPr="002B1F5A">
        <w:t xml:space="preserve">и </w:t>
      </w:r>
      <w:r w:rsidR="00BF06B2" w:rsidRPr="00AF570D">
        <w:t>0,0</w:t>
      </w:r>
      <w:r w:rsidR="00631341">
        <w:t>025</w:t>
      </w:r>
      <w:r w:rsidRPr="002B1F5A">
        <w:t>% от общей численности населения Ч</w:t>
      </w:r>
      <w:r w:rsidRPr="002B1F5A">
        <w:t>у</w:t>
      </w:r>
      <w:r w:rsidRPr="002B1F5A">
        <w:t>вашской Республики.</w:t>
      </w:r>
    </w:p>
    <w:p w:rsidR="004B178A" w:rsidRPr="002B1F5A" w:rsidRDefault="004B178A" w:rsidP="004B178A">
      <w:pPr>
        <w:spacing w:line="240" w:lineRule="auto"/>
        <w:ind w:firstLine="709"/>
        <w:rPr>
          <w:b/>
        </w:rPr>
      </w:pPr>
      <w:r>
        <w:t>По</w:t>
      </w:r>
      <w:r>
        <w:rPr>
          <w:b/>
          <w:i/>
        </w:rPr>
        <w:t>Опытно</w:t>
      </w:r>
      <w:r w:rsidRPr="00BF06B2">
        <w:rPr>
          <w:b/>
          <w:i/>
        </w:rPr>
        <w:t xml:space="preserve">му </w:t>
      </w:r>
      <w:r>
        <w:rPr>
          <w:b/>
          <w:i/>
        </w:rPr>
        <w:t>с</w:t>
      </w:r>
      <w:r w:rsidRPr="00BF06B2">
        <w:rPr>
          <w:b/>
          <w:i/>
        </w:rPr>
        <w:t>/п</w:t>
      </w:r>
      <w:r w:rsidRPr="002B1F5A">
        <w:t xml:space="preserve">предельный (максимальный) индекс </w:t>
      </w:r>
      <w:r>
        <w:rPr>
          <w:b/>
        </w:rPr>
        <w:t xml:space="preserve">для населения с </w:t>
      </w:r>
      <w:r w:rsidRPr="002B1F5A">
        <w:rPr>
          <w:b/>
        </w:rPr>
        <w:t>набор</w:t>
      </w:r>
      <w:r>
        <w:rPr>
          <w:b/>
        </w:rPr>
        <w:t>ом</w:t>
      </w:r>
      <w:r w:rsidRPr="002B1F5A">
        <w:rPr>
          <w:b/>
        </w:rPr>
        <w:t xml:space="preserve"> комм</w:t>
      </w:r>
      <w:r w:rsidRPr="002B1F5A">
        <w:rPr>
          <w:b/>
        </w:rPr>
        <w:t>у</w:t>
      </w:r>
      <w:r w:rsidRPr="002B1F5A">
        <w:rPr>
          <w:b/>
        </w:rPr>
        <w:t xml:space="preserve">нальных </w:t>
      </w:r>
      <w:r w:rsidRPr="00F76330">
        <w:rPr>
          <w:b/>
        </w:rPr>
        <w:t>услуг</w:t>
      </w:r>
      <w:r w:rsidRPr="00F76330">
        <w:rPr>
          <w:i/>
        </w:rPr>
        <w:t>(холодное водоснабжение,</w:t>
      </w:r>
      <w:r w:rsidRPr="00BF06B2">
        <w:rPr>
          <w:i/>
        </w:rPr>
        <w:t>водоотведение</w:t>
      </w:r>
      <w:r>
        <w:t xml:space="preserve">, </w:t>
      </w:r>
      <w:r w:rsidRPr="00F76330">
        <w:rPr>
          <w:i/>
        </w:rPr>
        <w:t>электроснабжение, газоснабжение, о</w:t>
      </w:r>
      <w:r w:rsidRPr="00F76330">
        <w:rPr>
          <w:i/>
        </w:rPr>
        <w:t>б</w:t>
      </w:r>
      <w:r w:rsidRPr="00F76330">
        <w:rPr>
          <w:i/>
        </w:rPr>
        <w:t>ращение с твердыми коммунал</w:t>
      </w:r>
      <w:r w:rsidRPr="00F76330">
        <w:rPr>
          <w:i/>
        </w:rPr>
        <w:t>ь</w:t>
      </w:r>
      <w:r w:rsidRPr="00F76330">
        <w:rPr>
          <w:i/>
        </w:rPr>
        <w:t>ными отх</w:t>
      </w:r>
      <w:r>
        <w:rPr>
          <w:i/>
        </w:rPr>
        <w:t>о</w:t>
      </w:r>
      <w:r w:rsidRPr="00F76330">
        <w:rPr>
          <w:i/>
        </w:rPr>
        <w:t>дами)</w:t>
      </w:r>
      <w:r w:rsidRPr="002B1F5A">
        <w:rPr>
          <w:b/>
        </w:rPr>
        <w:t xml:space="preserve">установлен в размере </w:t>
      </w:r>
      <w:r w:rsidR="00B413DB">
        <w:rPr>
          <w:b/>
        </w:rPr>
        <w:t>3</w:t>
      </w:r>
      <w:r w:rsidRPr="002B1F5A">
        <w:rPr>
          <w:b/>
        </w:rPr>
        <w:t>,</w:t>
      </w:r>
      <w:r w:rsidR="00631341">
        <w:rPr>
          <w:b/>
        </w:rPr>
        <w:t>4</w:t>
      </w:r>
      <w:r>
        <w:rPr>
          <w:b/>
        </w:rPr>
        <w:t>% исходя из</w:t>
      </w:r>
      <w:r w:rsidRPr="002B1F5A">
        <w:rPr>
          <w:b/>
        </w:rPr>
        <w:t>тариф</w:t>
      </w:r>
      <w:r>
        <w:rPr>
          <w:b/>
        </w:rPr>
        <w:t>ов</w:t>
      </w:r>
      <w:r w:rsidRPr="002B1F5A">
        <w:rPr>
          <w:b/>
        </w:rPr>
        <w:t>, размеры и темпы изменения которых приведены в следу</w:t>
      </w:r>
      <w:r w:rsidRPr="002B1F5A">
        <w:rPr>
          <w:b/>
        </w:rPr>
        <w:t>ю</w:t>
      </w:r>
      <w:r w:rsidRPr="002B1F5A">
        <w:rPr>
          <w:b/>
        </w:rPr>
        <w:t>щей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3"/>
        <w:gridCol w:w="1465"/>
        <w:gridCol w:w="1467"/>
        <w:gridCol w:w="1465"/>
        <w:gridCol w:w="1461"/>
      </w:tblGrid>
      <w:tr w:rsidR="004B178A" w:rsidRPr="00F76330" w:rsidTr="00373A69">
        <w:trPr>
          <w:trHeight w:val="296"/>
        </w:trPr>
        <w:tc>
          <w:tcPr>
            <w:tcW w:w="2189" w:type="pct"/>
            <w:vMerge w:val="restart"/>
            <w:noWrap/>
            <w:vAlign w:val="center"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F76330">
              <w:t>Набор коммунальных у</w:t>
            </w:r>
            <w:r w:rsidRPr="00F76330">
              <w:t>с</w:t>
            </w:r>
            <w:r w:rsidRPr="00F76330">
              <w:t>луг</w:t>
            </w:r>
          </w:p>
        </w:tc>
        <w:tc>
          <w:tcPr>
            <w:tcW w:w="1407" w:type="pct"/>
            <w:gridSpan w:val="2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F76330">
              <w:t>Размер тарифов</w:t>
            </w:r>
          </w:p>
        </w:tc>
        <w:tc>
          <w:tcPr>
            <w:tcW w:w="1404" w:type="pct"/>
            <w:gridSpan w:val="2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98"/>
              <w:jc w:val="center"/>
              <w:textAlignment w:val="auto"/>
            </w:pPr>
            <w:r w:rsidRPr="00F76330">
              <w:t>Темп изм</w:t>
            </w:r>
            <w:r w:rsidRPr="00F76330">
              <w:t>е</w:t>
            </w:r>
            <w:r w:rsidRPr="00F76330">
              <w:t xml:space="preserve">нения </w:t>
            </w:r>
          </w:p>
          <w:p w:rsidR="004B178A" w:rsidRPr="00F76330" w:rsidRDefault="004B178A" w:rsidP="00631341">
            <w:pPr>
              <w:widowControl/>
              <w:adjustRightInd/>
              <w:spacing w:line="240" w:lineRule="auto"/>
              <w:ind w:left="-108" w:right="-198"/>
              <w:jc w:val="center"/>
              <w:textAlignment w:val="auto"/>
            </w:pPr>
            <w:r w:rsidRPr="00F76330">
              <w:t xml:space="preserve">к декабрю </w:t>
            </w:r>
            <w:r w:rsidRPr="00F76330">
              <w:lastRenderedPageBreak/>
              <w:t>20</w:t>
            </w:r>
            <w:r w:rsidR="00631341">
              <w:t>20</w:t>
            </w:r>
            <w:r w:rsidRPr="00F76330">
              <w:t xml:space="preserve"> г., %</w:t>
            </w:r>
          </w:p>
        </w:tc>
      </w:tr>
      <w:tr w:rsidR="004B178A" w:rsidRPr="00F76330" w:rsidTr="00373A69">
        <w:trPr>
          <w:trHeight w:val="296"/>
        </w:trPr>
        <w:tc>
          <w:tcPr>
            <w:tcW w:w="2189" w:type="pct"/>
            <w:vMerge/>
            <w:vAlign w:val="center"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703" w:type="pct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с 1 января по 30 и</w:t>
            </w:r>
            <w:r w:rsidRPr="00F76330">
              <w:t>ю</w:t>
            </w:r>
            <w:r w:rsidRPr="00F76330">
              <w:t>ня</w:t>
            </w:r>
          </w:p>
        </w:tc>
        <w:tc>
          <w:tcPr>
            <w:tcW w:w="704" w:type="pct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с 1 июля по 31 д</w:t>
            </w:r>
            <w:r w:rsidRPr="00F76330">
              <w:t>е</w:t>
            </w:r>
            <w:r w:rsidRPr="00F76330">
              <w:t>кабря</w:t>
            </w:r>
          </w:p>
        </w:tc>
        <w:tc>
          <w:tcPr>
            <w:tcW w:w="703" w:type="pct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с 1 янв</w:t>
            </w:r>
            <w:r w:rsidRPr="00F76330">
              <w:t>а</w:t>
            </w:r>
            <w:r w:rsidRPr="00F76330">
              <w:t xml:space="preserve">ря </w:t>
            </w:r>
          </w:p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по 30 июня</w:t>
            </w:r>
          </w:p>
        </w:tc>
        <w:tc>
          <w:tcPr>
            <w:tcW w:w="701" w:type="pct"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57"/>
              <w:jc w:val="center"/>
              <w:textAlignment w:val="auto"/>
            </w:pPr>
            <w:r w:rsidRPr="00F76330">
              <w:t>с 1 и</w:t>
            </w:r>
            <w:r w:rsidRPr="00F76330">
              <w:t>ю</w:t>
            </w:r>
            <w:r w:rsidRPr="00F76330">
              <w:t>ля по 31 д</w:t>
            </w:r>
            <w:r w:rsidRPr="00F76330">
              <w:t>е</w:t>
            </w:r>
            <w:r w:rsidRPr="00F76330">
              <w:t>кабря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BD5C66">
            <w:pPr>
              <w:spacing w:line="240" w:lineRule="auto"/>
              <w:ind w:right="-108"/>
            </w:pPr>
            <w:r w:rsidRPr="00534821">
              <w:t xml:space="preserve">Холодное водоснабжение, рублей/ </w:t>
            </w:r>
            <w:r w:rsidRPr="00534821">
              <w:br/>
              <w:t>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20,11</w:t>
            </w:r>
          </w:p>
        </w:tc>
        <w:tc>
          <w:tcPr>
            <w:tcW w:w="704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20,75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3,2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BD5C66">
            <w:pPr>
              <w:spacing w:line="240" w:lineRule="auto"/>
              <w:ind w:right="-108"/>
            </w:pPr>
            <w:r w:rsidRPr="00534821">
              <w:t>Водоотведение, рублей/ 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15,87</w:t>
            </w:r>
          </w:p>
        </w:tc>
        <w:tc>
          <w:tcPr>
            <w:tcW w:w="704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16,40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3,4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ind w:right="-108"/>
            </w:pPr>
            <w:r w:rsidRPr="00534821">
              <w:t>Электроснабжение, рублей/ 1 кВт·ч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2,44</w:t>
            </w:r>
          </w:p>
        </w:tc>
        <w:tc>
          <w:tcPr>
            <w:tcW w:w="704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2,52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3,3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  <w:hideMark/>
          </w:tcPr>
          <w:p w:rsidR="00631341" w:rsidRPr="00534821" w:rsidRDefault="00631341" w:rsidP="00BD5C66">
            <w:pPr>
              <w:spacing w:line="240" w:lineRule="auto"/>
            </w:pPr>
            <w:r w:rsidRPr="00534821">
              <w:t>Газоснабжение, рублей/ 1 куб. м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5,88</w:t>
            </w:r>
          </w:p>
        </w:tc>
        <w:tc>
          <w:tcPr>
            <w:tcW w:w="704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6,06</w:t>
            </w:r>
            <w:r w:rsidR="00636FF7" w:rsidRPr="00636FF7">
              <w:t>*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3,1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BD5C66">
            <w:pPr>
              <w:spacing w:line="240" w:lineRule="auto"/>
            </w:pPr>
            <w:r w:rsidRPr="00534821">
              <w:t>Обращение с твердыми коммунал</w:t>
            </w:r>
            <w:r w:rsidRPr="00534821">
              <w:t>ь</w:t>
            </w:r>
            <w:r w:rsidRPr="00534821">
              <w:t>ными отходами, рублей/ 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382,30</w:t>
            </w:r>
          </w:p>
        </w:tc>
        <w:tc>
          <w:tcPr>
            <w:tcW w:w="704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395,26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3,4</w:t>
            </w:r>
          </w:p>
        </w:tc>
      </w:tr>
    </w:tbl>
    <w:p w:rsidR="004B178A" w:rsidRDefault="004B178A" w:rsidP="004B178A">
      <w:pPr>
        <w:spacing w:line="240" w:lineRule="auto"/>
        <w:ind w:firstLine="709"/>
        <w:rPr>
          <w:i/>
          <w:sz w:val="16"/>
          <w:szCs w:val="16"/>
        </w:rPr>
      </w:pPr>
      <w:r w:rsidRPr="00437B0F">
        <w:rPr>
          <w:i/>
          <w:sz w:val="16"/>
          <w:szCs w:val="16"/>
        </w:rPr>
        <w:t xml:space="preserve">* В соответствии с </w:t>
      </w:r>
      <w:r w:rsidR="00E71BBE">
        <w:rPr>
          <w:i/>
          <w:sz w:val="16"/>
          <w:szCs w:val="16"/>
        </w:rPr>
        <w:t>П</w:t>
      </w:r>
      <w:r w:rsidRPr="00437B0F">
        <w:rPr>
          <w:i/>
          <w:sz w:val="16"/>
          <w:szCs w:val="16"/>
        </w:rPr>
        <w:t xml:space="preserve">рогнозом социально-экономического развития Российской Федерации на </w:t>
      </w:r>
      <w:r w:rsidR="00631341">
        <w:rPr>
          <w:i/>
          <w:sz w:val="16"/>
          <w:szCs w:val="16"/>
        </w:rPr>
        <w:t xml:space="preserve">2021 год и на плановый </w:t>
      </w:r>
      <w:r>
        <w:rPr>
          <w:i/>
          <w:sz w:val="16"/>
          <w:szCs w:val="16"/>
        </w:rPr>
        <w:t xml:space="preserve">период </w:t>
      </w:r>
      <w:r w:rsidR="00631341">
        <w:rPr>
          <w:i/>
          <w:sz w:val="16"/>
          <w:szCs w:val="16"/>
        </w:rPr>
        <w:t xml:space="preserve">2022 и </w:t>
      </w:r>
      <w:r w:rsidRPr="00437B0F">
        <w:rPr>
          <w:i/>
          <w:sz w:val="16"/>
          <w:szCs w:val="16"/>
        </w:rPr>
        <w:t>202</w:t>
      </w:r>
      <w:r w:rsidR="00631341">
        <w:rPr>
          <w:i/>
          <w:sz w:val="16"/>
          <w:szCs w:val="16"/>
        </w:rPr>
        <w:t xml:space="preserve">3 </w:t>
      </w:r>
      <w:r w:rsidRPr="00437B0F">
        <w:rPr>
          <w:i/>
          <w:sz w:val="16"/>
          <w:szCs w:val="16"/>
        </w:rPr>
        <w:t>год</w:t>
      </w:r>
      <w:r w:rsidR="00631341">
        <w:rPr>
          <w:i/>
          <w:sz w:val="16"/>
          <w:szCs w:val="16"/>
        </w:rPr>
        <w:t>ов</w:t>
      </w:r>
    </w:p>
    <w:p w:rsidR="004B178A" w:rsidRDefault="004B178A" w:rsidP="004B178A">
      <w:pPr>
        <w:spacing w:line="240" w:lineRule="auto"/>
        <w:ind w:firstLine="709"/>
        <w:rPr>
          <w:i/>
          <w:sz w:val="16"/>
          <w:szCs w:val="16"/>
        </w:rPr>
      </w:pPr>
    </w:p>
    <w:p w:rsidR="004B178A" w:rsidRDefault="004B178A" w:rsidP="004B178A">
      <w:pPr>
        <w:spacing w:line="240" w:lineRule="auto"/>
        <w:ind w:firstLine="709"/>
      </w:pPr>
      <w:r w:rsidRPr="002B1F5A">
        <w:t xml:space="preserve">Это изменение коснется </w:t>
      </w:r>
      <w:r w:rsidRPr="004B178A">
        <w:t>13</w:t>
      </w:r>
      <w:r w:rsidR="00631341">
        <w:t>34</w:t>
      </w:r>
      <w:r>
        <w:t xml:space="preserve"> чел., у которых такой набор коммунальных услуг, или </w:t>
      </w:r>
      <w:r w:rsidRPr="00AF570D">
        <w:t>52,</w:t>
      </w:r>
      <w:r w:rsidR="00631341">
        <w:t>85</w:t>
      </w:r>
      <w:r w:rsidRPr="002B1F5A">
        <w:t xml:space="preserve">% от общей численности населения </w:t>
      </w:r>
      <w:r>
        <w:t>Опытного с</w:t>
      </w:r>
      <w:r w:rsidRPr="00BF06B2">
        <w:t>/п</w:t>
      </w:r>
      <w:r w:rsidRPr="002B1F5A">
        <w:t xml:space="preserve">и </w:t>
      </w:r>
      <w:r w:rsidRPr="00AF570D">
        <w:t>0,109</w:t>
      </w:r>
      <w:r w:rsidR="00631341">
        <w:t>5</w:t>
      </w:r>
      <w:r w:rsidRPr="002B1F5A">
        <w:t>% от общей численности населения Ч</w:t>
      </w:r>
      <w:r w:rsidRPr="002B1F5A">
        <w:t>у</w:t>
      </w:r>
      <w:r w:rsidRPr="002B1F5A">
        <w:t>вашской Республики.</w:t>
      </w:r>
    </w:p>
    <w:p w:rsidR="004B178A" w:rsidRPr="002B1F5A" w:rsidRDefault="004B178A" w:rsidP="004B178A">
      <w:pPr>
        <w:spacing w:line="240" w:lineRule="auto"/>
        <w:ind w:firstLine="709"/>
        <w:rPr>
          <w:b/>
        </w:rPr>
      </w:pPr>
      <w:r>
        <w:t>По</w:t>
      </w:r>
      <w:r w:rsidR="00F9369E">
        <w:t xml:space="preserve"> </w:t>
      </w:r>
      <w:proofErr w:type="spellStart"/>
      <w:r w:rsidR="0026499A" w:rsidRPr="0026499A">
        <w:rPr>
          <w:b/>
          <w:i/>
        </w:rPr>
        <w:t>Ч</w:t>
      </w:r>
      <w:r w:rsidR="0026499A">
        <w:rPr>
          <w:b/>
          <w:i/>
        </w:rPr>
        <w:t>урачик</w:t>
      </w:r>
      <w:r w:rsidR="0026499A" w:rsidRPr="0026499A">
        <w:rPr>
          <w:b/>
          <w:i/>
        </w:rPr>
        <w:t>ск</w:t>
      </w:r>
      <w:r w:rsidR="0026499A">
        <w:rPr>
          <w:b/>
          <w:i/>
        </w:rPr>
        <w:t>ому</w:t>
      </w:r>
      <w:r>
        <w:rPr>
          <w:b/>
          <w:i/>
        </w:rPr>
        <w:t>с</w:t>
      </w:r>
      <w:proofErr w:type="spellEnd"/>
      <w:r w:rsidRPr="00BF06B2">
        <w:rPr>
          <w:b/>
          <w:i/>
        </w:rPr>
        <w:t>/</w:t>
      </w:r>
      <w:proofErr w:type="spellStart"/>
      <w:proofErr w:type="gramStart"/>
      <w:r w:rsidRPr="00BF06B2">
        <w:rPr>
          <w:b/>
          <w:i/>
        </w:rPr>
        <w:t>п</w:t>
      </w:r>
      <w:proofErr w:type="spellEnd"/>
      <w:proofErr w:type="gramEnd"/>
      <w:r w:rsidR="00F9369E">
        <w:rPr>
          <w:b/>
          <w:i/>
        </w:rPr>
        <w:t xml:space="preserve"> </w:t>
      </w:r>
      <w:r w:rsidRPr="002B1F5A">
        <w:t xml:space="preserve">предельный (максимальный) индекс </w:t>
      </w:r>
      <w:r>
        <w:rPr>
          <w:b/>
        </w:rPr>
        <w:t xml:space="preserve">для населения с </w:t>
      </w:r>
      <w:r w:rsidRPr="002B1F5A">
        <w:rPr>
          <w:b/>
        </w:rPr>
        <w:t>набор</w:t>
      </w:r>
      <w:r>
        <w:rPr>
          <w:b/>
        </w:rPr>
        <w:t>ом</w:t>
      </w:r>
      <w:r w:rsidRPr="002B1F5A">
        <w:rPr>
          <w:b/>
        </w:rPr>
        <w:t xml:space="preserve"> ко</w:t>
      </w:r>
      <w:r w:rsidRPr="002B1F5A">
        <w:rPr>
          <w:b/>
        </w:rPr>
        <w:t>м</w:t>
      </w:r>
      <w:r w:rsidRPr="002B1F5A">
        <w:rPr>
          <w:b/>
        </w:rPr>
        <w:t xml:space="preserve">мунальных </w:t>
      </w:r>
      <w:r w:rsidRPr="00F76330">
        <w:rPr>
          <w:b/>
        </w:rPr>
        <w:t>услуг</w:t>
      </w:r>
      <w:r w:rsidRPr="00F76330">
        <w:rPr>
          <w:i/>
        </w:rPr>
        <w:t>(холодное водоснабжение,</w:t>
      </w:r>
      <w:r w:rsidRPr="00BF06B2">
        <w:rPr>
          <w:i/>
        </w:rPr>
        <w:t>водоотведение</w:t>
      </w:r>
      <w:r>
        <w:t xml:space="preserve">, </w:t>
      </w:r>
      <w:r w:rsidRPr="00F76330">
        <w:rPr>
          <w:i/>
        </w:rPr>
        <w:t>электроснабжение, обращение с твердыми коммунальными отх</w:t>
      </w:r>
      <w:r>
        <w:rPr>
          <w:i/>
        </w:rPr>
        <w:t>о</w:t>
      </w:r>
      <w:r w:rsidRPr="00F76330">
        <w:rPr>
          <w:i/>
        </w:rPr>
        <w:t>дами)</w:t>
      </w:r>
      <w:r w:rsidRPr="002B1F5A">
        <w:rPr>
          <w:b/>
        </w:rPr>
        <w:t xml:space="preserve">установлен в размере </w:t>
      </w:r>
      <w:r w:rsidR="00B413DB">
        <w:rPr>
          <w:b/>
        </w:rPr>
        <w:t>3,</w:t>
      </w:r>
      <w:r w:rsidR="00631341">
        <w:rPr>
          <w:b/>
        </w:rPr>
        <w:t>4</w:t>
      </w:r>
      <w:r>
        <w:rPr>
          <w:b/>
        </w:rPr>
        <w:t>% исходя из</w:t>
      </w:r>
      <w:r w:rsidRPr="002B1F5A">
        <w:rPr>
          <w:b/>
        </w:rPr>
        <w:t>тариф</w:t>
      </w:r>
      <w:r>
        <w:rPr>
          <w:b/>
        </w:rPr>
        <w:t>ов</w:t>
      </w:r>
      <w:r w:rsidRPr="002B1F5A">
        <w:rPr>
          <w:b/>
        </w:rPr>
        <w:t>, размеры и темпы изменения которых приведены в следующей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3"/>
        <w:gridCol w:w="1465"/>
        <w:gridCol w:w="1467"/>
        <w:gridCol w:w="1465"/>
        <w:gridCol w:w="1461"/>
      </w:tblGrid>
      <w:tr w:rsidR="004B178A" w:rsidRPr="00F76330" w:rsidTr="00373A69">
        <w:trPr>
          <w:trHeight w:val="296"/>
        </w:trPr>
        <w:tc>
          <w:tcPr>
            <w:tcW w:w="2189" w:type="pct"/>
            <w:vMerge w:val="restart"/>
            <w:noWrap/>
            <w:vAlign w:val="center"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F76330">
              <w:t>Набор коммунальных услуг</w:t>
            </w:r>
          </w:p>
        </w:tc>
        <w:tc>
          <w:tcPr>
            <w:tcW w:w="1407" w:type="pct"/>
            <w:gridSpan w:val="2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F76330">
              <w:t>Размер тарифов</w:t>
            </w:r>
          </w:p>
        </w:tc>
        <w:tc>
          <w:tcPr>
            <w:tcW w:w="1404" w:type="pct"/>
            <w:gridSpan w:val="2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98"/>
              <w:jc w:val="center"/>
              <w:textAlignment w:val="auto"/>
            </w:pPr>
            <w:r w:rsidRPr="00F76330">
              <w:t>Темп измен</w:t>
            </w:r>
            <w:r w:rsidRPr="00F76330">
              <w:t>е</w:t>
            </w:r>
            <w:r w:rsidRPr="00F76330">
              <w:t xml:space="preserve">ния </w:t>
            </w:r>
          </w:p>
          <w:p w:rsidR="004B178A" w:rsidRPr="00F76330" w:rsidRDefault="004B178A" w:rsidP="00636FF7">
            <w:pPr>
              <w:widowControl/>
              <w:adjustRightInd/>
              <w:spacing w:line="240" w:lineRule="auto"/>
              <w:ind w:left="-108" w:right="-198"/>
              <w:jc w:val="center"/>
              <w:textAlignment w:val="auto"/>
            </w:pPr>
            <w:r w:rsidRPr="00F76330">
              <w:t>к декабрю 20</w:t>
            </w:r>
            <w:r w:rsidR="00636FF7">
              <w:t>20</w:t>
            </w:r>
            <w:r w:rsidRPr="00F76330">
              <w:t xml:space="preserve"> г., %</w:t>
            </w:r>
          </w:p>
        </w:tc>
      </w:tr>
      <w:tr w:rsidR="004B178A" w:rsidRPr="00F76330" w:rsidTr="00373A69">
        <w:trPr>
          <w:trHeight w:val="296"/>
        </w:trPr>
        <w:tc>
          <w:tcPr>
            <w:tcW w:w="2189" w:type="pct"/>
            <w:vMerge/>
            <w:vAlign w:val="center"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703" w:type="pct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с 1 января по 30 июня</w:t>
            </w:r>
          </w:p>
        </w:tc>
        <w:tc>
          <w:tcPr>
            <w:tcW w:w="704" w:type="pct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с 1 июля по 31 декабря</w:t>
            </w:r>
          </w:p>
        </w:tc>
        <w:tc>
          <w:tcPr>
            <w:tcW w:w="703" w:type="pct"/>
            <w:noWrap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 xml:space="preserve">с 1 января </w:t>
            </w:r>
          </w:p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</w:pPr>
            <w:r w:rsidRPr="00F76330">
              <w:t>по 30 июня</w:t>
            </w:r>
          </w:p>
        </w:tc>
        <w:tc>
          <w:tcPr>
            <w:tcW w:w="701" w:type="pct"/>
            <w:hideMark/>
          </w:tcPr>
          <w:p w:rsidR="004B178A" w:rsidRPr="00F76330" w:rsidRDefault="004B178A" w:rsidP="00373A69">
            <w:pPr>
              <w:widowControl/>
              <w:adjustRightInd/>
              <w:spacing w:line="240" w:lineRule="auto"/>
              <w:ind w:left="-108" w:right="-57"/>
              <w:jc w:val="center"/>
              <w:textAlignment w:val="auto"/>
            </w:pPr>
            <w:r w:rsidRPr="00F76330">
              <w:t>с 1 июля по 31 д</w:t>
            </w:r>
            <w:r w:rsidRPr="00F76330">
              <w:t>е</w:t>
            </w:r>
            <w:r w:rsidRPr="00F76330">
              <w:t>кабря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631341">
            <w:pPr>
              <w:spacing w:line="240" w:lineRule="auto"/>
              <w:ind w:right="-57"/>
            </w:pPr>
            <w:r w:rsidRPr="00534821">
              <w:t>Холодное водоснабжение, рублей/1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20,49</w:t>
            </w:r>
          </w:p>
        </w:tc>
        <w:tc>
          <w:tcPr>
            <w:tcW w:w="704" w:type="pct"/>
            <w:noWrap/>
          </w:tcPr>
          <w:p w:rsidR="00631341" w:rsidRPr="00534821" w:rsidRDefault="00631341" w:rsidP="004978D8">
            <w:pPr>
              <w:spacing w:line="240" w:lineRule="auto"/>
              <w:ind w:right="-57"/>
              <w:jc w:val="center"/>
            </w:pPr>
            <w:r w:rsidRPr="00534821">
              <w:t>20,</w:t>
            </w:r>
            <w:r w:rsidR="004978D8">
              <w:t>81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4978D8" w:rsidP="00BD5C66">
            <w:pPr>
              <w:spacing w:line="240" w:lineRule="auto"/>
              <w:ind w:right="-57"/>
              <w:jc w:val="center"/>
            </w:pPr>
            <w:r>
              <w:t>1,6</w:t>
            </w:r>
            <w:bookmarkStart w:id="0" w:name="_GoBack"/>
            <w:bookmarkEnd w:id="0"/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</w:pPr>
            <w:r w:rsidRPr="00534821">
              <w:t>Водоотведение, рублей/ 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14,40</w:t>
            </w:r>
          </w:p>
        </w:tc>
        <w:tc>
          <w:tcPr>
            <w:tcW w:w="704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14,91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3,6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ind w:right="-108"/>
            </w:pPr>
            <w:r w:rsidRPr="00534821">
              <w:t>Электроснабжение, рублей/ 1 кВт·ч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2,44</w:t>
            </w:r>
          </w:p>
        </w:tc>
        <w:tc>
          <w:tcPr>
            <w:tcW w:w="704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2,52</w:t>
            </w:r>
          </w:p>
        </w:tc>
        <w:tc>
          <w:tcPr>
            <w:tcW w:w="703" w:type="pct"/>
            <w:noWrap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  <w:hideMark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3,3</w:t>
            </w:r>
          </w:p>
        </w:tc>
      </w:tr>
      <w:tr w:rsidR="00631341" w:rsidRPr="00F76330" w:rsidTr="00373A69">
        <w:trPr>
          <w:trHeight w:val="296"/>
        </w:trPr>
        <w:tc>
          <w:tcPr>
            <w:tcW w:w="2189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</w:pPr>
            <w:r w:rsidRPr="00534821">
              <w:t>Обращение с твердыми коммунал</w:t>
            </w:r>
            <w:r w:rsidRPr="00534821">
              <w:t>ь</w:t>
            </w:r>
            <w:r w:rsidRPr="00534821">
              <w:t>ными отходами, рублей/  1 куб. м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382,30</w:t>
            </w:r>
          </w:p>
        </w:tc>
        <w:tc>
          <w:tcPr>
            <w:tcW w:w="704" w:type="pct"/>
            <w:noWrap/>
          </w:tcPr>
          <w:p w:rsidR="00631341" w:rsidRPr="00534821" w:rsidRDefault="00631341" w:rsidP="00BD5C66">
            <w:pPr>
              <w:spacing w:line="240" w:lineRule="auto"/>
              <w:ind w:right="-57"/>
              <w:jc w:val="center"/>
            </w:pPr>
            <w:r w:rsidRPr="00534821">
              <w:t>395,26</w:t>
            </w:r>
          </w:p>
        </w:tc>
        <w:tc>
          <w:tcPr>
            <w:tcW w:w="703" w:type="pct"/>
            <w:noWrap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0</w:t>
            </w:r>
          </w:p>
        </w:tc>
        <w:tc>
          <w:tcPr>
            <w:tcW w:w="701" w:type="pct"/>
          </w:tcPr>
          <w:p w:rsidR="00631341" w:rsidRPr="00534821" w:rsidRDefault="00631341" w:rsidP="00BD5C66">
            <w:pPr>
              <w:spacing w:line="240" w:lineRule="auto"/>
              <w:jc w:val="center"/>
            </w:pPr>
            <w:r w:rsidRPr="00534821">
              <w:t>3,4</w:t>
            </w:r>
          </w:p>
        </w:tc>
      </w:tr>
    </w:tbl>
    <w:p w:rsidR="004B178A" w:rsidRDefault="004B178A" w:rsidP="004B178A">
      <w:pPr>
        <w:spacing w:line="240" w:lineRule="auto"/>
        <w:ind w:firstLine="709"/>
        <w:rPr>
          <w:i/>
          <w:sz w:val="16"/>
          <w:szCs w:val="16"/>
        </w:rPr>
      </w:pPr>
    </w:p>
    <w:p w:rsidR="004B178A" w:rsidRDefault="004B178A" w:rsidP="004B178A">
      <w:pPr>
        <w:spacing w:line="240" w:lineRule="auto"/>
        <w:ind w:firstLine="709"/>
      </w:pPr>
      <w:r w:rsidRPr="002B1F5A">
        <w:t xml:space="preserve">Это изменение коснется </w:t>
      </w:r>
      <w:r w:rsidR="0026499A" w:rsidRPr="00AF570D">
        <w:t>3</w:t>
      </w:r>
      <w:r w:rsidR="00631341">
        <w:t>3</w:t>
      </w:r>
      <w:r>
        <w:t xml:space="preserve"> чел., у которых такой набор коммунальных услуг, или </w:t>
      </w:r>
      <w:r w:rsidR="0026499A">
        <w:t>1,</w:t>
      </w:r>
      <w:r w:rsidR="00631341">
        <w:t>69</w:t>
      </w:r>
      <w:r w:rsidRPr="002B1F5A">
        <w:t xml:space="preserve">% от общей численности населения </w:t>
      </w:r>
      <w:r w:rsidR="0026499A">
        <w:t>Чурачикск</w:t>
      </w:r>
      <w:r>
        <w:t>ого с</w:t>
      </w:r>
      <w:r w:rsidRPr="00BF06B2">
        <w:t>/п</w:t>
      </w:r>
      <w:r w:rsidRPr="002B1F5A">
        <w:t xml:space="preserve">и </w:t>
      </w:r>
      <w:r w:rsidR="0026499A" w:rsidRPr="00AF570D">
        <w:t>0,002</w:t>
      </w:r>
      <w:r w:rsidR="00631341">
        <w:t>7</w:t>
      </w:r>
      <w:r w:rsidRPr="002B1F5A">
        <w:t>% от общей численности населения Ч</w:t>
      </w:r>
      <w:r w:rsidRPr="002B1F5A">
        <w:t>у</w:t>
      </w:r>
      <w:r w:rsidRPr="002B1F5A">
        <w:t>вашской Республики.</w:t>
      </w:r>
    </w:p>
    <w:p w:rsidR="00631341" w:rsidRDefault="006C0E01" w:rsidP="006C0E01">
      <w:pPr>
        <w:spacing w:line="240" w:lineRule="auto"/>
        <w:ind w:firstLine="709"/>
        <w:rPr>
          <w:i/>
          <w:u w:val="single"/>
        </w:rPr>
      </w:pPr>
      <w:r w:rsidRPr="002B1F5A">
        <w:rPr>
          <w:b/>
          <w:color w:val="000000"/>
        </w:rPr>
        <w:t xml:space="preserve">Во всех </w:t>
      </w:r>
      <w:r w:rsidR="00DB1F19">
        <w:rPr>
          <w:b/>
          <w:color w:val="000000"/>
        </w:rPr>
        <w:t xml:space="preserve">остальных </w:t>
      </w:r>
      <w:r w:rsidR="00DB1F19" w:rsidRPr="001D6922">
        <w:rPr>
          <w:b/>
          <w:color w:val="000000"/>
        </w:rPr>
        <w:t xml:space="preserve">сельских поселениях </w:t>
      </w:r>
      <w:r w:rsidR="00DB1F19" w:rsidRPr="001D6922">
        <w:rPr>
          <w:b/>
        </w:rPr>
        <w:t>Цивильского района</w:t>
      </w:r>
      <w:r w:rsidRPr="002B1F5A">
        <w:t>предельный (максимал</w:t>
      </w:r>
      <w:r w:rsidRPr="002B1F5A">
        <w:t>ь</w:t>
      </w:r>
      <w:r w:rsidRPr="002B1F5A">
        <w:t>ный) индекс</w:t>
      </w:r>
      <w:r w:rsidRPr="002B1F5A">
        <w:rPr>
          <w:b/>
        </w:rPr>
        <w:t>установлен в размере</w:t>
      </w:r>
      <w:r>
        <w:rPr>
          <w:b/>
        </w:rPr>
        <w:t>3,</w:t>
      </w:r>
      <w:r w:rsidR="00631341">
        <w:rPr>
          <w:b/>
        </w:rPr>
        <w:t>4</w:t>
      </w:r>
      <w:r w:rsidRPr="002B1F5A">
        <w:rPr>
          <w:b/>
        </w:rPr>
        <w:t>%</w:t>
      </w:r>
      <w:r>
        <w:t>для жителей с</w:t>
      </w:r>
      <w:r w:rsidRPr="002B1F5A">
        <w:t xml:space="preserve"> набор</w:t>
      </w:r>
      <w:r>
        <w:t>ом</w:t>
      </w:r>
      <w:r w:rsidRPr="002B1F5A">
        <w:t xml:space="preserve"> коммуна</w:t>
      </w:r>
      <w:r>
        <w:t xml:space="preserve">льных услуг </w:t>
      </w:r>
      <w:r w:rsidR="00DB1F19">
        <w:t>–</w:t>
      </w:r>
      <w:r>
        <w:t xml:space="preserve"> электр</w:t>
      </w:r>
      <w:r>
        <w:t>о</w:t>
      </w:r>
      <w:r>
        <w:t>снабжение,</w:t>
      </w:r>
      <w:r w:rsidRPr="002B1F5A">
        <w:t xml:space="preserve"> газоснабжение</w:t>
      </w:r>
      <w:r>
        <w:t xml:space="preserve"> и о</w:t>
      </w:r>
      <w:r w:rsidRPr="00771300">
        <w:t>бращение</w:t>
      </w:r>
      <w:r>
        <w:t xml:space="preserve"> с твердыми коммуналь</w:t>
      </w:r>
      <w:r w:rsidRPr="00771300">
        <w:t>ными отходами</w:t>
      </w:r>
      <w:r w:rsidRPr="00631341">
        <w:t>.</w:t>
      </w:r>
    </w:p>
    <w:p w:rsidR="00114356" w:rsidRDefault="006C0E01" w:rsidP="006C0E01">
      <w:pPr>
        <w:spacing w:line="240" w:lineRule="auto"/>
        <w:ind w:firstLine="709"/>
      </w:pPr>
      <w:r w:rsidRPr="002B1F5A">
        <w:t>Также напомним, что в целях социальной поддержки населения, если доля расходов на о</w:t>
      </w:r>
      <w:r w:rsidRPr="002B1F5A">
        <w:t>п</w:t>
      </w:r>
      <w:r w:rsidRPr="002B1F5A">
        <w:t>лату жилого</w:t>
      </w:r>
      <w:r>
        <w:t xml:space="preserve"> помещения и коммунальных услуг</w:t>
      </w:r>
      <w:r w:rsidRPr="002B1F5A">
        <w:t xml:space="preserve"> в совокупном доходе семьи превышает 22%, </w:t>
      </w:r>
      <w:r>
        <w:t>пр</w:t>
      </w:r>
      <w:r>
        <w:t>е</w:t>
      </w:r>
      <w:r>
        <w:t>дусмотрена возможность</w:t>
      </w:r>
      <w:r w:rsidRPr="002B1F5A">
        <w:t xml:space="preserve"> получени</w:t>
      </w:r>
      <w:r>
        <w:t>я</w:t>
      </w:r>
      <w:r w:rsidRPr="002B1F5A">
        <w:t xml:space="preserve"> субсидиина их оплату. </w:t>
      </w:r>
      <w:r w:rsidR="00114356" w:rsidRPr="00114356">
        <w:t>На 2021 год в республиканском бю</w:t>
      </w:r>
      <w:r w:rsidR="00114356" w:rsidRPr="00114356">
        <w:t>д</w:t>
      </w:r>
      <w:r w:rsidR="00114356" w:rsidRPr="00114356">
        <w:t>жете Чува</w:t>
      </w:r>
      <w:r w:rsidR="00114356" w:rsidRPr="00114356">
        <w:t>ш</w:t>
      </w:r>
      <w:r w:rsidR="00114356" w:rsidRPr="00114356">
        <w:t>ской Республики на указанные цели предусмотрено выделение 258,3 млн рублей.</w:t>
      </w:r>
    </w:p>
    <w:p w:rsidR="006C0E01" w:rsidRPr="002B1F5A" w:rsidRDefault="006C0E01" w:rsidP="006C0E01">
      <w:pPr>
        <w:spacing w:line="240" w:lineRule="auto"/>
        <w:ind w:firstLine="709"/>
      </w:pPr>
      <w:r w:rsidRPr="002B1F5A">
        <w:t>Для получ</w:t>
      </w:r>
      <w:r>
        <w:t>ения</w:t>
      </w:r>
      <w:r w:rsidRPr="002B1F5A">
        <w:t xml:space="preserve"> информаци</w:t>
      </w:r>
      <w:r>
        <w:t>и</w:t>
      </w:r>
      <w:r w:rsidRPr="002B1F5A">
        <w:t xml:space="preserve"> о предоставлении субсидии на оплату ЖКУ необходимо обр</w:t>
      </w:r>
      <w:r w:rsidRPr="002B1F5A">
        <w:t>а</w:t>
      </w:r>
      <w:r>
        <w:t>ща</w:t>
      </w:r>
      <w:r w:rsidRPr="002B1F5A">
        <w:t>ться в органы социальной защиты по месту ж</w:t>
      </w:r>
      <w:r w:rsidRPr="002B1F5A">
        <w:t>и</w:t>
      </w:r>
      <w:r w:rsidRPr="002B1F5A">
        <w:t>тельства.</w:t>
      </w:r>
    </w:p>
    <w:p w:rsidR="006C0E01" w:rsidRPr="0007471D" w:rsidRDefault="006C0E01" w:rsidP="006C0E01">
      <w:pPr>
        <w:spacing w:line="240" w:lineRule="auto"/>
        <w:ind w:firstLine="709"/>
        <w:contextualSpacing/>
        <w:rPr>
          <w:color w:val="000000" w:themeColor="text1"/>
        </w:rPr>
      </w:pPr>
      <w:r w:rsidRPr="002B1F5A">
        <w:t xml:space="preserve">Поинформации, представленной Министерством труда и социальной защиты Чувашской Республики, всего за период с января </w:t>
      </w:r>
      <w:r w:rsidRPr="0007471D">
        <w:rPr>
          <w:color w:val="000000" w:themeColor="text1"/>
        </w:rPr>
        <w:t>по ноябрь 20</w:t>
      </w:r>
      <w:r w:rsidR="00631341">
        <w:rPr>
          <w:color w:val="000000" w:themeColor="text1"/>
        </w:rPr>
        <w:t>20</w:t>
      </w:r>
      <w:r w:rsidRPr="0007471D">
        <w:rPr>
          <w:color w:val="000000" w:themeColor="text1"/>
        </w:rPr>
        <w:t xml:space="preserve"> года по </w:t>
      </w:r>
      <w:r w:rsidR="00DB1F19">
        <w:rPr>
          <w:color w:val="000000" w:themeColor="text1"/>
        </w:rPr>
        <w:t>Цивильскому району</w:t>
      </w:r>
      <w:r w:rsidRPr="0007471D">
        <w:rPr>
          <w:color w:val="000000" w:themeColor="text1"/>
        </w:rPr>
        <w:t xml:space="preserve"> меры социал</w:t>
      </w:r>
      <w:r w:rsidRPr="0007471D">
        <w:rPr>
          <w:color w:val="000000" w:themeColor="text1"/>
        </w:rPr>
        <w:t>ь</w:t>
      </w:r>
      <w:r w:rsidRPr="0007471D">
        <w:rPr>
          <w:color w:val="000000" w:themeColor="text1"/>
        </w:rPr>
        <w:t xml:space="preserve">ной поддержки по оплате жилищно-коммунальных услуг получили </w:t>
      </w:r>
      <w:r w:rsidR="00631341">
        <w:rPr>
          <w:color w:val="000000" w:themeColor="text1"/>
        </w:rPr>
        <w:t>4658</w:t>
      </w:r>
      <w:r w:rsidRPr="0007471D">
        <w:rPr>
          <w:color w:val="000000" w:themeColor="text1"/>
        </w:rPr>
        <w:t xml:space="preserve"> человек, что составляет </w:t>
      </w:r>
      <w:r w:rsidR="00631341">
        <w:rPr>
          <w:color w:val="000000" w:themeColor="text1"/>
        </w:rPr>
        <w:t>13,3</w:t>
      </w:r>
      <w:r w:rsidRPr="0007471D">
        <w:rPr>
          <w:color w:val="000000" w:themeColor="text1"/>
        </w:rPr>
        <w:t xml:space="preserve">% от общей численности населения </w:t>
      </w:r>
      <w:r w:rsidR="00DB1F19">
        <w:rPr>
          <w:color w:val="000000" w:themeColor="text1"/>
        </w:rPr>
        <w:t>район</w:t>
      </w:r>
      <w:r w:rsidRPr="0007471D">
        <w:rPr>
          <w:color w:val="000000" w:themeColor="text1"/>
        </w:rPr>
        <w:t xml:space="preserve">а, на сумму </w:t>
      </w:r>
      <w:r w:rsidR="007B4631">
        <w:rPr>
          <w:color w:val="000000" w:themeColor="text1"/>
        </w:rPr>
        <w:t>34329,6</w:t>
      </w:r>
      <w:r w:rsidRPr="0007471D">
        <w:rPr>
          <w:color w:val="000000" w:themeColor="text1"/>
        </w:rPr>
        <w:t xml:space="preserve"> тыс. руб., средняя сумма по</w:t>
      </w:r>
      <w:r w:rsidRPr="0007471D">
        <w:rPr>
          <w:color w:val="000000" w:themeColor="text1"/>
        </w:rPr>
        <w:t>д</w:t>
      </w:r>
      <w:r w:rsidRPr="0007471D">
        <w:rPr>
          <w:color w:val="000000" w:themeColor="text1"/>
        </w:rPr>
        <w:t xml:space="preserve">держки на 1 человека составила </w:t>
      </w:r>
      <w:r w:rsidR="007B4631">
        <w:rPr>
          <w:color w:val="000000" w:themeColor="text1"/>
        </w:rPr>
        <w:t>818,9</w:t>
      </w:r>
      <w:r w:rsidRPr="0007471D">
        <w:rPr>
          <w:color w:val="000000" w:themeColor="text1"/>
        </w:rPr>
        <w:t xml:space="preserve"> руб. в месяц, в том числе субсидии на оплату жилищно-коммунальных услуг получили </w:t>
      </w:r>
      <w:r w:rsidR="007B4631">
        <w:rPr>
          <w:color w:val="000000" w:themeColor="text1"/>
        </w:rPr>
        <w:t>518</w:t>
      </w:r>
      <w:r w:rsidRPr="0007471D">
        <w:rPr>
          <w:color w:val="000000" w:themeColor="text1"/>
        </w:rPr>
        <w:t xml:space="preserve"> человек на сумму </w:t>
      </w:r>
      <w:r w:rsidR="00DB1F19">
        <w:rPr>
          <w:color w:val="000000" w:themeColor="text1"/>
        </w:rPr>
        <w:t>11</w:t>
      </w:r>
      <w:r w:rsidR="007B4631">
        <w:rPr>
          <w:color w:val="000000" w:themeColor="text1"/>
        </w:rPr>
        <w:t>00</w:t>
      </w:r>
      <w:r w:rsidR="00DB1F19">
        <w:rPr>
          <w:color w:val="000000" w:themeColor="text1"/>
        </w:rPr>
        <w:t>,</w:t>
      </w:r>
      <w:r w:rsidR="007B4631">
        <w:rPr>
          <w:color w:val="000000" w:themeColor="text1"/>
        </w:rPr>
        <w:t>3</w:t>
      </w:r>
      <w:r w:rsidRPr="0007471D">
        <w:rPr>
          <w:color w:val="000000" w:themeColor="text1"/>
        </w:rPr>
        <w:t xml:space="preserve"> тыс. руб.</w:t>
      </w:r>
    </w:p>
    <w:p w:rsidR="00970BFC" w:rsidRPr="001D6922" w:rsidRDefault="00970BFC" w:rsidP="00DB1F19">
      <w:pPr>
        <w:spacing w:line="240" w:lineRule="auto"/>
        <w:rPr>
          <w:b/>
          <w:i/>
          <w:color w:val="000000"/>
          <w:u w:val="single"/>
        </w:rPr>
      </w:pPr>
    </w:p>
    <w:sectPr w:rsidR="00970BFC" w:rsidRPr="001D6922" w:rsidSect="0012232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5B5"/>
    <w:multiLevelType w:val="hybridMultilevel"/>
    <w:tmpl w:val="23B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851D1"/>
    <w:multiLevelType w:val="hybridMultilevel"/>
    <w:tmpl w:val="F4C60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CD2EA6"/>
    <w:multiLevelType w:val="hybridMultilevel"/>
    <w:tmpl w:val="9E34AE5A"/>
    <w:lvl w:ilvl="0" w:tplc="16622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B350B"/>
    <w:multiLevelType w:val="multilevel"/>
    <w:tmpl w:val="304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C07F5"/>
    <w:multiLevelType w:val="hybridMultilevel"/>
    <w:tmpl w:val="C366C9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C7F91"/>
    <w:multiLevelType w:val="hybridMultilevel"/>
    <w:tmpl w:val="23B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F3E38"/>
    <w:multiLevelType w:val="multilevel"/>
    <w:tmpl w:val="304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65B7A"/>
    <w:multiLevelType w:val="hybridMultilevel"/>
    <w:tmpl w:val="507AE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96718E"/>
    <w:multiLevelType w:val="multilevel"/>
    <w:tmpl w:val="6D9E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0682D"/>
    <w:multiLevelType w:val="hybridMultilevel"/>
    <w:tmpl w:val="99B0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744D4"/>
    <w:multiLevelType w:val="hybridMultilevel"/>
    <w:tmpl w:val="87B0D0A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6053274D"/>
    <w:multiLevelType w:val="hybridMultilevel"/>
    <w:tmpl w:val="D3AC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73FF9"/>
    <w:multiLevelType w:val="hybridMultilevel"/>
    <w:tmpl w:val="5DA62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B63FB9"/>
    <w:multiLevelType w:val="hybridMultilevel"/>
    <w:tmpl w:val="A93C0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56CC5"/>
    <w:rsid w:val="00002406"/>
    <w:rsid w:val="00002A5E"/>
    <w:rsid w:val="00006036"/>
    <w:rsid w:val="000142CA"/>
    <w:rsid w:val="00023441"/>
    <w:rsid w:val="00025C0D"/>
    <w:rsid w:val="00025E0F"/>
    <w:rsid w:val="00030447"/>
    <w:rsid w:val="00031C9D"/>
    <w:rsid w:val="000354B3"/>
    <w:rsid w:val="00036858"/>
    <w:rsid w:val="000406F0"/>
    <w:rsid w:val="0004073B"/>
    <w:rsid w:val="00040EDA"/>
    <w:rsid w:val="000414EC"/>
    <w:rsid w:val="00043571"/>
    <w:rsid w:val="00043750"/>
    <w:rsid w:val="000510AF"/>
    <w:rsid w:val="000519CC"/>
    <w:rsid w:val="00054D8C"/>
    <w:rsid w:val="0005528A"/>
    <w:rsid w:val="00056EEF"/>
    <w:rsid w:val="00060352"/>
    <w:rsid w:val="000616BE"/>
    <w:rsid w:val="00063835"/>
    <w:rsid w:val="000641CB"/>
    <w:rsid w:val="00065621"/>
    <w:rsid w:val="00065AA5"/>
    <w:rsid w:val="00070164"/>
    <w:rsid w:val="00074990"/>
    <w:rsid w:val="000751F5"/>
    <w:rsid w:val="00077AD3"/>
    <w:rsid w:val="00077BB3"/>
    <w:rsid w:val="00084D22"/>
    <w:rsid w:val="00087515"/>
    <w:rsid w:val="00091EB1"/>
    <w:rsid w:val="00093D48"/>
    <w:rsid w:val="00095A1B"/>
    <w:rsid w:val="000A300E"/>
    <w:rsid w:val="000A32AA"/>
    <w:rsid w:val="000B41EA"/>
    <w:rsid w:val="000B5657"/>
    <w:rsid w:val="000B77BB"/>
    <w:rsid w:val="000C0753"/>
    <w:rsid w:val="000C109C"/>
    <w:rsid w:val="000C1799"/>
    <w:rsid w:val="000C58C6"/>
    <w:rsid w:val="000D17C1"/>
    <w:rsid w:val="000D527B"/>
    <w:rsid w:val="000D6320"/>
    <w:rsid w:val="000D6410"/>
    <w:rsid w:val="000E289F"/>
    <w:rsid w:val="000E4D35"/>
    <w:rsid w:val="000E545F"/>
    <w:rsid w:val="000F5F92"/>
    <w:rsid w:val="000F6663"/>
    <w:rsid w:val="00100B32"/>
    <w:rsid w:val="00101EF2"/>
    <w:rsid w:val="00103F47"/>
    <w:rsid w:val="00104734"/>
    <w:rsid w:val="00105F65"/>
    <w:rsid w:val="001067C3"/>
    <w:rsid w:val="00106A62"/>
    <w:rsid w:val="00114356"/>
    <w:rsid w:val="00116718"/>
    <w:rsid w:val="001213DE"/>
    <w:rsid w:val="00122322"/>
    <w:rsid w:val="001260F4"/>
    <w:rsid w:val="00131CF5"/>
    <w:rsid w:val="00134C61"/>
    <w:rsid w:val="0013560C"/>
    <w:rsid w:val="00136BC3"/>
    <w:rsid w:val="00141ABB"/>
    <w:rsid w:val="00147235"/>
    <w:rsid w:val="001555D2"/>
    <w:rsid w:val="001577E1"/>
    <w:rsid w:val="0016080F"/>
    <w:rsid w:val="00163B27"/>
    <w:rsid w:val="00163DF9"/>
    <w:rsid w:val="001651E4"/>
    <w:rsid w:val="0016674B"/>
    <w:rsid w:val="0017014E"/>
    <w:rsid w:val="001710FB"/>
    <w:rsid w:val="0017122D"/>
    <w:rsid w:val="001757F6"/>
    <w:rsid w:val="001856F1"/>
    <w:rsid w:val="00185767"/>
    <w:rsid w:val="00187D88"/>
    <w:rsid w:val="001B0255"/>
    <w:rsid w:val="001B1BC9"/>
    <w:rsid w:val="001B6A3A"/>
    <w:rsid w:val="001C5DF1"/>
    <w:rsid w:val="001D56D0"/>
    <w:rsid w:val="001D6922"/>
    <w:rsid w:val="001D69E8"/>
    <w:rsid w:val="001F5F9D"/>
    <w:rsid w:val="001F6851"/>
    <w:rsid w:val="001F7D5F"/>
    <w:rsid w:val="002018D5"/>
    <w:rsid w:val="00202C82"/>
    <w:rsid w:val="00205ACB"/>
    <w:rsid w:val="00210424"/>
    <w:rsid w:val="00210ABD"/>
    <w:rsid w:val="00220946"/>
    <w:rsid w:val="00227759"/>
    <w:rsid w:val="00230F24"/>
    <w:rsid w:val="00232028"/>
    <w:rsid w:val="00233F6C"/>
    <w:rsid w:val="00235D22"/>
    <w:rsid w:val="00237274"/>
    <w:rsid w:val="00240235"/>
    <w:rsid w:val="002426A1"/>
    <w:rsid w:val="00243FF2"/>
    <w:rsid w:val="002447C8"/>
    <w:rsid w:val="00245698"/>
    <w:rsid w:val="0024694D"/>
    <w:rsid w:val="002509A4"/>
    <w:rsid w:val="0025180E"/>
    <w:rsid w:val="00252E6C"/>
    <w:rsid w:val="00255793"/>
    <w:rsid w:val="002630EA"/>
    <w:rsid w:val="0026499A"/>
    <w:rsid w:val="00264D8E"/>
    <w:rsid w:val="002652AB"/>
    <w:rsid w:val="00265D99"/>
    <w:rsid w:val="00271D19"/>
    <w:rsid w:val="00276D90"/>
    <w:rsid w:val="0028311F"/>
    <w:rsid w:val="00286021"/>
    <w:rsid w:val="002902E5"/>
    <w:rsid w:val="00290C9F"/>
    <w:rsid w:val="00294C5A"/>
    <w:rsid w:val="00294D64"/>
    <w:rsid w:val="0029785E"/>
    <w:rsid w:val="002B1742"/>
    <w:rsid w:val="002B4B27"/>
    <w:rsid w:val="002B68E0"/>
    <w:rsid w:val="002C1C96"/>
    <w:rsid w:val="002C47E7"/>
    <w:rsid w:val="002D1C12"/>
    <w:rsid w:val="002D4998"/>
    <w:rsid w:val="002D5F04"/>
    <w:rsid w:val="002D6E3C"/>
    <w:rsid w:val="002E0092"/>
    <w:rsid w:val="002E2133"/>
    <w:rsid w:val="002E52C0"/>
    <w:rsid w:val="002E6037"/>
    <w:rsid w:val="002F18FF"/>
    <w:rsid w:val="002F6A8D"/>
    <w:rsid w:val="002F6F93"/>
    <w:rsid w:val="003044EC"/>
    <w:rsid w:val="00304590"/>
    <w:rsid w:val="003127D5"/>
    <w:rsid w:val="00317B6C"/>
    <w:rsid w:val="00322505"/>
    <w:rsid w:val="003247BD"/>
    <w:rsid w:val="00324CC7"/>
    <w:rsid w:val="00325C88"/>
    <w:rsid w:val="0032649E"/>
    <w:rsid w:val="00331170"/>
    <w:rsid w:val="00333AD6"/>
    <w:rsid w:val="00335203"/>
    <w:rsid w:val="003374E7"/>
    <w:rsid w:val="003419CA"/>
    <w:rsid w:val="00345F56"/>
    <w:rsid w:val="00346A81"/>
    <w:rsid w:val="00346C58"/>
    <w:rsid w:val="00346CC2"/>
    <w:rsid w:val="00347FF7"/>
    <w:rsid w:val="00354900"/>
    <w:rsid w:val="00356557"/>
    <w:rsid w:val="00360B05"/>
    <w:rsid w:val="00363BFB"/>
    <w:rsid w:val="003767A8"/>
    <w:rsid w:val="00390F8C"/>
    <w:rsid w:val="00394CCD"/>
    <w:rsid w:val="00395BBD"/>
    <w:rsid w:val="00397696"/>
    <w:rsid w:val="003A09D9"/>
    <w:rsid w:val="003A0CA4"/>
    <w:rsid w:val="003A5D84"/>
    <w:rsid w:val="003B1988"/>
    <w:rsid w:val="003B2B0E"/>
    <w:rsid w:val="003B379B"/>
    <w:rsid w:val="003B64CB"/>
    <w:rsid w:val="003B6A54"/>
    <w:rsid w:val="003B7B9E"/>
    <w:rsid w:val="003C01CC"/>
    <w:rsid w:val="003C0D0E"/>
    <w:rsid w:val="003C3C4D"/>
    <w:rsid w:val="003C3F5D"/>
    <w:rsid w:val="003C4FE4"/>
    <w:rsid w:val="003C5BC6"/>
    <w:rsid w:val="003D06E8"/>
    <w:rsid w:val="003D17BB"/>
    <w:rsid w:val="003D4C5D"/>
    <w:rsid w:val="003E1C86"/>
    <w:rsid w:val="003F1D02"/>
    <w:rsid w:val="003F2023"/>
    <w:rsid w:val="003F27CF"/>
    <w:rsid w:val="003F4234"/>
    <w:rsid w:val="003F46DB"/>
    <w:rsid w:val="00407482"/>
    <w:rsid w:val="004102ED"/>
    <w:rsid w:val="00414BB9"/>
    <w:rsid w:val="00415E67"/>
    <w:rsid w:val="0041780A"/>
    <w:rsid w:val="00421F6D"/>
    <w:rsid w:val="00422563"/>
    <w:rsid w:val="00425BED"/>
    <w:rsid w:val="00426724"/>
    <w:rsid w:val="00427084"/>
    <w:rsid w:val="00430247"/>
    <w:rsid w:val="00433ADE"/>
    <w:rsid w:val="0044642E"/>
    <w:rsid w:val="00446855"/>
    <w:rsid w:val="00447EAF"/>
    <w:rsid w:val="00450950"/>
    <w:rsid w:val="00463D0E"/>
    <w:rsid w:val="00471953"/>
    <w:rsid w:val="00472B1A"/>
    <w:rsid w:val="00476D12"/>
    <w:rsid w:val="00482083"/>
    <w:rsid w:val="00483431"/>
    <w:rsid w:val="004860A3"/>
    <w:rsid w:val="00491842"/>
    <w:rsid w:val="0049243A"/>
    <w:rsid w:val="004969AC"/>
    <w:rsid w:val="00496E7F"/>
    <w:rsid w:val="004978D8"/>
    <w:rsid w:val="004A06BB"/>
    <w:rsid w:val="004A1BCF"/>
    <w:rsid w:val="004A25A6"/>
    <w:rsid w:val="004A74AE"/>
    <w:rsid w:val="004A7D3F"/>
    <w:rsid w:val="004B1416"/>
    <w:rsid w:val="004B178A"/>
    <w:rsid w:val="004B2A7D"/>
    <w:rsid w:val="004B7919"/>
    <w:rsid w:val="004D2767"/>
    <w:rsid w:val="004D4837"/>
    <w:rsid w:val="004D5847"/>
    <w:rsid w:val="004D7723"/>
    <w:rsid w:val="004E2359"/>
    <w:rsid w:val="004E32B2"/>
    <w:rsid w:val="004E5063"/>
    <w:rsid w:val="004E728C"/>
    <w:rsid w:val="004E77A6"/>
    <w:rsid w:val="004F2319"/>
    <w:rsid w:val="004F405C"/>
    <w:rsid w:val="004F7150"/>
    <w:rsid w:val="005028E9"/>
    <w:rsid w:val="0050373B"/>
    <w:rsid w:val="0050529D"/>
    <w:rsid w:val="005110A8"/>
    <w:rsid w:val="00512AEA"/>
    <w:rsid w:val="00512DBF"/>
    <w:rsid w:val="005158A4"/>
    <w:rsid w:val="00517330"/>
    <w:rsid w:val="00521C8C"/>
    <w:rsid w:val="00523510"/>
    <w:rsid w:val="00526E30"/>
    <w:rsid w:val="00530E86"/>
    <w:rsid w:val="005447A2"/>
    <w:rsid w:val="00546AEA"/>
    <w:rsid w:val="00546FCA"/>
    <w:rsid w:val="005535E4"/>
    <w:rsid w:val="005576DD"/>
    <w:rsid w:val="00562A6A"/>
    <w:rsid w:val="00570C70"/>
    <w:rsid w:val="00572C74"/>
    <w:rsid w:val="00575162"/>
    <w:rsid w:val="0057567B"/>
    <w:rsid w:val="00582F69"/>
    <w:rsid w:val="00584EFD"/>
    <w:rsid w:val="00587CA7"/>
    <w:rsid w:val="0059531F"/>
    <w:rsid w:val="00597561"/>
    <w:rsid w:val="005A5CE9"/>
    <w:rsid w:val="005A5F8E"/>
    <w:rsid w:val="005A7619"/>
    <w:rsid w:val="005B10EB"/>
    <w:rsid w:val="005B616F"/>
    <w:rsid w:val="005B7C2A"/>
    <w:rsid w:val="005C5A17"/>
    <w:rsid w:val="005C78D6"/>
    <w:rsid w:val="005D3400"/>
    <w:rsid w:val="005D542B"/>
    <w:rsid w:val="005D6721"/>
    <w:rsid w:val="005E2602"/>
    <w:rsid w:val="005F2591"/>
    <w:rsid w:val="005F2852"/>
    <w:rsid w:val="0060148E"/>
    <w:rsid w:val="00602222"/>
    <w:rsid w:val="006062A6"/>
    <w:rsid w:val="006069A3"/>
    <w:rsid w:val="00611C91"/>
    <w:rsid w:val="00615370"/>
    <w:rsid w:val="00616813"/>
    <w:rsid w:val="00616C85"/>
    <w:rsid w:val="00627FD3"/>
    <w:rsid w:val="00631341"/>
    <w:rsid w:val="0063527C"/>
    <w:rsid w:val="006362FB"/>
    <w:rsid w:val="00636FF7"/>
    <w:rsid w:val="00640198"/>
    <w:rsid w:val="00641567"/>
    <w:rsid w:val="00644B05"/>
    <w:rsid w:val="0064578F"/>
    <w:rsid w:val="006462CE"/>
    <w:rsid w:val="006513EC"/>
    <w:rsid w:val="0065256B"/>
    <w:rsid w:val="006539E9"/>
    <w:rsid w:val="00661508"/>
    <w:rsid w:val="0066306D"/>
    <w:rsid w:val="006651B0"/>
    <w:rsid w:val="00670062"/>
    <w:rsid w:val="00672190"/>
    <w:rsid w:val="00681751"/>
    <w:rsid w:val="00685EF1"/>
    <w:rsid w:val="00687305"/>
    <w:rsid w:val="00690BA1"/>
    <w:rsid w:val="00696A04"/>
    <w:rsid w:val="006A1A5D"/>
    <w:rsid w:val="006A2A72"/>
    <w:rsid w:val="006A65E0"/>
    <w:rsid w:val="006A7B5A"/>
    <w:rsid w:val="006A7C29"/>
    <w:rsid w:val="006B0333"/>
    <w:rsid w:val="006B2EE0"/>
    <w:rsid w:val="006B3B17"/>
    <w:rsid w:val="006B51B1"/>
    <w:rsid w:val="006B7216"/>
    <w:rsid w:val="006C0E01"/>
    <w:rsid w:val="006C14EE"/>
    <w:rsid w:val="006C62B6"/>
    <w:rsid w:val="006C7D38"/>
    <w:rsid w:val="006D090D"/>
    <w:rsid w:val="006D4EA9"/>
    <w:rsid w:val="006E0CD7"/>
    <w:rsid w:val="006E1389"/>
    <w:rsid w:val="006E398B"/>
    <w:rsid w:val="006E3F9E"/>
    <w:rsid w:val="006E4E19"/>
    <w:rsid w:val="007002F7"/>
    <w:rsid w:val="00701AE9"/>
    <w:rsid w:val="00706CCA"/>
    <w:rsid w:val="00706EE3"/>
    <w:rsid w:val="00717F90"/>
    <w:rsid w:val="007219D7"/>
    <w:rsid w:val="0072461E"/>
    <w:rsid w:val="00727504"/>
    <w:rsid w:val="007309F0"/>
    <w:rsid w:val="007418FB"/>
    <w:rsid w:val="00752EE2"/>
    <w:rsid w:val="00754136"/>
    <w:rsid w:val="007549BF"/>
    <w:rsid w:val="007644A8"/>
    <w:rsid w:val="0076482E"/>
    <w:rsid w:val="007657BA"/>
    <w:rsid w:val="007669A5"/>
    <w:rsid w:val="00767C9E"/>
    <w:rsid w:val="007749A1"/>
    <w:rsid w:val="00775B74"/>
    <w:rsid w:val="00780A3D"/>
    <w:rsid w:val="00783607"/>
    <w:rsid w:val="00784E91"/>
    <w:rsid w:val="00786E6D"/>
    <w:rsid w:val="007A3668"/>
    <w:rsid w:val="007A7CA8"/>
    <w:rsid w:val="007B09A6"/>
    <w:rsid w:val="007B32AC"/>
    <w:rsid w:val="007B4631"/>
    <w:rsid w:val="007C6571"/>
    <w:rsid w:val="007D4249"/>
    <w:rsid w:val="007E169B"/>
    <w:rsid w:val="007F012B"/>
    <w:rsid w:val="007F1CDE"/>
    <w:rsid w:val="007F2986"/>
    <w:rsid w:val="00800475"/>
    <w:rsid w:val="00801029"/>
    <w:rsid w:val="0080537F"/>
    <w:rsid w:val="00805C9F"/>
    <w:rsid w:val="00810B87"/>
    <w:rsid w:val="008148CC"/>
    <w:rsid w:val="00816F05"/>
    <w:rsid w:val="0082232C"/>
    <w:rsid w:val="0082263A"/>
    <w:rsid w:val="00822E98"/>
    <w:rsid w:val="0082573A"/>
    <w:rsid w:val="008264D2"/>
    <w:rsid w:val="00826A8D"/>
    <w:rsid w:val="00827604"/>
    <w:rsid w:val="008324A1"/>
    <w:rsid w:val="00833BE3"/>
    <w:rsid w:val="0083746E"/>
    <w:rsid w:val="008513BA"/>
    <w:rsid w:val="00851DC7"/>
    <w:rsid w:val="008534B3"/>
    <w:rsid w:val="008555A7"/>
    <w:rsid w:val="008559A6"/>
    <w:rsid w:val="00856665"/>
    <w:rsid w:val="00865A54"/>
    <w:rsid w:val="00866114"/>
    <w:rsid w:val="00867E82"/>
    <w:rsid w:val="00870CF7"/>
    <w:rsid w:val="00871315"/>
    <w:rsid w:val="0087587C"/>
    <w:rsid w:val="00880B43"/>
    <w:rsid w:val="0088574A"/>
    <w:rsid w:val="008929D7"/>
    <w:rsid w:val="008932FE"/>
    <w:rsid w:val="00893670"/>
    <w:rsid w:val="00894E0C"/>
    <w:rsid w:val="008959FA"/>
    <w:rsid w:val="00897FE4"/>
    <w:rsid w:val="008A0753"/>
    <w:rsid w:val="008A28D0"/>
    <w:rsid w:val="008A336D"/>
    <w:rsid w:val="008A58C1"/>
    <w:rsid w:val="008A6C69"/>
    <w:rsid w:val="008A734F"/>
    <w:rsid w:val="008C18B6"/>
    <w:rsid w:val="008C1E68"/>
    <w:rsid w:val="008C33D3"/>
    <w:rsid w:val="008C5206"/>
    <w:rsid w:val="008C5D28"/>
    <w:rsid w:val="008E1492"/>
    <w:rsid w:val="008E4A43"/>
    <w:rsid w:val="008E6246"/>
    <w:rsid w:val="008E6C34"/>
    <w:rsid w:val="008E6DFC"/>
    <w:rsid w:val="008E7484"/>
    <w:rsid w:val="008E7D55"/>
    <w:rsid w:val="008E7F9E"/>
    <w:rsid w:val="008F105D"/>
    <w:rsid w:val="00900726"/>
    <w:rsid w:val="00901FDD"/>
    <w:rsid w:val="00902EF5"/>
    <w:rsid w:val="009048CB"/>
    <w:rsid w:val="00907336"/>
    <w:rsid w:val="00912021"/>
    <w:rsid w:val="00920222"/>
    <w:rsid w:val="009218F2"/>
    <w:rsid w:val="00921A8D"/>
    <w:rsid w:val="009304B1"/>
    <w:rsid w:val="009314DA"/>
    <w:rsid w:val="00933271"/>
    <w:rsid w:val="00947DCA"/>
    <w:rsid w:val="0095065E"/>
    <w:rsid w:val="0095090F"/>
    <w:rsid w:val="00950A9D"/>
    <w:rsid w:val="00953A6D"/>
    <w:rsid w:val="00953E03"/>
    <w:rsid w:val="00962079"/>
    <w:rsid w:val="0096471C"/>
    <w:rsid w:val="00966626"/>
    <w:rsid w:val="00966C6D"/>
    <w:rsid w:val="00970BFC"/>
    <w:rsid w:val="00971963"/>
    <w:rsid w:val="00971C85"/>
    <w:rsid w:val="00972230"/>
    <w:rsid w:val="009724AF"/>
    <w:rsid w:val="00974500"/>
    <w:rsid w:val="00976168"/>
    <w:rsid w:val="00976CE2"/>
    <w:rsid w:val="00982E6E"/>
    <w:rsid w:val="0098427D"/>
    <w:rsid w:val="00984BAD"/>
    <w:rsid w:val="00984D25"/>
    <w:rsid w:val="00986819"/>
    <w:rsid w:val="00994B5D"/>
    <w:rsid w:val="00995D15"/>
    <w:rsid w:val="00996D8B"/>
    <w:rsid w:val="009A1B85"/>
    <w:rsid w:val="009A202A"/>
    <w:rsid w:val="009A41A7"/>
    <w:rsid w:val="009A4CD9"/>
    <w:rsid w:val="009A5E89"/>
    <w:rsid w:val="009A5FF9"/>
    <w:rsid w:val="009A6443"/>
    <w:rsid w:val="009A7502"/>
    <w:rsid w:val="009A7813"/>
    <w:rsid w:val="009B05AC"/>
    <w:rsid w:val="009B11AD"/>
    <w:rsid w:val="009B2FA5"/>
    <w:rsid w:val="009B35D7"/>
    <w:rsid w:val="009B5BCC"/>
    <w:rsid w:val="009B5EE3"/>
    <w:rsid w:val="009C09D5"/>
    <w:rsid w:val="009C2E7E"/>
    <w:rsid w:val="009C45AB"/>
    <w:rsid w:val="009C6F24"/>
    <w:rsid w:val="009C70E8"/>
    <w:rsid w:val="009E18B4"/>
    <w:rsid w:val="009E25CA"/>
    <w:rsid w:val="009E358C"/>
    <w:rsid w:val="009E6C6C"/>
    <w:rsid w:val="009F1DBC"/>
    <w:rsid w:val="009F2030"/>
    <w:rsid w:val="009F6385"/>
    <w:rsid w:val="009F69EE"/>
    <w:rsid w:val="00A01D01"/>
    <w:rsid w:val="00A0425B"/>
    <w:rsid w:val="00A0638C"/>
    <w:rsid w:val="00A10FA2"/>
    <w:rsid w:val="00A11889"/>
    <w:rsid w:val="00A15516"/>
    <w:rsid w:val="00A20396"/>
    <w:rsid w:val="00A20D0D"/>
    <w:rsid w:val="00A21CF1"/>
    <w:rsid w:val="00A2379A"/>
    <w:rsid w:val="00A32CAF"/>
    <w:rsid w:val="00A3302C"/>
    <w:rsid w:val="00A37B9A"/>
    <w:rsid w:val="00A428C8"/>
    <w:rsid w:val="00A43A90"/>
    <w:rsid w:val="00A468CD"/>
    <w:rsid w:val="00A46975"/>
    <w:rsid w:val="00A4799E"/>
    <w:rsid w:val="00A47A6A"/>
    <w:rsid w:val="00A5372D"/>
    <w:rsid w:val="00A545F3"/>
    <w:rsid w:val="00A55402"/>
    <w:rsid w:val="00A56DBA"/>
    <w:rsid w:val="00A57F71"/>
    <w:rsid w:val="00A61E3D"/>
    <w:rsid w:val="00A62322"/>
    <w:rsid w:val="00A6402B"/>
    <w:rsid w:val="00A677F8"/>
    <w:rsid w:val="00A77222"/>
    <w:rsid w:val="00A77935"/>
    <w:rsid w:val="00A81F6D"/>
    <w:rsid w:val="00A8314F"/>
    <w:rsid w:val="00A8588E"/>
    <w:rsid w:val="00A935A5"/>
    <w:rsid w:val="00A94E6F"/>
    <w:rsid w:val="00AA22FA"/>
    <w:rsid w:val="00AA25A9"/>
    <w:rsid w:val="00AA6F9B"/>
    <w:rsid w:val="00AB0116"/>
    <w:rsid w:val="00AB0645"/>
    <w:rsid w:val="00AB32B3"/>
    <w:rsid w:val="00AC6699"/>
    <w:rsid w:val="00AD073A"/>
    <w:rsid w:val="00AD50C3"/>
    <w:rsid w:val="00AF179F"/>
    <w:rsid w:val="00AF2EF8"/>
    <w:rsid w:val="00AF47A8"/>
    <w:rsid w:val="00AF6FB9"/>
    <w:rsid w:val="00B116EF"/>
    <w:rsid w:val="00B11E37"/>
    <w:rsid w:val="00B150EE"/>
    <w:rsid w:val="00B171A9"/>
    <w:rsid w:val="00B20F6D"/>
    <w:rsid w:val="00B21D29"/>
    <w:rsid w:val="00B22404"/>
    <w:rsid w:val="00B27BE3"/>
    <w:rsid w:val="00B34894"/>
    <w:rsid w:val="00B35EF7"/>
    <w:rsid w:val="00B413DB"/>
    <w:rsid w:val="00B41EFA"/>
    <w:rsid w:val="00B43135"/>
    <w:rsid w:val="00B51C04"/>
    <w:rsid w:val="00B5207D"/>
    <w:rsid w:val="00B53DF0"/>
    <w:rsid w:val="00B55DA3"/>
    <w:rsid w:val="00B62C3B"/>
    <w:rsid w:val="00B6365C"/>
    <w:rsid w:val="00B64E62"/>
    <w:rsid w:val="00B6652A"/>
    <w:rsid w:val="00B67883"/>
    <w:rsid w:val="00B71146"/>
    <w:rsid w:val="00B71402"/>
    <w:rsid w:val="00B82D17"/>
    <w:rsid w:val="00B87BA0"/>
    <w:rsid w:val="00B92D57"/>
    <w:rsid w:val="00B9324F"/>
    <w:rsid w:val="00B97464"/>
    <w:rsid w:val="00BA0B4E"/>
    <w:rsid w:val="00BA1B9B"/>
    <w:rsid w:val="00BA1CD8"/>
    <w:rsid w:val="00BA5557"/>
    <w:rsid w:val="00BA65BD"/>
    <w:rsid w:val="00BA65FF"/>
    <w:rsid w:val="00BB6A74"/>
    <w:rsid w:val="00BC0430"/>
    <w:rsid w:val="00BC0EB4"/>
    <w:rsid w:val="00BC3378"/>
    <w:rsid w:val="00BC3740"/>
    <w:rsid w:val="00BC7F5B"/>
    <w:rsid w:val="00BD17E5"/>
    <w:rsid w:val="00BD211A"/>
    <w:rsid w:val="00BD2B76"/>
    <w:rsid w:val="00BD31A7"/>
    <w:rsid w:val="00BE065B"/>
    <w:rsid w:val="00BE7B48"/>
    <w:rsid w:val="00BF06B2"/>
    <w:rsid w:val="00BF29E5"/>
    <w:rsid w:val="00BF493B"/>
    <w:rsid w:val="00BF5FDE"/>
    <w:rsid w:val="00C11235"/>
    <w:rsid w:val="00C12484"/>
    <w:rsid w:val="00C1256A"/>
    <w:rsid w:val="00C13AC4"/>
    <w:rsid w:val="00C262A9"/>
    <w:rsid w:val="00C264B9"/>
    <w:rsid w:val="00C2727F"/>
    <w:rsid w:val="00C27B55"/>
    <w:rsid w:val="00C30787"/>
    <w:rsid w:val="00C35937"/>
    <w:rsid w:val="00C41245"/>
    <w:rsid w:val="00C41A28"/>
    <w:rsid w:val="00C45C87"/>
    <w:rsid w:val="00C465E8"/>
    <w:rsid w:val="00C5170D"/>
    <w:rsid w:val="00C51805"/>
    <w:rsid w:val="00C5649B"/>
    <w:rsid w:val="00C56CC5"/>
    <w:rsid w:val="00C633DB"/>
    <w:rsid w:val="00C67462"/>
    <w:rsid w:val="00C700BC"/>
    <w:rsid w:val="00C772A3"/>
    <w:rsid w:val="00C80DBC"/>
    <w:rsid w:val="00C871EB"/>
    <w:rsid w:val="00C876A6"/>
    <w:rsid w:val="00C93657"/>
    <w:rsid w:val="00C94A0A"/>
    <w:rsid w:val="00C95AA6"/>
    <w:rsid w:val="00C97836"/>
    <w:rsid w:val="00CA1AF4"/>
    <w:rsid w:val="00CA2A7A"/>
    <w:rsid w:val="00CA4F51"/>
    <w:rsid w:val="00CA580E"/>
    <w:rsid w:val="00CB1FFB"/>
    <w:rsid w:val="00CB2CE9"/>
    <w:rsid w:val="00CB4DCD"/>
    <w:rsid w:val="00CC07B1"/>
    <w:rsid w:val="00CC335A"/>
    <w:rsid w:val="00CC361D"/>
    <w:rsid w:val="00CD39E3"/>
    <w:rsid w:val="00CD46BB"/>
    <w:rsid w:val="00CD6F4E"/>
    <w:rsid w:val="00CD7045"/>
    <w:rsid w:val="00CD7D83"/>
    <w:rsid w:val="00CE066B"/>
    <w:rsid w:val="00CE3ACD"/>
    <w:rsid w:val="00CE4517"/>
    <w:rsid w:val="00CE6780"/>
    <w:rsid w:val="00D04A52"/>
    <w:rsid w:val="00D0503C"/>
    <w:rsid w:val="00D07BBE"/>
    <w:rsid w:val="00D15C45"/>
    <w:rsid w:val="00D173BF"/>
    <w:rsid w:val="00D21E91"/>
    <w:rsid w:val="00D2320A"/>
    <w:rsid w:val="00D23916"/>
    <w:rsid w:val="00D31275"/>
    <w:rsid w:val="00D31B83"/>
    <w:rsid w:val="00D34079"/>
    <w:rsid w:val="00D341E4"/>
    <w:rsid w:val="00D346D0"/>
    <w:rsid w:val="00D40F55"/>
    <w:rsid w:val="00D42318"/>
    <w:rsid w:val="00D44192"/>
    <w:rsid w:val="00D4723D"/>
    <w:rsid w:val="00D475CA"/>
    <w:rsid w:val="00D5299C"/>
    <w:rsid w:val="00D5300F"/>
    <w:rsid w:val="00D60E83"/>
    <w:rsid w:val="00D622A0"/>
    <w:rsid w:val="00D66732"/>
    <w:rsid w:val="00D83B8C"/>
    <w:rsid w:val="00D924AF"/>
    <w:rsid w:val="00D957B6"/>
    <w:rsid w:val="00DA0062"/>
    <w:rsid w:val="00DA1BF6"/>
    <w:rsid w:val="00DA24A3"/>
    <w:rsid w:val="00DA542F"/>
    <w:rsid w:val="00DB1F19"/>
    <w:rsid w:val="00DB6906"/>
    <w:rsid w:val="00DC6BF6"/>
    <w:rsid w:val="00DD356E"/>
    <w:rsid w:val="00DD4EC8"/>
    <w:rsid w:val="00DE001D"/>
    <w:rsid w:val="00DE1338"/>
    <w:rsid w:val="00DE2A31"/>
    <w:rsid w:val="00DF0A5A"/>
    <w:rsid w:val="00DF2421"/>
    <w:rsid w:val="00DF4550"/>
    <w:rsid w:val="00E0175B"/>
    <w:rsid w:val="00E02EEE"/>
    <w:rsid w:val="00E04085"/>
    <w:rsid w:val="00E04713"/>
    <w:rsid w:val="00E050A8"/>
    <w:rsid w:val="00E0694D"/>
    <w:rsid w:val="00E162D2"/>
    <w:rsid w:val="00E20D2E"/>
    <w:rsid w:val="00E2718D"/>
    <w:rsid w:val="00E2752E"/>
    <w:rsid w:val="00E318E7"/>
    <w:rsid w:val="00E31BF3"/>
    <w:rsid w:val="00E41454"/>
    <w:rsid w:val="00E44959"/>
    <w:rsid w:val="00E504C3"/>
    <w:rsid w:val="00E6738B"/>
    <w:rsid w:val="00E67988"/>
    <w:rsid w:val="00E70B51"/>
    <w:rsid w:val="00E71BBE"/>
    <w:rsid w:val="00E742E4"/>
    <w:rsid w:val="00E822AA"/>
    <w:rsid w:val="00E84813"/>
    <w:rsid w:val="00E864D3"/>
    <w:rsid w:val="00E91875"/>
    <w:rsid w:val="00E9215E"/>
    <w:rsid w:val="00E934A8"/>
    <w:rsid w:val="00EA5B44"/>
    <w:rsid w:val="00EA6F99"/>
    <w:rsid w:val="00EC3C87"/>
    <w:rsid w:val="00EC44E5"/>
    <w:rsid w:val="00ED27D0"/>
    <w:rsid w:val="00ED29CB"/>
    <w:rsid w:val="00ED392E"/>
    <w:rsid w:val="00ED4428"/>
    <w:rsid w:val="00ED4EA8"/>
    <w:rsid w:val="00ED621A"/>
    <w:rsid w:val="00ED6734"/>
    <w:rsid w:val="00ED6857"/>
    <w:rsid w:val="00EE0EFE"/>
    <w:rsid w:val="00EE2D77"/>
    <w:rsid w:val="00EE6208"/>
    <w:rsid w:val="00EE6833"/>
    <w:rsid w:val="00EE6DD5"/>
    <w:rsid w:val="00EF44C2"/>
    <w:rsid w:val="00EF4D69"/>
    <w:rsid w:val="00F00A70"/>
    <w:rsid w:val="00F02ACE"/>
    <w:rsid w:val="00F03FC6"/>
    <w:rsid w:val="00F05820"/>
    <w:rsid w:val="00F067AF"/>
    <w:rsid w:val="00F07D2C"/>
    <w:rsid w:val="00F101AB"/>
    <w:rsid w:val="00F10362"/>
    <w:rsid w:val="00F12263"/>
    <w:rsid w:val="00F13AE2"/>
    <w:rsid w:val="00F1424E"/>
    <w:rsid w:val="00F15917"/>
    <w:rsid w:val="00F15E05"/>
    <w:rsid w:val="00F165F7"/>
    <w:rsid w:val="00F2204D"/>
    <w:rsid w:val="00F25C94"/>
    <w:rsid w:val="00F302FF"/>
    <w:rsid w:val="00F30F8D"/>
    <w:rsid w:val="00F32A42"/>
    <w:rsid w:val="00F33BE9"/>
    <w:rsid w:val="00F3675E"/>
    <w:rsid w:val="00F44AB2"/>
    <w:rsid w:val="00F47A04"/>
    <w:rsid w:val="00F5527B"/>
    <w:rsid w:val="00F57F24"/>
    <w:rsid w:val="00F607B3"/>
    <w:rsid w:val="00F61A0D"/>
    <w:rsid w:val="00F61F78"/>
    <w:rsid w:val="00F61FAE"/>
    <w:rsid w:val="00F655F6"/>
    <w:rsid w:val="00F70789"/>
    <w:rsid w:val="00F72743"/>
    <w:rsid w:val="00F73232"/>
    <w:rsid w:val="00F76348"/>
    <w:rsid w:val="00F77942"/>
    <w:rsid w:val="00F80519"/>
    <w:rsid w:val="00F83AD3"/>
    <w:rsid w:val="00F83ECE"/>
    <w:rsid w:val="00F8497D"/>
    <w:rsid w:val="00F9044E"/>
    <w:rsid w:val="00F924AF"/>
    <w:rsid w:val="00F932AA"/>
    <w:rsid w:val="00F9369E"/>
    <w:rsid w:val="00FA1BB7"/>
    <w:rsid w:val="00FA31FB"/>
    <w:rsid w:val="00FB2897"/>
    <w:rsid w:val="00FB3662"/>
    <w:rsid w:val="00FB3E3E"/>
    <w:rsid w:val="00FB46C5"/>
    <w:rsid w:val="00FB4DCB"/>
    <w:rsid w:val="00FB7A98"/>
    <w:rsid w:val="00FC0D2C"/>
    <w:rsid w:val="00FC4D48"/>
    <w:rsid w:val="00FC5BD0"/>
    <w:rsid w:val="00FC694B"/>
    <w:rsid w:val="00FC6B4C"/>
    <w:rsid w:val="00FC7072"/>
    <w:rsid w:val="00FD0B3C"/>
    <w:rsid w:val="00FD0FA1"/>
    <w:rsid w:val="00FD156E"/>
    <w:rsid w:val="00FD1D90"/>
    <w:rsid w:val="00FD5C71"/>
    <w:rsid w:val="00FD603F"/>
    <w:rsid w:val="00FE0B45"/>
    <w:rsid w:val="00FE1AE2"/>
    <w:rsid w:val="00FE3765"/>
    <w:rsid w:val="00FF124D"/>
    <w:rsid w:val="00FF3412"/>
    <w:rsid w:val="00FF5928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8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574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402"/>
    <w:pPr>
      <w:ind w:left="720"/>
      <w:contextualSpacing/>
    </w:pPr>
    <w:rPr>
      <w:rFonts w:ascii="Calibri" w:eastAsia="Calibri" w:hAnsi="Calibri"/>
    </w:rPr>
  </w:style>
  <w:style w:type="character" w:styleId="a4">
    <w:name w:val="Hyperlink"/>
    <w:basedOn w:val="a0"/>
    <w:uiPriority w:val="99"/>
    <w:unhideWhenUsed/>
    <w:rsid w:val="00B71402"/>
    <w:rPr>
      <w:strike w:val="0"/>
      <w:dstrike w:val="0"/>
      <w:color w:val="333333"/>
      <w:u w:val="none"/>
      <w:effect w:val="none"/>
    </w:rPr>
  </w:style>
  <w:style w:type="character" w:customStyle="1" w:styleId="apple-converted-space">
    <w:name w:val="apple-converted-space"/>
    <w:basedOn w:val="a0"/>
    <w:rsid w:val="0004073B"/>
  </w:style>
  <w:style w:type="character" w:styleId="a5">
    <w:name w:val="Strong"/>
    <w:basedOn w:val="a0"/>
    <w:uiPriority w:val="22"/>
    <w:qFormat/>
    <w:rsid w:val="004225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5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88574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importanttxt1">
    <w:name w:val="important_txt1"/>
    <w:basedOn w:val="a0"/>
    <w:rsid w:val="0088574A"/>
    <w:rPr>
      <w:color w:val="FF4200"/>
    </w:rPr>
  </w:style>
  <w:style w:type="paragraph" w:styleId="a7">
    <w:name w:val="Balloon Text"/>
    <w:basedOn w:val="a"/>
    <w:link w:val="a8"/>
    <w:uiPriority w:val="99"/>
    <w:semiHidden/>
    <w:unhideWhenUsed/>
    <w:rsid w:val="00885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7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EF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52E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7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90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4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57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AFED4-3A2A-402B-8F97-343BF721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zivil_econom7</cp:lastModifiedBy>
  <cp:revision>2</cp:revision>
  <cp:lastPrinted>2021-01-19T05:43:00Z</cp:lastPrinted>
  <dcterms:created xsi:type="dcterms:W3CDTF">2021-01-19T05:46:00Z</dcterms:created>
  <dcterms:modified xsi:type="dcterms:W3CDTF">2021-01-19T05:46:00Z</dcterms:modified>
</cp:coreProperties>
</file>