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548" w:rsidRDefault="00AA3548">
      <w:pPr>
        <w:pStyle w:val="ConsPlusTitlePage"/>
      </w:pPr>
      <w:r>
        <w:t xml:space="preserve">Документ предоставлен </w:t>
      </w:r>
      <w:hyperlink r:id="rId5" w:history="1">
        <w:r>
          <w:rPr>
            <w:color w:val="0000FF"/>
          </w:rPr>
          <w:t>КонсультантПлюс</w:t>
        </w:r>
      </w:hyperlink>
      <w:r>
        <w:br/>
      </w:r>
    </w:p>
    <w:p w:rsidR="00AA3548" w:rsidRDefault="00AA3548">
      <w:pPr>
        <w:pStyle w:val="ConsPlusNormal"/>
        <w:jc w:val="both"/>
      </w:pPr>
    </w:p>
    <w:p w:rsidR="00AA3548" w:rsidRDefault="00AA3548">
      <w:pPr>
        <w:pStyle w:val="ConsPlusTitle"/>
        <w:jc w:val="center"/>
      </w:pPr>
      <w:bookmarkStart w:id="0" w:name="_GoBack"/>
      <w:bookmarkEnd w:id="0"/>
      <w:r>
        <w:t>КАБИНЕТ МИНИСТРОВ ЧУВАШСКОЙ РЕСПУБЛИКИ</w:t>
      </w:r>
    </w:p>
    <w:p w:rsidR="00AA3548" w:rsidRDefault="00AA3548">
      <w:pPr>
        <w:pStyle w:val="ConsPlusTitle"/>
        <w:jc w:val="center"/>
      </w:pPr>
    </w:p>
    <w:p w:rsidR="00AA3548" w:rsidRDefault="00AA3548">
      <w:pPr>
        <w:pStyle w:val="ConsPlusTitle"/>
        <w:jc w:val="center"/>
      </w:pPr>
      <w:r>
        <w:t>ПОСТАНОВЛЕНИЕ</w:t>
      </w:r>
    </w:p>
    <w:p w:rsidR="00AA3548" w:rsidRDefault="00AA3548">
      <w:pPr>
        <w:pStyle w:val="ConsPlusTitle"/>
        <w:jc w:val="center"/>
      </w:pPr>
      <w:r>
        <w:t>от 29 ноября 2007 г. N 309</w:t>
      </w:r>
    </w:p>
    <w:p w:rsidR="00AA3548" w:rsidRDefault="00AA3548">
      <w:pPr>
        <w:pStyle w:val="ConsPlusTitle"/>
        <w:jc w:val="center"/>
      </w:pPr>
    </w:p>
    <w:p w:rsidR="00AA3548" w:rsidRDefault="00AA3548">
      <w:pPr>
        <w:pStyle w:val="ConsPlusTitle"/>
        <w:jc w:val="center"/>
      </w:pPr>
      <w:r>
        <w:t>ОБ УТВЕРЖДЕНИИ ПОРЯДКА ПРЕДОСТАВЛЕНИЯ, ИСПОЛЬЗОВАНИЯ</w:t>
      </w:r>
    </w:p>
    <w:p w:rsidR="00AA3548" w:rsidRDefault="00AA3548">
      <w:pPr>
        <w:pStyle w:val="ConsPlusTitle"/>
        <w:jc w:val="center"/>
      </w:pPr>
      <w:r>
        <w:t>И ВОЗВРАТА БЮДЖЕТНЫХ КРЕДИТОВ, ПРЕДОСТАВЛЕННЫХ МЕСТНЫМ</w:t>
      </w:r>
    </w:p>
    <w:p w:rsidR="00AA3548" w:rsidRDefault="00AA3548">
      <w:pPr>
        <w:pStyle w:val="ConsPlusTitle"/>
        <w:jc w:val="center"/>
      </w:pPr>
      <w:r>
        <w:t>БЮДЖЕТАМ ИЗ РЕСПУБЛИКАНСКОГО БЮДЖЕТА ЧУВАШСКОЙ РЕСПУБЛИКИ</w:t>
      </w:r>
    </w:p>
    <w:p w:rsidR="00AA3548" w:rsidRDefault="00AA3548">
      <w:pPr>
        <w:pStyle w:val="ConsPlusNormal"/>
        <w:jc w:val="center"/>
      </w:pPr>
      <w:r>
        <w:t>Список изменяющих документов</w:t>
      </w:r>
    </w:p>
    <w:p w:rsidR="00AA3548" w:rsidRDefault="00AA3548">
      <w:pPr>
        <w:pStyle w:val="ConsPlusNormal"/>
        <w:jc w:val="center"/>
      </w:pPr>
      <w:r>
        <w:t xml:space="preserve">(в ред. </w:t>
      </w:r>
      <w:hyperlink r:id="rId6" w:history="1">
        <w:r>
          <w:rPr>
            <w:color w:val="0000FF"/>
          </w:rPr>
          <w:t>Постановления</w:t>
        </w:r>
      </w:hyperlink>
      <w:r>
        <w:t xml:space="preserve"> Кабинета Министров ЧР от 20.12.2012 N 568)</w:t>
      </w:r>
    </w:p>
    <w:p w:rsidR="00AA3548" w:rsidRDefault="00AA3548">
      <w:pPr>
        <w:pStyle w:val="ConsPlusNormal"/>
        <w:jc w:val="center"/>
      </w:pPr>
    </w:p>
    <w:p w:rsidR="00AA3548" w:rsidRDefault="00AA3548">
      <w:pPr>
        <w:pStyle w:val="ConsPlusNormal"/>
        <w:ind w:firstLine="540"/>
        <w:jc w:val="both"/>
      </w:pPr>
      <w:r>
        <w:t xml:space="preserve">В соответствии со </w:t>
      </w:r>
      <w:hyperlink r:id="rId7" w:history="1">
        <w:r>
          <w:rPr>
            <w:color w:val="0000FF"/>
          </w:rPr>
          <w:t>статьей 93.3</w:t>
        </w:r>
      </w:hyperlink>
      <w:r>
        <w:t xml:space="preserve"> Бюджетного кодекса Российской Федерации и </w:t>
      </w:r>
      <w:hyperlink r:id="rId8" w:history="1">
        <w:r>
          <w:rPr>
            <w:color w:val="0000FF"/>
          </w:rPr>
          <w:t>статьей 31.2</w:t>
        </w:r>
      </w:hyperlink>
      <w:r>
        <w:t xml:space="preserve"> Закона Чувашской Республики "О регулировании бюджетных правоотношений в Чувашской Республике" Кабинет Министров Чувашской Республики постановляет:</w:t>
      </w:r>
    </w:p>
    <w:p w:rsidR="00AA3548" w:rsidRDefault="00AA3548">
      <w:pPr>
        <w:pStyle w:val="ConsPlusNormal"/>
        <w:ind w:firstLine="540"/>
        <w:jc w:val="both"/>
      </w:pPr>
      <w:r>
        <w:t xml:space="preserve">1. Утвердить прилагаемый </w:t>
      </w:r>
      <w:hyperlink w:anchor="P33" w:history="1">
        <w:r>
          <w:rPr>
            <w:color w:val="0000FF"/>
          </w:rPr>
          <w:t>Порядок</w:t>
        </w:r>
      </w:hyperlink>
      <w:r>
        <w:t xml:space="preserve"> предоставления, использования и возврата бюджетных кредитов, предоставленных местным бюджетам из республиканского бюджета Чувашской Республики.</w:t>
      </w:r>
    </w:p>
    <w:p w:rsidR="00AA3548" w:rsidRDefault="00AA3548">
      <w:pPr>
        <w:pStyle w:val="ConsPlusNormal"/>
        <w:ind w:firstLine="540"/>
        <w:jc w:val="both"/>
      </w:pPr>
      <w:r>
        <w:t xml:space="preserve">2. Внести в </w:t>
      </w:r>
      <w:hyperlink r:id="rId9" w:history="1">
        <w:r>
          <w:rPr>
            <w:color w:val="0000FF"/>
          </w:rPr>
          <w:t>Методику</w:t>
        </w:r>
      </w:hyperlink>
      <w:r>
        <w:t xml:space="preserve"> расчета сумм бюджетных кредитов местным бюджетам на покрытие временных кассовых разрывов, возникающих при исполнении местных бюджетов, утвержденную постановлением Кабинета Министров Чувашской Республики от 28 мая 2007 г. N 117, следующие изменения:</w:t>
      </w:r>
    </w:p>
    <w:p w:rsidR="00AA3548" w:rsidRDefault="00AA3548">
      <w:pPr>
        <w:pStyle w:val="ConsPlusNormal"/>
        <w:ind w:firstLine="540"/>
        <w:jc w:val="both"/>
      </w:pPr>
      <w:r>
        <w:t xml:space="preserve">в </w:t>
      </w:r>
      <w:hyperlink r:id="rId10" w:history="1">
        <w:r>
          <w:rPr>
            <w:color w:val="0000FF"/>
          </w:rPr>
          <w:t>пункте 1.3</w:t>
        </w:r>
      </w:hyperlink>
      <w:r>
        <w:t xml:space="preserve"> слова "статьей 17.4" заменить словами "статьей 31.2";</w:t>
      </w:r>
    </w:p>
    <w:p w:rsidR="00AA3548" w:rsidRDefault="00AA3548">
      <w:pPr>
        <w:pStyle w:val="ConsPlusNormal"/>
        <w:ind w:firstLine="540"/>
        <w:jc w:val="both"/>
      </w:pPr>
      <w:r>
        <w:t xml:space="preserve">в </w:t>
      </w:r>
      <w:hyperlink r:id="rId11" w:history="1">
        <w:r>
          <w:rPr>
            <w:color w:val="0000FF"/>
          </w:rPr>
          <w:t>пункте 3.2</w:t>
        </w:r>
      </w:hyperlink>
      <w:r>
        <w:t xml:space="preserve"> слова "с поквартальной разбивкой, предусмотренной сводной бюджетной росписью" заменить словами "со сводной бюджетной росписью".</w:t>
      </w:r>
    </w:p>
    <w:p w:rsidR="00AA3548" w:rsidRDefault="00AA3548">
      <w:pPr>
        <w:pStyle w:val="ConsPlusNormal"/>
        <w:ind w:firstLine="540"/>
        <w:jc w:val="both"/>
      </w:pPr>
      <w:r>
        <w:t>3. Настоящее постановление вступает в силу с 1 января 2008 года.</w:t>
      </w:r>
    </w:p>
    <w:p w:rsidR="00AA3548" w:rsidRDefault="00AA3548">
      <w:pPr>
        <w:pStyle w:val="ConsPlusNormal"/>
        <w:ind w:firstLine="540"/>
        <w:jc w:val="both"/>
      </w:pPr>
    </w:p>
    <w:p w:rsidR="00AA3548" w:rsidRDefault="00AA3548">
      <w:pPr>
        <w:pStyle w:val="ConsPlusNormal"/>
        <w:jc w:val="right"/>
      </w:pPr>
      <w:r>
        <w:t>Председатель Кабинета Министров</w:t>
      </w:r>
    </w:p>
    <w:p w:rsidR="00AA3548" w:rsidRDefault="00AA3548">
      <w:pPr>
        <w:pStyle w:val="ConsPlusNormal"/>
        <w:jc w:val="right"/>
      </w:pPr>
      <w:r>
        <w:t>Чувашской Республики</w:t>
      </w:r>
    </w:p>
    <w:p w:rsidR="00AA3548" w:rsidRDefault="00AA3548">
      <w:pPr>
        <w:pStyle w:val="ConsPlusNormal"/>
        <w:jc w:val="right"/>
      </w:pPr>
      <w:r>
        <w:t>С.ГАПЛИКОВ</w:t>
      </w:r>
    </w:p>
    <w:p w:rsidR="00AA3548" w:rsidRDefault="00AA3548">
      <w:pPr>
        <w:pStyle w:val="ConsPlusNormal"/>
        <w:ind w:firstLine="540"/>
        <w:jc w:val="both"/>
      </w:pPr>
    </w:p>
    <w:p w:rsidR="00AA3548" w:rsidRDefault="00AA3548">
      <w:pPr>
        <w:pStyle w:val="ConsPlusNormal"/>
        <w:ind w:firstLine="540"/>
        <w:jc w:val="both"/>
      </w:pPr>
    </w:p>
    <w:p w:rsidR="00AA3548" w:rsidRDefault="00AA3548">
      <w:pPr>
        <w:pStyle w:val="ConsPlusNormal"/>
        <w:ind w:firstLine="540"/>
        <w:jc w:val="both"/>
      </w:pPr>
    </w:p>
    <w:p w:rsidR="00AA3548" w:rsidRDefault="00AA3548">
      <w:pPr>
        <w:pStyle w:val="ConsPlusNormal"/>
        <w:ind w:firstLine="540"/>
        <w:jc w:val="both"/>
      </w:pPr>
    </w:p>
    <w:p w:rsidR="00AA3548" w:rsidRDefault="00AA3548">
      <w:pPr>
        <w:pStyle w:val="ConsPlusNormal"/>
        <w:ind w:firstLine="540"/>
        <w:jc w:val="both"/>
      </w:pPr>
    </w:p>
    <w:p w:rsidR="00AA3548" w:rsidRDefault="00AA3548">
      <w:pPr>
        <w:pStyle w:val="ConsPlusNormal"/>
        <w:jc w:val="right"/>
      </w:pPr>
      <w:r>
        <w:t>Утвержден</w:t>
      </w:r>
    </w:p>
    <w:p w:rsidR="00AA3548" w:rsidRDefault="00AA3548">
      <w:pPr>
        <w:pStyle w:val="ConsPlusNormal"/>
        <w:jc w:val="right"/>
      </w:pPr>
      <w:r>
        <w:t>постановлением</w:t>
      </w:r>
    </w:p>
    <w:p w:rsidR="00AA3548" w:rsidRDefault="00AA3548">
      <w:pPr>
        <w:pStyle w:val="ConsPlusNormal"/>
        <w:jc w:val="right"/>
      </w:pPr>
      <w:r>
        <w:t>Кабинета Министров</w:t>
      </w:r>
    </w:p>
    <w:p w:rsidR="00AA3548" w:rsidRDefault="00AA3548">
      <w:pPr>
        <w:pStyle w:val="ConsPlusNormal"/>
        <w:jc w:val="right"/>
      </w:pPr>
      <w:r>
        <w:t>Чувашской Республики</w:t>
      </w:r>
    </w:p>
    <w:p w:rsidR="00AA3548" w:rsidRDefault="00AA3548">
      <w:pPr>
        <w:pStyle w:val="ConsPlusNormal"/>
        <w:jc w:val="right"/>
      </w:pPr>
      <w:r>
        <w:t>от 29.11.2007 N 309</w:t>
      </w:r>
    </w:p>
    <w:p w:rsidR="00AA3548" w:rsidRDefault="00AA3548">
      <w:pPr>
        <w:pStyle w:val="ConsPlusNormal"/>
        <w:ind w:firstLine="540"/>
        <w:jc w:val="both"/>
      </w:pPr>
    </w:p>
    <w:p w:rsidR="00AA3548" w:rsidRDefault="00AA3548">
      <w:pPr>
        <w:pStyle w:val="ConsPlusTitle"/>
        <w:jc w:val="center"/>
      </w:pPr>
      <w:bookmarkStart w:id="1" w:name="P33"/>
      <w:bookmarkEnd w:id="1"/>
      <w:r>
        <w:t>ПОРЯДОК</w:t>
      </w:r>
    </w:p>
    <w:p w:rsidR="00AA3548" w:rsidRDefault="00AA3548">
      <w:pPr>
        <w:pStyle w:val="ConsPlusTitle"/>
        <w:jc w:val="center"/>
      </w:pPr>
      <w:r>
        <w:t>ПРЕДОСТАВЛЕНИЯ, ИСПОЛЬЗОВАНИЯ И ВОЗВРАТА БЮДЖЕТНЫХ КРЕДИТОВ,</w:t>
      </w:r>
    </w:p>
    <w:p w:rsidR="00AA3548" w:rsidRDefault="00AA3548">
      <w:pPr>
        <w:pStyle w:val="ConsPlusTitle"/>
        <w:jc w:val="center"/>
      </w:pPr>
      <w:proofErr w:type="gramStart"/>
      <w:r>
        <w:t>ПРЕДОСТАВЛЕННЫХ</w:t>
      </w:r>
      <w:proofErr w:type="gramEnd"/>
      <w:r>
        <w:t xml:space="preserve"> МЕСТНЫМ БЮДЖЕТАМ ИЗ РЕСПУБЛИКАНСКОГО БЮДЖЕТА</w:t>
      </w:r>
    </w:p>
    <w:p w:rsidR="00AA3548" w:rsidRDefault="00AA3548">
      <w:pPr>
        <w:pStyle w:val="ConsPlusTitle"/>
        <w:jc w:val="center"/>
      </w:pPr>
      <w:r>
        <w:t>ЧУВАШСКОЙ РЕСПУБЛИКИ</w:t>
      </w:r>
    </w:p>
    <w:p w:rsidR="00AA3548" w:rsidRDefault="00AA3548">
      <w:pPr>
        <w:pStyle w:val="ConsPlusNormal"/>
        <w:jc w:val="center"/>
      </w:pPr>
      <w:r>
        <w:t>Список изменяющих документов</w:t>
      </w:r>
    </w:p>
    <w:p w:rsidR="00AA3548" w:rsidRDefault="00AA3548">
      <w:pPr>
        <w:pStyle w:val="ConsPlusNormal"/>
        <w:jc w:val="center"/>
      </w:pPr>
      <w:r>
        <w:t xml:space="preserve">(в ред. </w:t>
      </w:r>
      <w:hyperlink r:id="rId12" w:history="1">
        <w:r>
          <w:rPr>
            <w:color w:val="0000FF"/>
          </w:rPr>
          <w:t>Постановления</w:t>
        </w:r>
      </w:hyperlink>
      <w:r>
        <w:t xml:space="preserve"> Кабинета Министров ЧР от 20.12.2012 N 568)</w:t>
      </w:r>
    </w:p>
    <w:p w:rsidR="00AA3548" w:rsidRDefault="00AA3548">
      <w:pPr>
        <w:pStyle w:val="ConsPlusNormal"/>
        <w:ind w:firstLine="540"/>
        <w:jc w:val="both"/>
      </w:pPr>
    </w:p>
    <w:p w:rsidR="00AA3548" w:rsidRDefault="00AA3548">
      <w:pPr>
        <w:pStyle w:val="ConsPlusNormal"/>
        <w:ind w:firstLine="540"/>
        <w:jc w:val="both"/>
      </w:pPr>
      <w:r>
        <w:t xml:space="preserve">1. </w:t>
      </w:r>
      <w:proofErr w:type="gramStart"/>
      <w:r>
        <w:t xml:space="preserve">Настоящий Порядок определяет порядок предоставления бюджетных кредитов местным бюджетам из республиканского бюджета Чувашской Республики на покрытие временных кассовых разрывов, возникающих при исполнении местных бюджетов, на частичное покрытие дефицитов местных бюджетов, возникающих в связи с реализацией инвестиционных программ, и </w:t>
      </w:r>
      <w:r>
        <w:lastRenderedPageBreak/>
        <w:t>на осуществление мероприятий, связанных с ликвидацией последствий стихийных бедствий и техногенных аварий (далее - бюджетные кредиты), а также использования и возврата местными бюджетами</w:t>
      </w:r>
      <w:proofErr w:type="gramEnd"/>
      <w:r>
        <w:t xml:space="preserve"> указанных бюджетных кредитов.</w:t>
      </w:r>
    </w:p>
    <w:p w:rsidR="00AA3548" w:rsidRDefault="00AA3548">
      <w:pPr>
        <w:pStyle w:val="ConsPlusNormal"/>
        <w:jc w:val="both"/>
      </w:pPr>
      <w:r>
        <w:t xml:space="preserve">(п. 1 в ред. </w:t>
      </w:r>
      <w:hyperlink r:id="rId13" w:history="1">
        <w:r>
          <w:rPr>
            <w:color w:val="0000FF"/>
          </w:rPr>
          <w:t>Постановления</w:t>
        </w:r>
      </w:hyperlink>
      <w:r>
        <w:t xml:space="preserve"> Кабинета Министров ЧР от 20.12.2012 N 568)</w:t>
      </w:r>
    </w:p>
    <w:p w:rsidR="00AA3548" w:rsidRDefault="00AA3548">
      <w:pPr>
        <w:pStyle w:val="ConsPlusNormal"/>
        <w:ind w:firstLine="540"/>
        <w:jc w:val="both"/>
      </w:pPr>
      <w:r>
        <w:t xml:space="preserve">2. Величина временного кассового разрыва, возникающего при исполнении местного бюджета, определяется в соответствии с </w:t>
      </w:r>
      <w:hyperlink r:id="rId14" w:history="1">
        <w:r>
          <w:rPr>
            <w:color w:val="0000FF"/>
          </w:rPr>
          <w:t>Методикой</w:t>
        </w:r>
      </w:hyperlink>
      <w:r>
        <w:t xml:space="preserve"> расчета сумм бюджетных кредитов местным бюджетам на покрытие временных кассовых разрывов, возникающих при исполнении местных бюджетов, утвержденной постановлением Кабинета Министров Чувашской Республики от 28 мая 2007 г. N 117.</w:t>
      </w:r>
    </w:p>
    <w:p w:rsidR="00AA3548" w:rsidRDefault="00AA3548">
      <w:pPr>
        <w:pStyle w:val="ConsPlusNormal"/>
        <w:ind w:firstLine="540"/>
        <w:jc w:val="both"/>
      </w:pPr>
      <w:r>
        <w:t>3. При наличии или прогнозируемом возникновении временного кассового разрыва, дефицита местного бюджета, возникающего в связи с реализацией инвестиционных программ, либо осуществлении мероприятий, связанных с ликвидацией последствий стихийных бедствий и техногенных аварий, орган местного самоуправления вправе обратиться в Министерство финансов Чувашской Республики за предоставлением бюджетного кредита.</w:t>
      </w:r>
    </w:p>
    <w:p w:rsidR="00AA3548" w:rsidRDefault="00AA3548">
      <w:pPr>
        <w:pStyle w:val="ConsPlusNormal"/>
        <w:ind w:firstLine="540"/>
        <w:jc w:val="both"/>
      </w:pPr>
      <w:r>
        <w:t>Обращение о предоставлении бюджетного кредита должно содержать:</w:t>
      </w:r>
    </w:p>
    <w:p w:rsidR="00AA3548" w:rsidRDefault="00AA3548">
      <w:pPr>
        <w:pStyle w:val="ConsPlusNormal"/>
        <w:ind w:firstLine="540"/>
        <w:jc w:val="both"/>
      </w:pPr>
      <w:proofErr w:type="gramStart"/>
      <w:r>
        <w:t>обоснование необходимости выделения средств;</w:t>
      </w:r>
      <w:proofErr w:type="gramEnd"/>
    </w:p>
    <w:p w:rsidR="00AA3548" w:rsidRDefault="00AA3548">
      <w:pPr>
        <w:pStyle w:val="ConsPlusNormal"/>
        <w:ind w:firstLine="540"/>
        <w:jc w:val="both"/>
      </w:pPr>
      <w:proofErr w:type="gramStart"/>
      <w:r>
        <w:t>сведения о поступивших доходах и произведенных расходах местного бюджета за отчетный финансовый год, за истекший период текущего финансового года, плановые значения доходов и расходов на текущий финансовый год, прогноз доходов, расходов и источников финансирования дефицита местного бюджета на год и месяц, в котором предполагается предоставление бюджетного кредита, по форме согласно приложению к настоящему Порядку;</w:t>
      </w:r>
      <w:proofErr w:type="gramEnd"/>
    </w:p>
    <w:p w:rsidR="00AA3548" w:rsidRDefault="00AA3548">
      <w:pPr>
        <w:pStyle w:val="ConsPlusNormal"/>
        <w:ind w:firstLine="540"/>
        <w:jc w:val="both"/>
      </w:pPr>
      <w:r>
        <w:t>источники и сроки погашения бюджетного кредита в течение текущего финансового года.</w:t>
      </w:r>
    </w:p>
    <w:p w:rsidR="00AA3548" w:rsidRDefault="00AA3548">
      <w:pPr>
        <w:pStyle w:val="ConsPlusNormal"/>
        <w:ind w:firstLine="540"/>
        <w:jc w:val="both"/>
      </w:pPr>
      <w:proofErr w:type="gramStart"/>
      <w:r>
        <w:t>В случае поступления обращений о предоставлении бюджетного кредита на реализацию инвестиционных программ указанное обращение должно содержать сведения о поступивших доходах и произведенных расходах местного бюджета за отчетный финансовый год, за истекший период текущего финансового года, плановые значения доходов и расходов на текущий финансовый год и на два последующих плановых периода, прогноз доходов, расходов и источников финансирования дефицита местного бюджета на</w:t>
      </w:r>
      <w:proofErr w:type="gramEnd"/>
      <w:r>
        <w:t xml:space="preserve"> год и месяц, в котором предполагается предоставление бюджетного кредита, и на два последующих плановых периода по форме согласно приложению к настоящему Порядку.</w:t>
      </w:r>
    </w:p>
    <w:p w:rsidR="00AA3548" w:rsidRDefault="00AA3548">
      <w:pPr>
        <w:pStyle w:val="ConsPlusNormal"/>
        <w:ind w:firstLine="540"/>
        <w:jc w:val="both"/>
      </w:pPr>
      <w:r>
        <w:t>Министерство финансов Чувашской Республики вправе запрашивать иные сведения, необходимые для принятия решения о предоставлении бюджетного кредита.</w:t>
      </w:r>
    </w:p>
    <w:p w:rsidR="00AA3548" w:rsidRDefault="00AA3548">
      <w:pPr>
        <w:pStyle w:val="ConsPlusNormal"/>
        <w:jc w:val="both"/>
      </w:pPr>
      <w:r>
        <w:t xml:space="preserve">(п. 3 в ред. </w:t>
      </w:r>
      <w:hyperlink r:id="rId15" w:history="1">
        <w:r>
          <w:rPr>
            <w:color w:val="0000FF"/>
          </w:rPr>
          <w:t>Постановления</w:t>
        </w:r>
      </w:hyperlink>
      <w:r>
        <w:t xml:space="preserve"> Кабинета Министров ЧР от 20.12.2012 N 568)</w:t>
      </w:r>
    </w:p>
    <w:p w:rsidR="00AA3548" w:rsidRDefault="00AA3548">
      <w:pPr>
        <w:pStyle w:val="ConsPlusNormal"/>
        <w:ind w:firstLine="540"/>
        <w:jc w:val="both"/>
      </w:pPr>
      <w:r>
        <w:t>4. Бюджетный кредит может быть предоставлен местному бюджету в случае:</w:t>
      </w:r>
    </w:p>
    <w:p w:rsidR="00AA3548" w:rsidRDefault="00AA3548">
      <w:pPr>
        <w:pStyle w:val="ConsPlusNormal"/>
        <w:ind w:firstLine="540"/>
        <w:jc w:val="both"/>
      </w:pPr>
      <w:r>
        <w:t>если расходы местного бюджета в месяце, в котором предполагается предоставление бюджетного кредита, превышают доходы местного бюджета в этом месяце, увеличенные на сумму налоговых льгот, предоставленных органами местного самоуправления, и средств, поступивших из источников финансирования дефицита местного бюджета;</w:t>
      </w:r>
    </w:p>
    <w:p w:rsidR="00AA3548" w:rsidRDefault="00AA3548">
      <w:pPr>
        <w:pStyle w:val="ConsPlusNormal"/>
        <w:ind w:firstLine="540"/>
        <w:jc w:val="both"/>
      </w:pPr>
      <w:r>
        <w:t>необходимости осуществления расходов, связанных с ликвидацией последствий стихийных бедствий и техногенных аварий;</w:t>
      </w:r>
    </w:p>
    <w:p w:rsidR="00AA3548" w:rsidRDefault="00AA3548">
      <w:pPr>
        <w:pStyle w:val="ConsPlusNormal"/>
        <w:jc w:val="both"/>
      </w:pPr>
      <w:r>
        <w:t xml:space="preserve">(в ред. </w:t>
      </w:r>
      <w:hyperlink r:id="rId16" w:history="1">
        <w:r>
          <w:rPr>
            <w:color w:val="0000FF"/>
          </w:rPr>
          <w:t>Постановления</w:t>
        </w:r>
      </w:hyperlink>
      <w:r>
        <w:t xml:space="preserve"> Кабинета Министров ЧР от 20.12.2012 N 568)</w:t>
      </w:r>
    </w:p>
    <w:p w:rsidR="00AA3548" w:rsidRDefault="00AA3548">
      <w:pPr>
        <w:pStyle w:val="ConsPlusNormal"/>
        <w:ind w:firstLine="540"/>
        <w:jc w:val="both"/>
      </w:pPr>
      <w:r>
        <w:t>возникновения дефицита местного бюджета в связи с реализацией инвестиционных программ.</w:t>
      </w:r>
    </w:p>
    <w:p w:rsidR="00AA3548" w:rsidRDefault="00AA3548">
      <w:pPr>
        <w:pStyle w:val="ConsPlusNormal"/>
        <w:jc w:val="both"/>
      </w:pPr>
      <w:r>
        <w:t xml:space="preserve">(абзац введен </w:t>
      </w:r>
      <w:hyperlink r:id="rId17" w:history="1">
        <w:r>
          <w:rPr>
            <w:color w:val="0000FF"/>
          </w:rPr>
          <w:t>Постановлением</w:t>
        </w:r>
      </w:hyperlink>
      <w:r>
        <w:t xml:space="preserve"> Кабинета Министров ЧР от 20.12.2012 N 568)</w:t>
      </w:r>
    </w:p>
    <w:p w:rsidR="00AA3548" w:rsidRDefault="00AA3548">
      <w:pPr>
        <w:pStyle w:val="ConsPlusNormal"/>
        <w:ind w:firstLine="540"/>
        <w:jc w:val="both"/>
      </w:pPr>
      <w:r>
        <w:t>5. Бюджетные кредиты предоставляются:</w:t>
      </w:r>
    </w:p>
    <w:p w:rsidR="00AA3548" w:rsidRDefault="00AA3548">
      <w:pPr>
        <w:pStyle w:val="ConsPlusNormal"/>
        <w:ind w:firstLine="540"/>
        <w:jc w:val="both"/>
      </w:pPr>
      <w:proofErr w:type="gramStart"/>
      <w:r>
        <w:t>на срок, не выходящий за пределы финансового года, для покрытия временных кассовых разрывов, возникающих при исполнении местных бюджетов, и осуществления мероприятий, связанных с ликвидацией последствий стихийных бедствий и техногенных аварий, по процентной ставке, установленной в соответствии с законом Чувашской Республики о республиканском бюджете Чувашской Республики на очередной финансовый год и плановый период;</w:t>
      </w:r>
      <w:proofErr w:type="gramEnd"/>
    </w:p>
    <w:p w:rsidR="00AA3548" w:rsidRDefault="00AA3548">
      <w:pPr>
        <w:pStyle w:val="ConsPlusNormal"/>
        <w:ind w:firstLine="540"/>
        <w:jc w:val="both"/>
      </w:pPr>
      <w:proofErr w:type="gramStart"/>
      <w:r>
        <w:t>на срок до трех лет для частичного покрытия дефицитов местных бюджетов, возникающих в связи с реализацией инвестиционных программ, по процентной ставке, установленной в соответствии с законом Чувашской Республики о республиканском бюджете Чувашской Республики на очередной финансовый год и плановый период.</w:t>
      </w:r>
      <w:proofErr w:type="gramEnd"/>
    </w:p>
    <w:p w:rsidR="00AA3548" w:rsidRDefault="00AA3548">
      <w:pPr>
        <w:pStyle w:val="ConsPlusNormal"/>
        <w:jc w:val="both"/>
      </w:pPr>
      <w:r>
        <w:lastRenderedPageBreak/>
        <w:t xml:space="preserve">(п. 5 в ред. </w:t>
      </w:r>
      <w:hyperlink r:id="rId18" w:history="1">
        <w:r>
          <w:rPr>
            <w:color w:val="0000FF"/>
          </w:rPr>
          <w:t>Постановления</w:t>
        </w:r>
      </w:hyperlink>
      <w:r>
        <w:t xml:space="preserve"> Кабинета Министров ЧР от 20.12.2012 N 568)</w:t>
      </w:r>
    </w:p>
    <w:p w:rsidR="00AA3548" w:rsidRDefault="00AA3548">
      <w:pPr>
        <w:pStyle w:val="ConsPlusNormal"/>
        <w:ind w:firstLine="540"/>
        <w:jc w:val="both"/>
      </w:pPr>
      <w:r>
        <w:t>6. Решение о предоставлении бюджетного кредита с указанием размера и срока (сроков) его возврата принимается министром финансов Чувашской Республики.</w:t>
      </w:r>
    </w:p>
    <w:p w:rsidR="00AA3548" w:rsidRDefault="00AA3548">
      <w:pPr>
        <w:pStyle w:val="ConsPlusNormal"/>
        <w:ind w:firstLine="540"/>
        <w:jc w:val="both"/>
      </w:pPr>
      <w:r>
        <w:t>7. Бюджетный кредит не предоставляется местному бюджету, имеющему просроченную задолженность по бюджетным кредитам, полученным ранее из республиканского бюджета Чувашской Республики.</w:t>
      </w:r>
    </w:p>
    <w:p w:rsidR="00AA3548" w:rsidRDefault="00AA3548">
      <w:pPr>
        <w:pStyle w:val="ConsPlusNormal"/>
        <w:ind w:firstLine="540"/>
        <w:jc w:val="both"/>
      </w:pPr>
      <w:r>
        <w:t>8. Предоставление бюджетного кредита оформляется соглашением между Министерством финансов Чувашской Республики и органом местного самоуправления.</w:t>
      </w:r>
    </w:p>
    <w:p w:rsidR="00AA3548" w:rsidRDefault="00AA3548">
      <w:pPr>
        <w:pStyle w:val="ConsPlusNormal"/>
        <w:ind w:firstLine="540"/>
        <w:jc w:val="both"/>
      </w:pPr>
      <w:proofErr w:type="gramStart"/>
      <w:r>
        <w:t xml:space="preserve">Министерство финансов Чувашской Республики устанавливает требования к содержанию соглашения о предоставлении бюджетного кредита, условия предоставления бюджетного кредита в соответствии с законом Чувашской Республики о республиканском </w:t>
      </w:r>
      <w:hyperlink r:id="rId19" w:history="1">
        <w:r>
          <w:rPr>
            <w:color w:val="0000FF"/>
          </w:rPr>
          <w:t>бюджете</w:t>
        </w:r>
      </w:hyperlink>
      <w:r>
        <w:t xml:space="preserve"> Чувашской Республики на очередной финансовый год и плановый период, а также предусматривает меры ответственности в соответствии с законодательством Российской Федерации и законодательством Чувашской Республики за нецелевое использование и несвоевременный возврат бюджетного кредита.</w:t>
      </w:r>
      <w:proofErr w:type="gramEnd"/>
    </w:p>
    <w:p w:rsidR="00AA3548" w:rsidRDefault="00AA3548">
      <w:pPr>
        <w:pStyle w:val="ConsPlusNormal"/>
        <w:ind w:firstLine="540"/>
        <w:jc w:val="both"/>
      </w:pPr>
      <w:r>
        <w:t xml:space="preserve">9. </w:t>
      </w:r>
      <w:proofErr w:type="gramStart"/>
      <w:r>
        <w:t>Размер бюджетного кредита определяется возможностями республиканского бюджета Чувашской Республики исходя из величины временного кассового разрыва, предельного размера дефицита местного бюджета, предельного размера муниципального долга, утвержденного муниципальным правовым актом представительного органа муниципального образования о местном бюджете на текущий финансовый год (текущий финансовый год и плановый период), размера расходов на осуществление мероприятий, связанных с ликвидацией последствий стихийных бедствий и техногенных аварий.</w:t>
      </w:r>
      <w:proofErr w:type="gramEnd"/>
    </w:p>
    <w:p w:rsidR="00AA3548" w:rsidRDefault="00AA3548">
      <w:pPr>
        <w:pStyle w:val="ConsPlusNormal"/>
        <w:jc w:val="both"/>
      </w:pPr>
      <w:r>
        <w:t>(</w:t>
      </w:r>
      <w:proofErr w:type="gramStart"/>
      <w:r>
        <w:t>п</w:t>
      </w:r>
      <w:proofErr w:type="gramEnd"/>
      <w:r>
        <w:t xml:space="preserve">. 9 в ред. </w:t>
      </w:r>
      <w:hyperlink r:id="rId20" w:history="1">
        <w:r>
          <w:rPr>
            <w:color w:val="0000FF"/>
          </w:rPr>
          <w:t>Постановления</w:t>
        </w:r>
      </w:hyperlink>
      <w:r>
        <w:t xml:space="preserve"> Кабинета Министров ЧР от 20.12.2012 N 568)</w:t>
      </w:r>
    </w:p>
    <w:p w:rsidR="00AA3548" w:rsidRDefault="00AA3548">
      <w:pPr>
        <w:pStyle w:val="ConsPlusNormal"/>
        <w:ind w:firstLine="540"/>
        <w:jc w:val="both"/>
      </w:pPr>
      <w:r>
        <w:t>10. Бюджетный кредит, полученный местным бюджетом, используется на покрытие временного кассового разрыва, возникающего при исполнении местного бюджета, на частичное покрытие дефицита местного бюджета, возникающего в связи с реализацией инвестиционных программ, и на осуществление мероприятий, связанных с ликвидацией последствий стихийных бедствий и техногенных аварий.</w:t>
      </w:r>
    </w:p>
    <w:p w:rsidR="00AA3548" w:rsidRDefault="00AA3548">
      <w:pPr>
        <w:pStyle w:val="ConsPlusNormal"/>
        <w:jc w:val="both"/>
      </w:pPr>
      <w:r>
        <w:t>(</w:t>
      </w:r>
      <w:proofErr w:type="gramStart"/>
      <w:r>
        <w:t>п</w:t>
      </w:r>
      <w:proofErr w:type="gramEnd"/>
      <w:r>
        <w:t xml:space="preserve">. 10 в ред. </w:t>
      </w:r>
      <w:hyperlink r:id="rId21" w:history="1">
        <w:r>
          <w:rPr>
            <w:color w:val="0000FF"/>
          </w:rPr>
          <w:t>Постановления</w:t>
        </w:r>
      </w:hyperlink>
      <w:r>
        <w:t xml:space="preserve"> Кабинета Министров ЧР от 20.12.2012 N 568)</w:t>
      </w:r>
    </w:p>
    <w:p w:rsidR="00AA3548" w:rsidRDefault="00AA3548">
      <w:pPr>
        <w:pStyle w:val="ConsPlusNormal"/>
        <w:ind w:firstLine="540"/>
        <w:jc w:val="both"/>
      </w:pPr>
      <w:r>
        <w:t>11. Возврат бюджетного кредита в республиканский бюджет Чувашской Республики осуществляется местным бюджетом в порядке и сроки, установленные соглашением о предоставлении бюджетного кредита.</w:t>
      </w:r>
    </w:p>
    <w:p w:rsidR="00AA3548" w:rsidRDefault="00AA3548">
      <w:pPr>
        <w:pStyle w:val="ConsPlusNormal"/>
        <w:ind w:firstLine="540"/>
        <w:jc w:val="both"/>
      </w:pPr>
      <w:r>
        <w:t xml:space="preserve">12. </w:t>
      </w:r>
      <w:proofErr w:type="gramStart"/>
      <w:r>
        <w:t>Контроль за</w:t>
      </w:r>
      <w:proofErr w:type="gramEnd"/>
      <w:r>
        <w:t xml:space="preserve"> своевременным возвратом бюджетных кредитов в республиканский бюджет Чувашской Республики осуществляется в соответствии с законодательством Российской Федерации и законодательством Чувашской Республики.</w:t>
      </w:r>
    </w:p>
    <w:p w:rsidR="00AA3548" w:rsidRDefault="00AA3548">
      <w:pPr>
        <w:pStyle w:val="ConsPlusNormal"/>
        <w:ind w:firstLine="540"/>
        <w:jc w:val="both"/>
      </w:pPr>
    </w:p>
    <w:p w:rsidR="00AA3548" w:rsidRDefault="00AA3548">
      <w:pPr>
        <w:pStyle w:val="ConsPlusNormal"/>
        <w:ind w:firstLine="540"/>
        <w:jc w:val="both"/>
      </w:pPr>
    </w:p>
    <w:p w:rsidR="00AA3548" w:rsidRDefault="00AA3548">
      <w:pPr>
        <w:pStyle w:val="ConsPlusNormal"/>
        <w:ind w:firstLine="540"/>
        <w:jc w:val="both"/>
      </w:pPr>
    </w:p>
    <w:p w:rsidR="00AA3548" w:rsidRDefault="00AA3548">
      <w:pPr>
        <w:pStyle w:val="ConsPlusNormal"/>
        <w:ind w:firstLine="540"/>
        <w:jc w:val="both"/>
      </w:pPr>
    </w:p>
    <w:p w:rsidR="00AA3548" w:rsidRDefault="00AA3548">
      <w:pPr>
        <w:pStyle w:val="ConsPlusNormal"/>
        <w:ind w:firstLine="540"/>
        <w:jc w:val="both"/>
      </w:pPr>
    </w:p>
    <w:p w:rsidR="00AA3548" w:rsidRDefault="00AA3548">
      <w:pPr>
        <w:pStyle w:val="ConsPlusNormal"/>
        <w:jc w:val="right"/>
      </w:pPr>
      <w:r>
        <w:t>Приложение</w:t>
      </w:r>
    </w:p>
    <w:p w:rsidR="00AA3548" w:rsidRDefault="00AA3548">
      <w:pPr>
        <w:pStyle w:val="ConsPlusNormal"/>
        <w:jc w:val="right"/>
      </w:pPr>
      <w:r>
        <w:t>к Порядку предоставления,</w:t>
      </w:r>
    </w:p>
    <w:p w:rsidR="00AA3548" w:rsidRDefault="00AA3548">
      <w:pPr>
        <w:pStyle w:val="ConsPlusNormal"/>
        <w:jc w:val="right"/>
      </w:pPr>
      <w:r>
        <w:t>использования и возврата</w:t>
      </w:r>
    </w:p>
    <w:p w:rsidR="00AA3548" w:rsidRDefault="00AA3548">
      <w:pPr>
        <w:pStyle w:val="ConsPlusNormal"/>
        <w:jc w:val="right"/>
      </w:pPr>
      <w:r>
        <w:t>бюджетных кредитов,</w:t>
      </w:r>
    </w:p>
    <w:p w:rsidR="00AA3548" w:rsidRDefault="00AA3548">
      <w:pPr>
        <w:pStyle w:val="ConsPlusNormal"/>
        <w:jc w:val="right"/>
      </w:pPr>
      <w:proofErr w:type="gramStart"/>
      <w:r>
        <w:t>предоставленных</w:t>
      </w:r>
      <w:proofErr w:type="gramEnd"/>
      <w:r>
        <w:t xml:space="preserve"> местным бюджетам</w:t>
      </w:r>
    </w:p>
    <w:p w:rsidR="00AA3548" w:rsidRDefault="00AA3548">
      <w:pPr>
        <w:pStyle w:val="ConsPlusNormal"/>
        <w:jc w:val="right"/>
      </w:pPr>
      <w:r>
        <w:t>из республиканского бюджета</w:t>
      </w:r>
    </w:p>
    <w:p w:rsidR="00AA3548" w:rsidRDefault="00AA3548">
      <w:pPr>
        <w:pStyle w:val="ConsPlusNormal"/>
        <w:jc w:val="right"/>
      </w:pPr>
      <w:r>
        <w:t>Чувашской Республики</w:t>
      </w:r>
    </w:p>
    <w:p w:rsidR="00AA3548" w:rsidRDefault="00AA3548">
      <w:pPr>
        <w:pStyle w:val="ConsPlusNormal"/>
        <w:jc w:val="center"/>
      </w:pPr>
      <w:r>
        <w:t>Список изменяющих документов</w:t>
      </w:r>
    </w:p>
    <w:p w:rsidR="00AA3548" w:rsidRDefault="00AA3548">
      <w:pPr>
        <w:pStyle w:val="ConsPlusNormal"/>
        <w:jc w:val="center"/>
      </w:pPr>
      <w:r>
        <w:t xml:space="preserve">(введено </w:t>
      </w:r>
      <w:hyperlink r:id="rId22" w:history="1">
        <w:r>
          <w:rPr>
            <w:color w:val="0000FF"/>
          </w:rPr>
          <w:t>Постановлением</w:t>
        </w:r>
      </w:hyperlink>
      <w:r>
        <w:t xml:space="preserve"> Кабинета Министров ЧР от 20.12.2012 N 568)</w:t>
      </w:r>
    </w:p>
    <w:p w:rsidR="00AA3548" w:rsidRDefault="00AA3548">
      <w:pPr>
        <w:pStyle w:val="ConsPlusNormal"/>
        <w:jc w:val="center"/>
      </w:pPr>
    </w:p>
    <w:p w:rsidR="00AA3548" w:rsidRDefault="00AA3548">
      <w:pPr>
        <w:pStyle w:val="ConsPlusNonformat"/>
        <w:jc w:val="both"/>
      </w:pPr>
      <w:r>
        <w:t xml:space="preserve">                                 СВЕДЕНИЯ</w:t>
      </w:r>
    </w:p>
    <w:p w:rsidR="00AA3548" w:rsidRDefault="00AA3548">
      <w:pPr>
        <w:pStyle w:val="ConsPlusNonformat"/>
        <w:jc w:val="both"/>
      </w:pPr>
      <w:r>
        <w:t xml:space="preserve">              о поступивших доходах и произведенных расходах</w:t>
      </w:r>
    </w:p>
    <w:p w:rsidR="00AA3548" w:rsidRDefault="00AA3548">
      <w:pPr>
        <w:pStyle w:val="ConsPlusNonformat"/>
        <w:jc w:val="both"/>
      </w:pPr>
      <w:r>
        <w:t xml:space="preserve">        местного бюджета _________________________________________</w:t>
      </w:r>
    </w:p>
    <w:p w:rsidR="00AA3548" w:rsidRDefault="00AA3548">
      <w:pPr>
        <w:pStyle w:val="ConsPlusNonformat"/>
        <w:jc w:val="both"/>
      </w:pPr>
      <w:r>
        <w:t xml:space="preserve">                         (наименование муниципального образования)</w:t>
      </w:r>
    </w:p>
    <w:p w:rsidR="00AA3548" w:rsidRDefault="00AA3548">
      <w:pPr>
        <w:pStyle w:val="ConsPlusNonformat"/>
        <w:jc w:val="both"/>
      </w:pPr>
      <w:r>
        <w:t xml:space="preserve">        за отчетный финансовый год, за истекший период ______ года,</w:t>
      </w:r>
    </w:p>
    <w:p w:rsidR="00AA3548" w:rsidRDefault="00AA3548">
      <w:pPr>
        <w:pStyle w:val="ConsPlusNonformat"/>
        <w:jc w:val="both"/>
      </w:pPr>
      <w:r>
        <w:lastRenderedPageBreak/>
        <w:t xml:space="preserve">            плановые значения доходов и расходов на ______ год</w:t>
      </w:r>
    </w:p>
    <w:p w:rsidR="00AA3548" w:rsidRDefault="00AA3548">
      <w:pPr>
        <w:pStyle w:val="ConsPlusNonformat"/>
        <w:jc w:val="both"/>
      </w:pPr>
      <w:r>
        <w:t xml:space="preserve">        и на плановый период _____ и ______ годов, прогноз доходов,</w:t>
      </w:r>
    </w:p>
    <w:p w:rsidR="00AA3548" w:rsidRDefault="00AA3548">
      <w:pPr>
        <w:pStyle w:val="ConsPlusNonformat"/>
        <w:jc w:val="both"/>
      </w:pPr>
      <w:r>
        <w:t xml:space="preserve">               расходов и источников финансирования дефицита</w:t>
      </w:r>
    </w:p>
    <w:p w:rsidR="00AA3548" w:rsidRDefault="00AA3548">
      <w:pPr>
        <w:pStyle w:val="ConsPlusNonformat"/>
        <w:jc w:val="both"/>
      </w:pPr>
      <w:r>
        <w:t xml:space="preserve">        местного бюджета _________________________________________</w:t>
      </w:r>
    </w:p>
    <w:p w:rsidR="00AA3548" w:rsidRDefault="00AA3548">
      <w:pPr>
        <w:pStyle w:val="ConsPlusNonformat"/>
        <w:jc w:val="both"/>
      </w:pPr>
      <w:r>
        <w:t xml:space="preserve">                         (наименование муниципального образования)</w:t>
      </w:r>
    </w:p>
    <w:p w:rsidR="00AA3548" w:rsidRDefault="00AA3548">
      <w:pPr>
        <w:pStyle w:val="ConsPlusNonformat"/>
        <w:jc w:val="both"/>
      </w:pPr>
      <w:r>
        <w:t xml:space="preserve">           на ______ год и __________, в котором предполагается</w:t>
      </w:r>
    </w:p>
    <w:p w:rsidR="00AA3548" w:rsidRDefault="00AA3548">
      <w:pPr>
        <w:pStyle w:val="ConsPlusNonformat"/>
        <w:jc w:val="both"/>
      </w:pPr>
      <w:r>
        <w:t xml:space="preserve">             предоставление бюджетного кредита, и на </w:t>
      </w:r>
      <w:proofErr w:type="gramStart"/>
      <w:r>
        <w:t>плановый</w:t>
      </w:r>
      <w:proofErr w:type="gramEnd"/>
    </w:p>
    <w:p w:rsidR="00AA3548" w:rsidRDefault="00AA3548">
      <w:pPr>
        <w:pStyle w:val="ConsPlusNonformat"/>
        <w:jc w:val="both"/>
      </w:pPr>
      <w:r>
        <w:t xml:space="preserve">                        период _____ и ______ годов</w:t>
      </w:r>
    </w:p>
    <w:p w:rsidR="00AA3548" w:rsidRDefault="00AA3548">
      <w:pPr>
        <w:pStyle w:val="ConsPlusNonformat"/>
        <w:jc w:val="both"/>
      </w:pPr>
    </w:p>
    <w:p w:rsidR="00AA3548" w:rsidRDefault="00AA3548">
      <w:pPr>
        <w:pStyle w:val="ConsPlusNonformat"/>
        <w:jc w:val="both"/>
      </w:pPr>
      <w:r>
        <w:t xml:space="preserve">                                                              (тыс. рублей)</w:t>
      </w: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32"/>
        <w:gridCol w:w="2160"/>
        <w:gridCol w:w="720"/>
        <w:gridCol w:w="1368"/>
        <w:gridCol w:w="1440"/>
        <w:gridCol w:w="792"/>
        <w:gridCol w:w="792"/>
        <w:gridCol w:w="360"/>
        <w:gridCol w:w="432"/>
      </w:tblGrid>
      <w:tr w:rsidR="00AA3548">
        <w:trPr>
          <w:trHeight w:val="140"/>
        </w:trPr>
        <w:tc>
          <w:tcPr>
            <w:tcW w:w="432" w:type="dxa"/>
            <w:vMerge w:val="restart"/>
          </w:tcPr>
          <w:p w:rsidR="00AA3548" w:rsidRDefault="00AA3548">
            <w:pPr>
              <w:pStyle w:val="ConsPlusNonformat"/>
              <w:jc w:val="both"/>
            </w:pPr>
            <w:r>
              <w:rPr>
                <w:sz w:val="12"/>
              </w:rPr>
              <w:t xml:space="preserve"> N  </w:t>
            </w:r>
          </w:p>
          <w:p w:rsidR="00AA3548" w:rsidRDefault="00AA3548">
            <w:pPr>
              <w:pStyle w:val="ConsPlusNonformat"/>
              <w:jc w:val="both"/>
            </w:pPr>
            <w:proofErr w:type="gramStart"/>
            <w:r>
              <w:rPr>
                <w:sz w:val="12"/>
              </w:rPr>
              <w:t>п</w:t>
            </w:r>
            <w:proofErr w:type="gramEnd"/>
            <w:r>
              <w:rPr>
                <w:sz w:val="12"/>
              </w:rPr>
              <w:t xml:space="preserve">/п </w:t>
            </w:r>
          </w:p>
        </w:tc>
        <w:tc>
          <w:tcPr>
            <w:tcW w:w="2160" w:type="dxa"/>
            <w:vMerge w:val="restart"/>
          </w:tcPr>
          <w:p w:rsidR="00AA3548" w:rsidRDefault="00AA3548">
            <w:pPr>
              <w:pStyle w:val="ConsPlusNonformat"/>
              <w:jc w:val="both"/>
            </w:pPr>
            <w:r>
              <w:rPr>
                <w:sz w:val="12"/>
              </w:rPr>
              <w:t xml:space="preserve">      Показатели            </w:t>
            </w:r>
          </w:p>
        </w:tc>
        <w:tc>
          <w:tcPr>
            <w:tcW w:w="720" w:type="dxa"/>
            <w:vMerge w:val="restart"/>
          </w:tcPr>
          <w:p w:rsidR="00AA3548" w:rsidRDefault="00AA3548">
            <w:pPr>
              <w:pStyle w:val="ConsPlusNonformat"/>
              <w:jc w:val="both"/>
            </w:pPr>
            <w:r>
              <w:rPr>
                <w:sz w:val="12"/>
              </w:rPr>
              <w:t>Отчетный</w:t>
            </w:r>
          </w:p>
          <w:p w:rsidR="00AA3548" w:rsidRDefault="00AA3548">
            <w:pPr>
              <w:pStyle w:val="ConsPlusNonformat"/>
              <w:jc w:val="both"/>
            </w:pPr>
            <w:r>
              <w:rPr>
                <w:sz w:val="12"/>
              </w:rPr>
              <w:t xml:space="preserve">финан-  </w:t>
            </w:r>
          </w:p>
          <w:p w:rsidR="00AA3548" w:rsidRDefault="00AA3548">
            <w:pPr>
              <w:pStyle w:val="ConsPlusNonformat"/>
              <w:jc w:val="both"/>
            </w:pPr>
            <w:r>
              <w:rPr>
                <w:sz w:val="12"/>
              </w:rPr>
              <w:t xml:space="preserve">совый   </w:t>
            </w:r>
          </w:p>
          <w:p w:rsidR="00AA3548" w:rsidRDefault="00AA3548">
            <w:pPr>
              <w:pStyle w:val="ConsPlusNonformat"/>
              <w:jc w:val="both"/>
            </w:pPr>
            <w:r>
              <w:rPr>
                <w:sz w:val="12"/>
              </w:rPr>
              <w:t xml:space="preserve">год     </w:t>
            </w:r>
          </w:p>
        </w:tc>
        <w:tc>
          <w:tcPr>
            <w:tcW w:w="4392" w:type="dxa"/>
            <w:gridSpan w:val="4"/>
          </w:tcPr>
          <w:p w:rsidR="00AA3548" w:rsidRDefault="00AA3548">
            <w:pPr>
              <w:pStyle w:val="ConsPlusNonformat"/>
              <w:jc w:val="both"/>
            </w:pPr>
            <w:r>
              <w:rPr>
                <w:sz w:val="12"/>
              </w:rPr>
              <w:t xml:space="preserve">                Текущий финансовый год                  </w:t>
            </w:r>
          </w:p>
        </w:tc>
        <w:tc>
          <w:tcPr>
            <w:tcW w:w="792" w:type="dxa"/>
            <w:gridSpan w:val="2"/>
          </w:tcPr>
          <w:p w:rsidR="00AA3548" w:rsidRDefault="00AA3548">
            <w:pPr>
              <w:pStyle w:val="ConsPlusNonformat"/>
              <w:jc w:val="both"/>
            </w:pPr>
            <w:r>
              <w:rPr>
                <w:sz w:val="12"/>
              </w:rPr>
              <w:t>Плановый</w:t>
            </w:r>
          </w:p>
          <w:p w:rsidR="00AA3548" w:rsidRDefault="00AA3548">
            <w:pPr>
              <w:pStyle w:val="ConsPlusNonformat"/>
              <w:jc w:val="both"/>
            </w:pPr>
            <w:r>
              <w:rPr>
                <w:sz w:val="12"/>
              </w:rPr>
              <w:t xml:space="preserve"> период </w:t>
            </w:r>
          </w:p>
          <w:p w:rsidR="00AA3548" w:rsidRDefault="00AA3548">
            <w:pPr>
              <w:pStyle w:val="ConsPlusNonformat"/>
              <w:jc w:val="both"/>
            </w:pPr>
            <w:hyperlink w:anchor="P298" w:history="1">
              <w:r>
                <w:rPr>
                  <w:color w:val="0000FF"/>
                  <w:sz w:val="12"/>
                </w:rPr>
                <w:t>&lt;*&gt;</w:t>
              </w:r>
            </w:hyperlink>
          </w:p>
        </w:tc>
      </w:tr>
      <w:tr w:rsidR="00AA3548">
        <w:tc>
          <w:tcPr>
            <w:tcW w:w="360" w:type="dxa"/>
            <w:vMerge/>
            <w:tcBorders>
              <w:top w:val="nil"/>
            </w:tcBorders>
          </w:tcPr>
          <w:p w:rsidR="00AA3548" w:rsidRDefault="00AA3548"/>
        </w:tc>
        <w:tc>
          <w:tcPr>
            <w:tcW w:w="2088" w:type="dxa"/>
            <w:vMerge/>
            <w:tcBorders>
              <w:top w:val="nil"/>
            </w:tcBorders>
          </w:tcPr>
          <w:p w:rsidR="00AA3548" w:rsidRDefault="00AA3548"/>
        </w:tc>
        <w:tc>
          <w:tcPr>
            <w:tcW w:w="648" w:type="dxa"/>
            <w:vMerge/>
            <w:tcBorders>
              <w:top w:val="nil"/>
            </w:tcBorders>
          </w:tcPr>
          <w:p w:rsidR="00AA3548" w:rsidRDefault="00AA3548"/>
        </w:tc>
        <w:tc>
          <w:tcPr>
            <w:tcW w:w="1368" w:type="dxa"/>
            <w:tcBorders>
              <w:top w:val="nil"/>
            </w:tcBorders>
          </w:tcPr>
          <w:p w:rsidR="00AA3548" w:rsidRDefault="00AA3548">
            <w:pPr>
              <w:pStyle w:val="ConsPlusNonformat"/>
              <w:jc w:val="both"/>
            </w:pPr>
            <w:r>
              <w:rPr>
                <w:sz w:val="12"/>
              </w:rPr>
              <w:t xml:space="preserve"> уточненный план </w:t>
            </w:r>
          </w:p>
          <w:p w:rsidR="00AA3548" w:rsidRDefault="00AA3548">
            <w:pPr>
              <w:pStyle w:val="ConsPlusNonformat"/>
              <w:jc w:val="both"/>
            </w:pPr>
            <w:r>
              <w:rPr>
                <w:sz w:val="12"/>
              </w:rPr>
              <w:t>на начало месяца,</w:t>
            </w:r>
          </w:p>
          <w:p w:rsidR="00AA3548" w:rsidRDefault="00AA3548">
            <w:pPr>
              <w:pStyle w:val="ConsPlusNonformat"/>
              <w:jc w:val="both"/>
            </w:pPr>
            <w:r>
              <w:rPr>
                <w:sz w:val="12"/>
              </w:rPr>
              <w:t xml:space="preserve">    в котором    </w:t>
            </w:r>
          </w:p>
          <w:p w:rsidR="00AA3548" w:rsidRDefault="00AA3548">
            <w:pPr>
              <w:pStyle w:val="ConsPlusNonformat"/>
              <w:jc w:val="both"/>
            </w:pPr>
            <w:r>
              <w:rPr>
                <w:sz w:val="12"/>
              </w:rPr>
              <w:t>предусматривается</w:t>
            </w:r>
          </w:p>
          <w:p w:rsidR="00AA3548" w:rsidRDefault="00AA3548">
            <w:pPr>
              <w:pStyle w:val="ConsPlusNonformat"/>
              <w:jc w:val="both"/>
            </w:pPr>
            <w:r>
              <w:rPr>
                <w:sz w:val="12"/>
              </w:rPr>
              <w:t xml:space="preserve">   привлечение   </w:t>
            </w:r>
          </w:p>
          <w:p w:rsidR="00AA3548" w:rsidRDefault="00AA3548">
            <w:pPr>
              <w:pStyle w:val="ConsPlusNonformat"/>
              <w:jc w:val="both"/>
            </w:pPr>
            <w:r>
              <w:rPr>
                <w:sz w:val="12"/>
              </w:rPr>
              <w:t xml:space="preserve">   бюджетного    </w:t>
            </w:r>
          </w:p>
          <w:p w:rsidR="00AA3548" w:rsidRDefault="00AA3548">
            <w:pPr>
              <w:pStyle w:val="ConsPlusNonformat"/>
              <w:jc w:val="both"/>
            </w:pPr>
            <w:r>
              <w:rPr>
                <w:sz w:val="12"/>
              </w:rPr>
              <w:t xml:space="preserve">     кредита     </w:t>
            </w:r>
          </w:p>
        </w:tc>
        <w:tc>
          <w:tcPr>
            <w:tcW w:w="1440" w:type="dxa"/>
            <w:tcBorders>
              <w:top w:val="nil"/>
            </w:tcBorders>
          </w:tcPr>
          <w:p w:rsidR="00AA3548" w:rsidRDefault="00AA3548">
            <w:pPr>
              <w:pStyle w:val="ConsPlusNonformat"/>
              <w:jc w:val="both"/>
            </w:pPr>
            <w:r>
              <w:rPr>
                <w:sz w:val="12"/>
              </w:rPr>
              <w:t xml:space="preserve">    исполнено     </w:t>
            </w:r>
          </w:p>
          <w:p w:rsidR="00AA3548" w:rsidRDefault="00AA3548">
            <w:pPr>
              <w:pStyle w:val="ConsPlusNonformat"/>
              <w:jc w:val="both"/>
            </w:pPr>
            <w:r>
              <w:rPr>
                <w:sz w:val="12"/>
              </w:rPr>
              <w:t xml:space="preserve">  с начала года   </w:t>
            </w:r>
          </w:p>
          <w:p w:rsidR="00AA3548" w:rsidRDefault="00AA3548">
            <w:pPr>
              <w:pStyle w:val="ConsPlusNonformat"/>
              <w:jc w:val="both"/>
            </w:pPr>
            <w:r>
              <w:rPr>
                <w:sz w:val="12"/>
              </w:rPr>
              <w:t xml:space="preserve">на начало месяца, </w:t>
            </w:r>
          </w:p>
          <w:p w:rsidR="00AA3548" w:rsidRDefault="00AA3548">
            <w:pPr>
              <w:pStyle w:val="ConsPlusNonformat"/>
              <w:jc w:val="both"/>
            </w:pPr>
            <w:r>
              <w:rPr>
                <w:sz w:val="12"/>
              </w:rPr>
              <w:t>предусматривающего</w:t>
            </w:r>
          </w:p>
          <w:p w:rsidR="00AA3548" w:rsidRDefault="00AA3548">
            <w:pPr>
              <w:pStyle w:val="ConsPlusNonformat"/>
              <w:jc w:val="both"/>
            </w:pPr>
            <w:r>
              <w:rPr>
                <w:sz w:val="12"/>
              </w:rPr>
              <w:t xml:space="preserve">   привлечение    </w:t>
            </w:r>
          </w:p>
          <w:p w:rsidR="00AA3548" w:rsidRDefault="00AA3548">
            <w:pPr>
              <w:pStyle w:val="ConsPlusNonformat"/>
              <w:jc w:val="both"/>
            </w:pPr>
            <w:r>
              <w:rPr>
                <w:sz w:val="12"/>
              </w:rPr>
              <w:t xml:space="preserve">    бюджетного    </w:t>
            </w:r>
          </w:p>
          <w:p w:rsidR="00AA3548" w:rsidRDefault="00AA3548">
            <w:pPr>
              <w:pStyle w:val="ConsPlusNonformat"/>
              <w:jc w:val="both"/>
            </w:pPr>
            <w:r>
              <w:rPr>
                <w:sz w:val="12"/>
              </w:rPr>
              <w:t xml:space="preserve">     кредита      </w:t>
            </w:r>
          </w:p>
        </w:tc>
        <w:tc>
          <w:tcPr>
            <w:tcW w:w="792" w:type="dxa"/>
            <w:tcBorders>
              <w:top w:val="nil"/>
            </w:tcBorders>
          </w:tcPr>
          <w:p w:rsidR="00AA3548" w:rsidRDefault="00AA3548">
            <w:pPr>
              <w:pStyle w:val="ConsPlusNonformat"/>
              <w:jc w:val="both"/>
            </w:pPr>
            <w:r>
              <w:rPr>
                <w:sz w:val="12"/>
              </w:rPr>
              <w:t>ожидаемая</w:t>
            </w:r>
          </w:p>
          <w:p w:rsidR="00AA3548" w:rsidRDefault="00AA3548">
            <w:pPr>
              <w:pStyle w:val="ConsPlusNonformat"/>
              <w:jc w:val="both"/>
            </w:pPr>
            <w:r>
              <w:rPr>
                <w:sz w:val="12"/>
              </w:rPr>
              <w:t xml:space="preserve"> оценка  </w:t>
            </w:r>
          </w:p>
          <w:p w:rsidR="00AA3548" w:rsidRDefault="00AA3548">
            <w:pPr>
              <w:pStyle w:val="ConsPlusNonformat"/>
              <w:jc w:val="both"/>
            </w:pPr>
            <w:r>
              <w:rPr>
                <w:sz w:val="12"/>
              </w:rPr>
              <w:t xml:space="preserve">в месяце </w:t>
            </w:r>
          </w:p>
          <w:p w:rsidR="00AA3548" w:rsidRDefault="00AA3548">
            <w:pPr>
              <w:pStyle w:val="ConsPlusNonformat"/>
              <w:jc w:val="both"/>
            </w:pPr>
            <w:r>
              <w:rPr>
                <w:sz w:val="12"/>
              </w:rPr>
              <w:t>получения</w:t>
            </w:r>
          </w:p>
          <w:p w:rsidR="00AA3548" w:rsidRDefault="00AA3548">
            <w:pPr>
              <w:pStyle w:val="ConsPlusNonformat"/>
              <w:jc w:val="both"/>
            </w:pPr>
            <w:r>
              <w:rPr>
                <w:sz w:val="12"/>
              </w:rPr>
              <w:t xml:space="preserve"> кредита </w:t>
            </w:r>
          </w:p>
        </w:tc>
        <w:tc>
          <w:tcPr>
            <w:tcW w:w="792" w:type="dxa"/>
            <w:tcBorders>
              <w:top w:val="nil"/>
            </w:tcBorders>
          </w:tcPr>
          <w:p w:rsidR="00AA3548" w:rsidRDefault="00AA3548">
            <w:pPr>
              <w:pStyle w:val="ConsPlusNonformat"/>
              <w:jc w:val="both"/>
            </w:pPr>
            <w:r>
              <w:rPr>
                <w:sz w:val="12"/>
              </w:rPr>
              <w:t>ожидаемая</w:t>
            </w:r>
          </w:p>
          <w:p w:rsidR="00AA3548" w:rsidRDefault="00AA3548">
            <w:pPr>
              <w:pStyle w:val="ConsPlusNonformat"/>
              <w:jc w:val="both"/>
            </w:pPr>
            <w:r>
              <w:rPr>
                <w:sz w:val="12"/>
              </w:rPr>
              <w:t xml:space="preserve"> оценка  </w:t>
            </w:r>
          </w:p>
          <w:p w:rsidR="00AA3548" w:rsidRDefault="00AA3548">
            <w:pPr>
              <w:pStyle w:val="ConsPlusNonformat"/>
              <w:jc w:val="both"/>
            </w:pPr>
            <w:r>
              <w:rPr>
                <w:sz w:val="12"/>
              </w:rPr>
              <w:t xml:space="preserve"> за год  </w:t>
            </w:r>
          </w:p>
        </w:tc>
        <w:tc>
          <w:tcPr>
            <w:tcW w:w="360" w:type="dxa"/>
            <w:tcBorders>
              <w:top w:val="nil"/>
            </w:tcBorders>
          </w:tcPr>
          <w:p w:rsidR="00AA3548" w:rsidRDefault="00AA3548">
            <w:pPr>
              <w:pStyle w:val="ConsPlusNonformat"/>
              <w:jc w:val="both"/>
            </w:pPr>
            <w:r>
              <w:rPr>
                <w:sz w:val="12"/>
              </w:rPr>
              <w:t>___</w:t>
            </w:r>
          </w:p>
          <w:p w:rsidR="00AA3548" w:rsidRDefault="00AA3548">
            <w:pPr>
              <w:pStyle w:val="ConsPlusNonformat"/>
              <w:jc w:val="both"/>
            </w:pPr>
            <w:r>
              <w:rPr>
                <w:sz w:val="12"/>
              </w:rPr>
              <w:t>год</w:t>
            </w:r>
          </w:p>
        </w:tc>
        <w:tc>
          <w:tcPr>
            <w:tcW w:w="432" w:type="dxa"/>
            <w:tcBorders>
              <w:top w:val="nil"/>
            </w:tcBorders>
          </w:tcPr>
          <w:p w:rsidR="00AA3548" w:rsidRDefault="00AA3548">
            <w:pPr>
              <w:pStyle w:val="ConsPlusNonformat"/>
              <w:jc w:val="both"/>
            </w:pPr>
            <w:r>
              <w:rPr>
                <w:sz w:val="12"/>
              </w:rPr>
              <w:t xml:space="preserve">___ </w:t>
            </w:r>
          </w:p>
          <w:p w:rsidR="00AA3548" w:rsidRDefault="00AA3548">
            <w:pPr>
              <w:pStyle w:val="ConsPlusNonformat"/>
              <w:jc w:val="both"/>
            </w:pPr>
            <w:r>
              <w:rPr>
                <w:sz w:val="12"/>
              </w:rPr>
              <w:t xml:space="preserve">год </w:t>
            </w:r>
          </w:p>
        </w:tc>
      </w:tr>
      <w:tr w:rsidR="00AA3548">
        <w:trPr>
          <w:trHeight w:val="140"/>
        </w:trPr>
        <w:tc>
          <w:tcPr>
            <w:tcW w:w="432" w:type="dxa"/>
            <w:tcBorders>
              <w:top w:val="nil"/>
            </w:tcBorders>
          </w:tcPr>
          <w:p w:rsidR="00AA3548" w:rsidRDefault="00AA3548">
            <w:pPr>
              <w:pStyle w:val="ConsPlusNonformat"/>
              <w:jc w:val="both"/>
            </w:pPr>
          </w:p>
        </w:tc>
        <w:tc>
          <w:tcPr>
            <w:tcW w:w="2160" w:type="dxa"/>
            <w:tcBorders>
              <w:top w:val="nil"/>
            </w:tcBorders>
          </w:tcPr>
          <w:p w:rsidR="00AA3548" w:rsidRDefault="00AA3548">
            <w:pPr>
              <w:pStyle w:val="ConsPlusNonformat"/>
              <w:jc w:val="both"/>
            </w:pPr>
            <w:r>
              <w:rPr>
                <w:sz w:val="12"/>
              </w:rPr>
              <w:t xml:space="preserve">          1                 </w:t>
            </w:r>
          </w:p>
        </w:tc>
        <w:tc>
          <w:tcPr>
            <w:tcW w:w="720" w:type="dxa"/>
            <w:tcBorders>
              <w:top w:val="nil"/>
            </w:tcBorders>
          </w:tcPr>
          <w:p w:rsidR="00AA3548" w:rsidRDefault="00AA3548">
            <w:pPr>
              <w:pStyle w:val="ConsPlusNonformat"/>
              <w:jc w:val="both"/>
            </w:pPr>
            <w:r>
              <w:rPr>
                <w:sz w:val="12"/>
              </w:rPr>
              <w:t xml:space="preserve">   2    </w:t>
            </w:r>
          </w:p>
        </w:tc>
        <w:tc>
          <w:tcPr>
            <w:tcW w:w="1368" w:type="dxa"/>
            <w:tcBorders>
              <w:top w:val="nil"/>
            </w:tcBorders>
          </w:tcPr>
          <w:p w:rsidR="00AA3548" w:rsidRDefault="00AA3548">
            <w:pPr>
              <w:pStyle w:val="ConsPlusNonformat"/>
              <w:jc w:val="both"/>
            </w:pPr>
            <w:r>
              <w:rPr>
                <w:sz w:val="12"/>
              </w:rPr>
              <w:t xml:space="preserve">        3        </w:t>
            </w:r>
          </w:p>
        </w:tc>
        <w:tc>
          <w:tcPr>
            <w:tcW w:w="1440" w:type="dxa"/>
            <w:tcBorders>
              <w:top w:val="nil"/>
            </w:tcBorders>
          </w:tcPr>
          <w:p w:rsidR="00AA3548" w:rsidRDefault="00AA3548">
            <w:pPr>
              <w:pStyle w:val="ConsPlusNonformat"/>
              <w:jc w:val="both"/>
            </w:pPr>
            <w:r>
              <w:rPr>
                <w:sz w:val="12"/>
              </w:rPr>
              <w:t xml:space="preserve">        4         </w:t>
            </w:r>
          </w:p>
        </w:tc>
        <w:tc>
          <w:tcPr>
            <w:tcW w:w="792" w:type="dxa"/>
            <w:tcBorders>
              <w:top w:val="nil"/>
            </w:tcBorders>
          </w:tcPr>
          <w:p w:rsidR="00AA3548" w:rsidRDefault="00AA3548">
            <w:pPr>
              <w:pStyle w:val="ConsPlusNonformat"/>
              <w:jc w:val="both"/>
            </w:pPr>
            <w:r>
              <w:rPr>
                <w:sz w:val="12"/>
              </w:rPr>
              <w:t xml:space="preserve">    5    </w:t>
            </w:r>
          </w:p>
        </w:tc>
        <w:tc>
          <w:tcPr>
            <w:tcW w:w="792" w:type="dxa"/>
            <w:tcBorders>
              <w:top w:val="nil"/>
            </w:tcBorders>
          </w:tcPr>
          <w:p w:rsidR="00AA3548" w:rsidRDefault="00AA3548">
            <w:pPr>
              <w:pStyle w:val="ConsPlusNonformat"/>
              <w:jc w:val="both"/>
            </w:pPr>
            <w:r>
              <w:rPr>
                <w:sz w:val="12"/>
              </w:rPr>
              <w:t xml:space="preserve">    6    </w:t>
            </w:r>
          </w:p>
        </w:tc>
        <w:tc>
          <w:tcPr>
            <w:tcW w:w="360" w:type="dxa"/>
            <w:tcBorders>
              <w:top w:val="nil"/>
            </w:tcBorders>
          </w:tcPr>
          <w:p w:rsidR="00AA3548" w:rsidRDefault="00AA3548">
            <w:pPr>
              <w:pStyle w:val="ConsPlusNonformat"/>
              <w:jc w:val="both"/>
            </w:pPr>
            <w:r>
              <w:rPr>
                <w:sz w:val="12"/>
              </w:rPr>
              <w:t xml:space="preserve"> 7 </w:t>
            </w:r>
          </w:p>
        </w:tc>
        <w:tc>
          <w:tcPr>
            <w:tcW w:w="432" w:type="dxa"/>
            <w:tcBorders>
              <w:top w:val="nil"/>
            </w:tcBorders>
          </w:tcPr>
          <w:p w:rsidR="00AA3548" w:rsidRDefault="00AA3548">
            <w:pPr>
              <w:pStyle w:val="ConsPlusNonformat"/>
              <w:jc w:val="both"/>
            </w:pPr>
            <w:r>
              <w:rPr>
                <w:sz w:val="12"/>
              </w:rPr>
              <w:t xml:space="preserve"> 8  </w:t>
            </w:r>
          </w:p>
        </w:tc>
      </w:tr>
      <w:tr w:rsidR="00AA3548">
        <w:trPr>
          <w:trHeight w:val="140"/>
        </w:trPr>
        <w:tc>
          <w:tcPr>
            <w:tcW w:w="432" w:type="dxa"/>
            <w:tcBorders>
              <w:top w:val="nil"/>
            </w:tcBorders>
          </w:tcPr>
          <w:p w:rsidR="00AA3548" w:rsidRDefault="00AA3548">
            <w:pPr>
              <w:pStyle w:val="ConsPlusNonformat"/>
              <w:jc w:val="both"/>
            </w:pPr>
            <w:r>
              <w:rPr>
                <w:sz w:val="12"/>
              </w:rPr>
              <w:t xml:space="preserve">  I.</w:t>
            </w:r>
          </w:p>
        </w:tc>
        <w:tc>
          <w:tcPr>
            <w:tcW w:w="2160" w:type="dxa"/>
            <w:tcBorders>
              <w:top w:val="nil"/>
            </w:tcBorders>
          </w:tcPr>
          <w:p w:rsidR="00AA3548" w:rsidRDefault="00AA3548">
            <w:pPr>
              <w:pStyle w:val="ConsPlusNonformat"/>
              <w:jc w:val="both"/>
            </w:pPr>
            <w:r>
              <w:rPr>
                <w:sz w:val="12"/>
              </w:rPr>
              <w:t xml:space="preserve">Доходы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 xml:space="preserve">  1.</w:t>
            </w:r>
          </w:p>
        </w:tc>
        <w:tc>
          <w:tcPr>
            <w:tcW w:w="2160" w:type="dxa"/>
            <w:tcBorders>
              <w:top w:val="nil"/>
            </w:tcBorders>
          </w:tcPr>
          <w:p w:rsidR="00AA3548" w:rsidRDefault="00AA3548">
            <w:pPr>
              <w:pStyle w:val="ConsPlusNonformat"/>
              <w:jc w:val="both"/>
            </w:pPr>
            <w:r>
              <w:rPr>
                <w:sz w:val="12"/>
              </w:rPr>
              <w:t xml:space="preserve">Собственные доходы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vMerge w:val="restart"/>
            <w:tcBorders>
              <w:top w:val="nil"/>
            </w:tcBorders>
          </w:tcPr>
          <w:p w:rsidR="00AA3548" w:rsidRDefault="00AA3548">
            <w:pPr>
              <w:pStyle w:val="ConsPlusNonformat"/>
              <w:jc w:val="both"/>
            </w:pPr>
            <w:r>
              <w:rPr>
                <w:sz w:val="12"/>
              </w:rPr>
              <w:t>1.1.</w:t>
            </w:r>
          </w:p>
        </w:tc>
        <w:tc>
          <w:tcPr>
            <w:tcW w:w="2160" w:type="dxa"/>
            <w:tcBorders>
              <w:top w:val="nil"/>
            </w:tcBorders>
          </w:tcPr>
          <w:p w:rsidR="00AA3548" w:rsidRDefault="00AA3548">
            <w:pPr>
              <w:pStyle w:val="ConsPlusNonformat"/>
              <w:jc w:val="both"/>
            </w:pPr>
            <w:r>
              <w:rPr>
                <w:sz w:val="12"/>
              </w:rPr>
              <w:t xml:space="preserve">Налоговые доходы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из них: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налог на  доходы  </w:t>
            </w:r>
            <w:proofErr w:type="gramStart"/>
            <w:r>
              <w:rPr>
                <w:sz w:val="12"/>
              </w:rPr>
              <w:t>физических</w:t>
            </w:r>
            <w:proofErr w:type="gramEnd"/>
          </w:p>
          <w:p w:rsidR="00AA3548" w:rsidRDefault="00AA3548">
            <w:pPr>
              <w:pStyle w:val="ConsPlusNonformat"/>
              <w:jc w:val="both"/>
            </w:pPr>
            <w:r>
              <w:rPr>
                <w:sz w:val="12"/>
              </w:rPr>
              <w:t xml:space="preserve">лиц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ЕНВД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единый сельхозналог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налог      на      имущество</w:t>
            </w:r>
          </w:p>
          <w:p w:rsidR="00AA3548" w:rsidRDefault="00AA3548">
            <w:pPr>
              <w:pStyle w:val="ConsPlusNonformat"/>
              <w:jc w:val="both"/>
            </w:pPr>
            <w:r>
              <w:rPr>
                <w:sz w:val="12"/>
              </w:rPr>
              <w:t xml:space="preserve">физических лиц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госпошлина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земельный налог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прочие налоговые доходы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1.2.</w:t>
            </w:r>
          </w:p>
        </w:tc>
        <w:tc>
          <w:tcPr>
            <w:tcW w:w="2160" w:type="dxa"/>
            <w:tcBorders>
              <w:top w:val="nil"/>
            </w:tcBorders>
          </w:tcPr>
          <w:p w:rsidR="00AA3548" w:rsidRDefault="00AA3548">
            <w:pPr>
              <w:pStyle w:val="ConsPlusNonformat"/>
              <w:jc w:val="both"/>
            </w:pPr>
            <w:r>
              <w:rPr>
                <w:sz w:val="12"/>
              </w:rPr>
              <w:t xml:space="preserve">Неналоговые доходы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 xml:space="preserve">  2.</w:t>
            </w:r>
          </w:p>
        </w:tc>
        <w:tc>
          <w:tcPr>
            <w:tcW w:w="2160" w:type="dxa"/>
            <w:tcBorders>
              <w:top w:val="nil"/>
            </w:tcBorders>
          </w:tcPr>
          <w:p w:rsidR="00AA3548" w:rsidRDefault="00AA3548">
            <w:pPr>
              <w:pStyle w:val="ConsPlusNonformat"/>
              <w:jc w:val="both"/>
            </w:pPr>
            <w:r>
              <w:rPr>
                <w:sz w:val="12"/>
              </w:rPr>
              <w:t xml:space="preserve">Безвозмездные перечисления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vMerge w:val="restart"/>
            <w:tcBorders>
              <w:top w:val="nil"/>
            </w:tcBorders>
          </w:tcPr>
          <w:p w:rsidR="00AA3548" w:rsidRDefault="00AA3548">
            <w:pPr>
              <w:pStyle w:val="ConsPlusNonformat"/>
              <w:jc w:val="both"/>
            </w:pPr>
            <w:r>
              <w:rPr>
                <w:sz w:val="12"/>
              </w:rPr>
              <w:t>2.1.</w:t>
            </w:r>
          </w:p>
        </w:tc>
        <w:tc>
          <w:tcPr>
            <w:tcW w:w="2160" w:type="dxa"/>
            <w:tcBorders>
              <w:top w:val="nil"/>
            </w:tcBorders>
          </w:tcPr>
          <w:p w:rsidR="00AA3548" w:rsidRDefault="00AA3548">
            <w:pPr>
              <w:pStyle w:val="ConsPlusNonformat"/>
              <w:jc w:val="both"/>
            </w:pPr>
            <w:r>
              <w:rPr>
                <w:sz w:val="12"/>
              </w:rPr>
              <w:t xml:space="preserve">Безвозмездные поступления </w:t>
            </w:r>
            <w:proofErr w:type="gramStart"/>
            <w:r>
              <w:rPr>
                <w:sz w:val="12"/>
              </w:rPr>
              <w:t>от</w:t>
            </w:r>
            <w:proofErr w:type="gramEnd"/>
          </w:p>
          <w:p w:rsidR="00AA3548" w:rsidRDefault="00AA3548">
            <w:pPr>
              <w:pStyle w:val="ConsPlusNonformat"/>
              <w:jc w:val="both"/>
            </w:pPr>
            <w:r>
              <w:rPr>
                <w:sz w:val="12"/>
              </w:rPr>
              <w:t xml:space="preserve">других  бюджетов   </w:t>
            </w:r>
            <w:proofErr w:type="gramStart"/>
            <w:r>
              <w:rPr>
                <w:sz w:val="12"/>
              </w:rPr>
              <w:t>бюджетной</w:t>
            </w:r>
            <w:proofErr w:type="gramEnd"/>
          </w:p>
          <w:p w:rsidR="00AA3548" w:rsidRDefault="00AA3548">
            <w:pPr>
              <w:pStyle w:val="ConsPlusNonformat"/>
              <w:jc w:val="both"/>
            </w:pPr>
            <w:r>
              <w:rPr>
                <w:sz w:val="12"/>
              </w:rPr>
              <w:t xml:space="preserve">системы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из них: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дотации   на    выравнивание</w:t>
            </w:r>
          </w:p>
          <w:p w:rsidR="00AA3548" w:rsidRDefault="00AA3548">
            <w:pPr>
              <w:pStyle w:val="ConsPlusNonformat"/>
              <w:jc w:val="both"/>
            </w:pPr>
            <w:r>
              <w:rPr>
                <w:sz w:val="12"/>
              </w:rPr>
              <w:t>бюджетной     обеспеченности</w:t>
            </w:r>
          </w:p>
          <w:p w:rsidR="00AA3548" w:rsidRDefault="00AA3548">
            <w:pPr>
              <w:pStyle w:val="ConsPlusNonformat"/>
              <w:jc w:val="both"/>
            </w:pPr>
            <w:r>
              <w:rPr>
                <w:sz w:val="12"/>
              </w:rPr>
              <w:t>бюджетов       муниципальных</w:t>
            </w:r>
          </w:p>
          <w:p w:rsidR="00AA3548" w:rsidRDefault="00AA3548">
            <w:pPr>
              <w:pStyle w:val="ConsPlusNonformat"/>
              <w:jc w:val="both"/>
            </w:pPr>
            <w:r>
              <w:rPr>
                <w:sz w:val="12"/>
              </w:rPr>
              <w:t xml:space="preserve">образований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дотации на поддержку мер  </w:t>
            </w:r>
            <w:proofErr w:type="gramStart"/>
            <w:r>
              <w:rPr>
                <w:sz w:val="12"/>
              </w:rPr>
              <w:t>по</w:t>
            </w:r>
            <w:proofErr w:type="gramEnd"/>
          </w:p>
          <w:p w:rsidR="00AA3548" w:rsidRDefault="00AA3548">
            <w:pPr>
              <w:pStyle w:val="ConsPlusNonformat"/>
              <w:jc w:val="both"/>
            </w:pPr>
            <w:r>
              <w:rPr>
                <w:sz w:val="12"/>
              </w:rPr>
              <w:t xml:space="preserve">обеспечению                 </w:t>
            </w:r>
          </w:p>
          <w:p w:rsidR="00AA3548" w:rsidRDefault="00AA3548">
            <w:pPr>
              <w:pStyle w:val="ConsPlusNonformat"/>
              <w:jc w:val="both"/>
            </w:pPr>
            <w:r>
              <w:rPr>
                <w:sz w:val="12"/>
              </w:rPr>
              <w:t>сбалансированности  бюджетов</w:t>
            </w:r>
          </w:p>
          <w:p w:rsidR="00AA3548" w:rsidRDefault="00AA3548">
            <w:pPr>
              <w:pStyle w:val="ConsPlusNonformat"/>
              <w:jc w:val="both"/>
            </w:pPr>
            <w:r>
              <w:rPr>
                <w:sz w:val="12"/>
              </w:rPr>
              <w:t xml:space="preserve">муниципальных образований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p>
        </w:tc>
        <w:tc>
          <w:tcPr>
            <w:tcW w:w="2160" w:type="dxa"/>
            <w:tcBorders>
              <w:top w:val="nil"/>
            </w:tcBorders>
          </w:tcPr>
          <w:p w:rsidR="00AA3548" w:rsidRDefault="00AA3548">
            <w:pPr>
              <w:pStyle w:val="ConsPlusNonformat"/>
              <w:jc w:val="both"/>
            </w:pPr>
            <w:r>
              <w:rPr>
                <w:sz w:val="12"/>
              </w:rPr>
              <w:t xml:space="preserve">Итого доходов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 xml:space="preserve"> II.</w:t>
            </w:r>
          </w:p>
        </w:tc>
        <w:tc>
          <w:tcPr>
            <w:tcW w:w="2160" w:type="dxa"/>
            <w:tcBorders>
              <w:top w:val="nil"/>
            </w:tcBorders>
          </w:tcPr>
          <w:p w:rsidR="00AA3548" w:rsidRDefault="00AA3548">
            <w:pPr>
              <w:pStyle w:val="ConsPlusNonformat"/>
              <w:jc w:val="both"/>
            </w:pPr>
            <w:r>
              <w:rPr>
                <w:sz w:val="12"/>
              </w:rPr>
              <w:t xml:space="preserve">Расходы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 xml:space="preserve">  1.</w:t>
            </w:r>
          </w:p>
        </w:tc>
        <w:tc>
          <w:tcPr>
            <w:tcW w:w="2160" w:type="dxa"/>
            <w:tcBorders>
              <w:top w:val="nil"/>
            </w:tcBorders>
          </w:tcPr>
          <w:p w:rsidR="00AA3548" w:rsidRDefault="00AA3548">
            <w:pPr>
              <w:pStyle w:val="ConsPlusNonformat"/>
              <w:jc w:val="both"/>
            </w:pPr>
            <w:r>
              <w:rPr>
                <w:sz w:val="12"/>
              </w:rPr>
              <w:t xml:space="preserve">Социально значимые расходы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p>
        </w:tc>
        <w:tc>
          <w:tcPr>
            <w:tcW w:w="2160" w:type="dxa"/>
            <w:tcBorders>
              <w:top w:val="nil"/>
            </w:tcBorders>
          </w:tcPr>
          <w:p w:rsidR="00AA3548" w:rsidRDefault="00AA3548">
            <w:pPr>
              <w:pStyle w:val="ConsPlusNonformat"/>
              <w:jc w:val="both"/>
            </w:pPr>
            <w:r>
              <w:rPr>
                <w:sz w:val="12"/>
              </w:rPr>
              <w:t xml:space="preserve">из них: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1.1.</w:t>
            </w:r>
          </w:p>
        </w:tc>
        <w:tc>
          <w:tcPr>
            <w:tcW w:w="2160" w:type="dxa"/>
            <w:tcBorders>
              <w:top w:val="nil"/>
            </w:tcBorders>
          </w:tcPr>
          <w:p w:rsidR="00AA3548" w:rsidRDefault="00AA3548">
            <w:pPr>
              <w:pStyle w:val="ConsPlusNonformat"/>
              <w:jc w:val="both"/>
            </w:pPr>
            <w:r>
              <w:rPr>
                <w:sz w:val="12"/>
              </w:rPr>
              <w:t>Заработная      плата      и</w:t>
            </w:r>
          </w:p>
          <w:p w:rsidR="00AA3548" w:rsidRDefault="00AA3548">
            <w:pPr>
              <w:pStyle w:val="ConsPlusNonformat"/>
              <w:jc w:val="both"/>
            </w:pPr>
            <w:proofErr w:type="gramStart"/>
            <w:r>
              <w:rPr>
                <w:sz w:val="12"/>
              </w:rPr>
              <w:t>начисления  на  нее   (КОСГУ</w:t>
            </w:r>
            <w:proofErr w:type="gramEnd"/>
          </w:p>
          <w:p w:rsidR="00AA3548" w:rsidRDefault="00AA3548">
            <w:pPr>
              <w:pStyle w:val="ConsPlusNonformat"/>
              <w:jc w:val="both"/>
            </w:pPr>
            <w:proofErr w:type="gramStart"/>
            <w:r>
              <w:rPr>
                <w:sz w:val="12"/>
              </w:rPr>
              <w:t xml:space="preserve">211, 213)                   </w:t>
            </w:r>
            <w:proofErr w:type="gramEnd"/>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1.2.</w:t>
            </w:r>
          </w:p>
        </w:tc>
        <w:tc>
          <w:tcPr>
            <w:tcW w:w="2160" w:type="dxa"/>
            <w:tcBorders>
              <w:top w:val="nil"/>
            </w:tcBorders>
          </w:tcPr>
          <w:p w:rsidR="00AA3548" w:rsidRDefault="00AA3548">
            <w:pPr>
              <w:pStyle w:val="ConsPlusNonformat"/>
              <w:jc w:val="both"/>
            </w:pPr>
            <w:r>
              <w:rPr>
                <w:sz w:val="12"/>
              </w:rPr>
              <w:t>Оплата  коммунальных   услуг</w:t>
            </w:r>
          </w:p>
          <w:p w:rsidR="00AA3548" w:rsidRDefault="00AA3548">
            <w:pPr>
              <w:pStyle w:val="ConsPlusNonformat"/>
              <w:jc w:val="both"/>
            </w:pPr>
            <w:r>
              <w:rPr>
                <w:sz w:val="12"/>
              </w:rPr>
              <w:t xml:space="preserve">(КОСГУ 223)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1.3.</w:t>
            </w:r>
          </w:p>
        </w:tc>
        <w:tc>
          <w:tcPr>
            <w:tcW w:w="2160" w:type="dxa"/>
            <w:tcBorders>
              <w:top w:val="nil"/>
            </w:tcBorders>
          </w:tcPr>
          <w:p w:rsidR="00AA3548" w:rsidRDefault="00AA3548">
            <w:pPr>
              <w:pStyle w:val="ConsPlusNonformat"/>
              <w:jc w:val="both"/>
            </w:pPr>
            <w:r>
              <w:rPr>
                <w:sz w:val="12"/>
              </w:rPr>
              <w:t>Социальное       обеспечение</w:t>
            </w:r>
          </w:p>
          <w:p w:rsidR="00AA3548" w:rsidRDefault="00AA3548">
            <w:pPr>
              <w:pStyle w:val="ConsPlusNonformat"/>
              <w:jc w:val="both"/>
            </w:pPr>
            <w:r>
              <w:rPr>
                <w:sz w:val="12"/>
              </w:rPr>
              <w:t xml:space="preserve">(КОСГУ 260)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lastRenderedPageBreak/>
              <w:t xml:space="preserve">  2.</w:t>
            </w:r>
          </w:p>
        </w:tc>
        <w:tc>
          <w:tcPr>
            <w:tcW w:w="2160" w:type="dxa"/>
            <w:tcBorders>
              <w:top w:val="nil"/>
            </w:tcBorders>
          </w:tcPr>
          <w:p w:rsidR="00AA3548" w:rsidRDefault="00AA3548">
            <w:pPr>
              <w:pStyle w:val="ConsPlusNonformat"/>
              <w:jc w:val="both"/>
            </w:pPr>
            <w:r>
              <w:rPr>
                <w:sz w:val="12"/>
              </w:rPr>
              <w:t xml:space="preserve">Первоочередные расходы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2.1.</w:t>
            </w:r>
          </w:p>
        </w:tc>
        <w:tc>
          <w:tcPr>
            <w:tcW w:w="2160" w:type="dxa"/>
            <w:tcBorders>
              <w:top w:val="nil"/>
            </w:tcBorders>
          </w:tcPr>
          <w:p w:rsidR="00AA3548" w:rsidRDefault="00AA3548">
            <w:pPr>
              <w:pStyle w:val="ConsPlusNonformat"/>
              <w:jc w:val="both"/>
            </w:pPr>
            <w:r>
              <w:rPr>
                <w:sz w:val="12"/>
              </w:rPr>
              <w:t>Расходы   на    обслуживание</w:t>
            </w:r>
          </w:p>
          <w:p w:rsidR="00AA3548" w:rsidRDefault="00AA3548">
            <w:pPr>
              <w:pStyle w:val="ConsPlusNonformat"/>
              <w:jc w:val="both"/>
            </w:pPr>
            <w:proofErr w:type="gramStart"/>
            <w:r>
              <w:rPr>
                <w:sz w:val="12"/>
              </w:rPr>
              <w:t>муниципального долга  (КОСГУ</w:t>
            </w:r>
            <w:proofErr w:type="gramEnd"/>
          </w:p>
          <w:p w:rsidR="00AA3548" w:rsidRDefault="00AA3548">
            <w:pPr>
              <w:pStyle w:val="ConsPlusNonformat"/>
              <w:jc w:val="both"/>
            </w:pPr>
            <w:r>
              <w:rPr>
                <w:sz w:val="12"/>
              </w:rPr>
              <w:t xml:space="preserve">230)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vMerge w:val="restart"/>
            <w:tcBorders>
              <w:top w:val="nil"/>
            </w:tcBorders>
          </w:tcPr>
          <w:p w:rsidR="00AA3548" w:rsidRDefault="00AA3548">
            <w:pPr>
              <w:pStyle w:val="ConsPlusNonformat"/>
              <w:jc w:val="both"/>
            </w:pPr>
            <w:r>
              <w:rPr>
                <w:sz w:val="12"/>
              </w:rPr>
              <w:t>2.2.</w:t>
            </w:r>
          </w:p>
        </w:tc>
        <w:tc>
          <w:tcPr>
            <w:tcW w:w="2160" w:type="dxa"/>
            <w:tcBorders>
              <w:top w:val="nil"/>
            </w:tcBorders>
          </w:tcPr>
          <w:p w:rsidR="00AA3548" w:rsidRDefault="00AA3548">
            <w:pPr>
              <w:pStyle w:val="ConsPlusNonformat"/>
              <w:jc w:val="both"/>
            </w:pPr>
            <w:r>
              <w:rPr>
                <w:sz w:val="12"/>
              </w:rPr>
              <w:t xml:space="preserve">Расходы  </w:t>
            </w:r>
            <w:proofErr w:type="gramStart"/>
            <w:r>
              <w:rPr>
                <w:sz w:val="12"/>
              </w:rPr>
              <w:t>на</w:t>
            </w:r>
            <w:proofErr w:type="gramEnd"/>
            <w:r>
              <w:rPr>
                <w:sz w:val="12"/>
              </w:rPr>
              <w:t xml:space="preserve">   первоочередные</w:t>
            </w:r>
          </w:p>
          <w:p w:rsidR="00AA3548" w:rsidRDefault="00AA3548">
            <w:pPr>
              <w:pStyle w:val="ConsPlusNonformat"/>
              <w:jc w:val="both"/>
            </w:pPr>
            <w:r>
              <w:rPr>
                <w:sz w:val="12"/>
              </w:rPr>
              <w:t xml:space="preserve">нужды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из них: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прочие выплаты </w:t>
            </w:r>
            <w:proofErr w:type="gramStart"/>
            <w:r>
              <w:rPr>
                <w:sz w:val="12"/>
              </w:rPr>
              <w:t>по</w:t>
            </w:r>
            <w:proofErr w:type="gramEnd"/>
            <w:r>
              <w:rPr>
                <w:sz w:val="12"/>
              </w:rPr>
              <w:t xml:space="preserve"> заработной</w:t>
            </w:r>
          </w:p>
          <w:p w:rsidR="00AA3548" w:rsidRDefault="00AA3548">
            <w:pPr>
              <w:pStyle w:val="ConsPlusNonformat"/>
              <w:jc w:val="both"/>
            </w:pPr>
            <w:r>
              <w:rPr>
                <w:sz w:val="12"/>
              </w:rPr>
              <w:t xml:space="preserve">плате (КОСГУ 212)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услуги связи (КОСГУ 221)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proofErr w:type="gramStart"/>
            <w:r>
              <w:rPr>
                <w:sz w:val="12"/>
              </w:rPr>
              <w:t>транспортные  услуги  (КОСГУ</w:t>
            </w:r>
            <w:proofErr w:type="gramEnd"/>
          </w:p>
          <w:p w:rsidR="00AA3548" w:rsidRDefault="00AA3548">
            <w:pPr>
              <w:pStyle w:val="ConsPlusNonformat"/>
              <w:jc w:val="both"/>
            </w:pPr>
            <w:r>
              <w:rPr>
                <w:sz w:val="12"/>
              </w:rPr>
              <w:t xml:space="preserve">222)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арендная      плата       </w:t>
            </w:r>
            <w:proofErr w:type="gramStart"/>
            <w:r>
              <w:rPr>
                <w:sz w:val="12"/>
              </w:rPr>
              <w:t>за</w:t>
            </w:r>
            <w:proofErr w:type="gramEnd"/>
          </w:p>
          <w:p w:rsidR="00AA3548" w:rsidRDefault="00AA3548">
            <w:pPr>
              <w:pStyle w:val="ConsPlusNonformat"/>
              <w:jc w:val="both"/>
            </w:pPr>
            <w:r>
              <w:rPr>
                <w:sz w:val="12"/>
              </w:rPr>
              <w:t>пользование       имуществом</w:t>
            </w:r>
          </w:p>
          <w:p w:rsidR="00AA3548" w:rsidRDefault="00AA3548">
            <w:pPr>
              <w:pStyle w:val="ConsPlusNonformat"/>
              <w:jc w:val="both"/>
            </w:pPr>
            <w:r>
              <w:rPr>
                <w:sz w:val="12"/>
              </w:rPr>
              <w:t xml:space="preserve">(КОСГУ 224)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увеличение         стоимости</w:t>
            </w:r>
          </w:p>
          <w:p w:rsidR="00AA3548" w:rsidRDefault="00AA3548">
            <w:pPr>
              <w:pStyle w:val="ConsPlusNonformat"/>
              <w:jc w:val="both"/>
            </w:pPr>
            <w:proofErr w:type="gramStart"/>
            <w:r>
              <w:rPr>
                <w:sz w:val="12"/>
              </w:rPr>
              <w:t>материальных запасов  (КОСГУ</w:t>
            </w:r>
            <w:proofErr w:type="gramEnd"/>
          </w:p>
          <w:p w:rsidR="00AA3548" w:rsidRDefault="00AA3548">
            <w:pPr>
              <w:pStyle w:val="ConsPlusNonformat"/>
              <w:jc w:val="both"/>
            </w:pPr>
            <w:r>
              <w:rPr>
                <w:sz w:val="12"/>
              </w:rPr>
              <w:t xml:space="preserve">340)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vMerge w:val="restart"/>
            <w:tcBorders>
              <w:top w:val="nil"/>
            </w:tcBorders>
          </w:tcPr>
          <w:p w:rsidR="00AA3548" w:rsidRDefault="00AA3548">
            <w:pPr>
              <w:pStyle w:val="ConsPlusNonformat"/>
              <w:jc w:val="both"/>
            </w:pPr>
            <w:r>
              <w:rPr>
                <w:sz w:val="12"/>
              </w:rPr>
              <w:t>2.3.</w:t>
            </w:r>
          </w:p>
        </w:tc>
        <w:tc>
          <w:tcPr>
            <w:tcW w:w="2160" w:type="dxa"/>
            <w:tcBorders>
              <w:top w:val="nil"/>
            </w:tcBorders>
          </w:tcPr>
          <w:p w:rsidR="00AA3548" w:rsidRDefault="00AA3548">
            <w:pPr>
              <w:pStyle w:val="ConsPlusNonformat"/>
              <w:jc w:val="both"/>
            </w:pPr>
            <w:r>
              <w:rPr>
                <w:sz w:val="12"/>
              </w:rPr>
              <w:t xml:space="preserve">Расходы на прочие нужды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из них: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работы, услуги по содержанию</w:t>
            </w:r>
          </w:p>
          <w:p w:rsidR="00AA3548" w:rsidRDefault="00AA3548">
            <w:pPr>
              <w:pStyle w:val="ConsPlusNonformat"/>
              <w:jc w:val="both"/>
            </w:pPr>
            <w:r>
              <w:rPr>
                <w:sz w:val="12"/>
              </w:rPr>
              <w:t xml:space="preserve">имущества (КОСГУ 225)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прочие   работы   и   услуги</w:t>
            </w:r>
          </w:p>
          <w:p w:rsidR="00AA3548" w:rsidRDefault="00AA3548">
            <w:pPr>
              <w:pStyle w:val="ConsPlusNonformat"/>
              <w:jc w:val="both"/>
            </w:pPr>
            <w:r>
              <w:rPr>
                <w:sz w:val="12"/>
              </w:rPr>
              <w:t xml:space="preserve">(КОСГУ 226)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безвозмездные   перечисления</w:t>
            </w:r>
          </w:p>
          <w:p w:rsidR="00AA3548" w:rsidRDefault="00AA3548">
            <w:pPr>
              <w:pStyle w:val="ConsPlusNonformat"/>
              <w:jc w:val="both"/>
            </w:pPr>
            <w:r>
              <w:rPr>
                <w:sz w:val="12"/>
              </w:rPr>
              <w:t>государственным            и</w:t>
            </w:r>
          </w:p>
          <w:p w:rsidR="00AA3548" w:rsidRDefault="00AA3548">
            <w:pPr>
              <w:pStyle w:val="ConsPlusNonformat"/>
              <w:jc w:val="both"/>
            </w:pPr>
            <w:r>
              <w:rPr>
                <w:sz w:val="12"/>
              </w:rPr>
              <w:t>муниципальным   предприятиям</w:t>
            </w:r>
          </w:p>
          <w:p w:rsidR="00AA3548" w:rsidRDefault="00AA3548">
            <w:pPr>
              <w:pStyle w:val="ConsPlusNonformat"/>
              <w:jc w:val="both"/>
            </w:pPr>
            <w:r>
              <w:rPr>
                <w:sz w:val="12"/>
              </w:rPr>
              <w:t xml:space="preserve">(КОСГУ 241)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безвозмездные   перечисления</w:t>
            </w:r>
          </w:p>
          <w:p w:rsidR="00AA3548" w:rsidRDefault="00AA3548">
            <w:pPr>
              <w:pStyle w:val="ConsPlusNonformat"/>
              <w:jc w:val="both"/>
            </w:pPr>
            <w:r>
              <w:rPr>
                <w:sz w:val="12"/>
              </w:rPr>
              <w:t>организациям, за исключением</w:t>
            </w:r>
          </w:p>
          <w:p w:rsidR="00AA3548" w:rsidRDefault="00AA3548">
            <w:pPr>
              <w:pStyle w:val="ConsPlusNonformat"/>
              <w:jc w:val="both"/>
            </w:pPr>
            <w:r>
              <w:rPr>
                <w:sz w:val="12"/>
              </w:rPr>
              <w:t>государственных            и</w:t>
            </w:r>
          </w:p>
          <w:p w:rsidR="00AA3548" w:rsidRDefault="00AA3548">
            <w:pPr>
              <w:pStyle w:val="ConsPlusNonformat"/>
              <w:jc w:val="both"/>
            </w:pPr>
            <w:r>
              <w:rPr>
                <w:sz w:val="12"/>
              </w:rPr>
              <w:t>муниципальных    предприятий</w:t>
            </w:r>
          </w:p>
          <w:p w:rsidR="00AA3548" w:rsidRDefault="00AA3548">
            <w:pPr>
              <w:pStyle w:val="ConsPlusNonformat"/>
              <w:jc w:val="both"/>
            </w:pPr>
            <w:r>
              <w:rPr>
                <w:sz w:val="12"/>
              </w:rPr>
              <w:t xml:space="preserve">(КОСГУ 242)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прочие расходы (КОСГУ 290)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 xml:space="preserve">  3.</w:t>
            </w:r>
          </w:p>
        </w:tc>
        <w:tc>
          <w:tcPr>
            <w:tcW w:w="2160" w:type="dxa"/>
            <w:tcBorders>
              <w:top w:val="nil"/>
            </w:tcBorders>
          </w:tcPr>
          <w:p w:rsidR="00AA3548" w:rsidRDefault="00AA3548">
            <w:pPr>
              <w:pStyle w:val="ConsPlusNonformat"/>
              <w:jc w:val="both"/>
            </w:pPr>
            <w:r>
              <w:rPr>
                <w:sz w:val="12"/>
              </w:rPr>
              <w:t xml:space="preserve">Расходы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3.1.</w:t>
            </w:r>
          </w:p>
        </w:tc>
        <w:tc>
          <w:tcPr>
            <w:tcW w:w="2160" w:type="dxa"/>
            <w:tcBorders>
              <w:top w:val="nil"/>
            </w:tcBorders>
          </w:tcPr>
          <w:p w:rsidR="00AA3548" w:rsidRDefault="00AA3548">
            <w:pPr>
              <w:pStyle w:val="ConsPlusNonformat"/>
              <w:jc w:val="both"/>
            </w:pPr>
            <w:r>
              <w:rPr>
                <w:sz w:val="12"/>
              </w:rPr>
              <w:t xml:space="preserve">Капитальные    вложения    </w:t>
            </w:r>
            <w:proofErr w:type="gramStart"/>
            <w:r>
              <w:rPr>
                <w:sz w:val="12"/>
              </w:rPr>
              <w:t>в</w:t>
            </w:r>
            <w:proofErr w:type="gramEnd"/>
          </w:p>
          <w:p w:rsidR="00AA3548" w:rsidRDefault="00AA3548">
            <w:pPr>
              <w:pStyle w:val="ConsPlusNonformat"/>
              <w:jc w:val="both"/>
            </w:pPr>
            <w:r>
              <w:rPr>
                <w:sz w:val="12"/>
              </w:rPr>
              <w:t xml:space="preserve">основные фонды (КОСГУ 310)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vMerge w:val="restart"/>
            <w:tcBorders>
              <w:top w:val="nil"/>
            </w:tcBorders>
          </w:tcPr>
          <w:p w:rsidR="00AA3548" w:rsidRDefault="00AA3548">
            <w:pPr>
              <w:pStyle w:val="ConsPlusNonformat"/>
              <w:jc w:val="both"/>
            </w:pPr>
            <w:r>
              <w:rPr>
                <w:sz w:val="12"/>
              </w:rPr>
              <w:t>3.2.</w:t>
            </w:r>
          </w:p>
        </w:tc>
        <w:tc>
          <w:tcPr>
            <w:tcW w:w="2160" w:type="dxa"/>
            <w:tcBorders>
              <w:top w:val="nil"/>
            </w:tcBorders>
          </w:tcPr>
          <w:p w:rsidR="00AA3548" w:rsidRDefault="00AA3548">
            <w:pPr>
              <w:pStyle w:val="ConsPlusNonformat"/>
              <w:jc w:val="both"/>
            </w:pPr>
            <w:proofErr w:type="gramStart"/>
            <w:r>
              <w:rPr>
                <w:sz w:val="12"/>
              </w:rPr>
              <w:t>Другие      расходы      (за</w:t>
            </w:r>
            <w:proofErr w:type="gramEnd"/>
          </w:p>
          <w:p w:rsidR="00AA3548" w:rsidRDefault="00AA3548">
            <w:pPr>
              <w:pStyle w:val="ConsPlusNonformat"/>
              <w:jc w:val="both"/>
            </w:pPr>
            <w:r>
              <w:rPr>
                <w:sz w:val="12"/>
              </w:rPr>
              <w:t>исключением  групп  1,  2  и</w:t>
            </w:r>
          </w:p>
          <w:p w:rsidR="00AA3548" w:rsidRDefault="00AA3548">
            <w:pPr>
              <w:pStyle w:val="ConsPlusNonformat"/>
              <w:jc w:val="both"/>
            </w:pPr>
            <w:r>
              <w:rPr>
                <w:sz w:val="12"/>
              </w:rPr>
              <w:t xml:space="preserve">3.1)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Итого расходов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Профицит</w:t>
            </w:r>
            <w:proofErr w:type="gramStart"/>
            <w:r>
              <w:rPr>
                <w:sz w:val="12"/>
              </w:rPr>
              <w:t xml:space="preserve"> (+)/</w:t>
            </w:r>
            <w:proofErr w:type="gramEnd"/>
            <w:r>
              <w:rPr>
                <w:sz w:val="12"/>
              </w:rPr>
              <w:t xml:space="preserve">дефицит (-)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Итого      расходов,      </w:t>
            </w:r>
            <w:proofErr w:type="gramStart"/>
            <w:r>
              <w:rPr>
                <w:sz w:val="12"/>
              </w:rPr>
              <w:t>за</w:t>
            </w:r>
            <w:proofErr w:type="gramEnd"/>
          </w:p>
          <w:p w:rsidR="00AA3548" w:rsidRDefault="00AA3548">
            <w:pPr>
              <w:pStyle w:val="ConsPlusNonformat"/>
              <w:jc w:val="both"/>
            </w:pPr>
            <w:r>
              <w:rPr>
                <w:sz w:val="12"/>
              </w:rPr>
              <w:t xml:space="preserve">исключением    </w:t>
            </w:r>
            <w:proofErr w:type="gramStart"/>
            <w:r>
              <w:rPr>
                <w:sz w:val="12"/>
              </w:rPr>
              <w:t>безвозмездных</w:t>
            </w:r>
            <w:proofErr w:type="gramEnd"/>
          </w:p>
          <w:p w:rsidR="00AA3548" w:rsidRDefault="00AA3548">
            <w:pPr>
              <w:pStyle w:val="ConsPlusNonformat"/>
              <w:jc w:val="both"/>
            </w:pPr>
            <w:r>
              <w:rPr>
                <w:sz w:val="12"/>
              </w:rPr>
              <w:t xml:space="preserve">поступлений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III.</w:t>
            </w:r>
          </w:p>
        </w:tc>
        <w:tc>
          <w:tcPr>
            <w:tcW w:w="2160" w:type="dxa"/>
            <w:tcBorders>
              <w:top w:val="nil"/>
            </w:tcBorders>
          </w:tcPr>
          <w:p w:rsidR="00AA3548" w:rsidRDefault="00AA3548">
            <w:pPr>
              <w:pStyle w:val="ConsPlusNonformat"/>
              <w:jc w:val="both"/>
            </w:pPr>
            <w:r>
              <w:rPr>
                <w:sz w:val="12"/>
              </w:rPr>
              <w:t>Источники     финансирования</w:t>
            </w:r>
          </w:p>
          <w:p w:rsidR="00AA3548" w:rsidRDefault="00AA3548">
            <w:pPr>
              <w:pStyle w:val="ConsPlusNonformat"/>
              <w:jc w:val="both"/>
            </w:pPr>
            <w:r>
              <w:rPr>
                <w:sz w:val="12"/>
              </w:rPr>
              <w:t xml:space="preserve">дефицита бюджета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p>
        </w:tc>
        <w:tc>
          <w:tcPr>
            <w:tcW w:w="2160" w:type="dxa"/>
            <w:tcBorders>
              <w:top w:val="nil"/>
            </w:tcBorders>
          </w:tcPr>
          <w:p w:rsidR="00AA3548" w:rsidRDefault="00AA3548">
            <w:pPr>
              <w:pStyle w:val="ConsPlusNonformat"/>
              <w:jc w:val="both"/>
            </w:pPr>
            <w:r>
              <w:rPr>
                <w:sz w:val="12"/>
              </w:rPr>
              <w:t xml:space="preserve">из них: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 xml:space="preserve">  1.</w:t>
            </w:r>
          </w:p>
        </w:tc>
        <w:tc>
          <w:tcPr>
            <w:tcW w:w="2160" w:type="dxa"/>
            <w:tcBorders>
              <w:top w:val="nil"/>
            </w:tcBorders>
          </w:tcPr>
          <w:p w:rsidR="00AA3548" w:rsidRDefault="00AA3548">
            <w:pPr>
              <w:pStyle w:val="ConsPlusNonformat"/>
              <w:jc w:val="both"/>
            </w:pPr>
            <w:r>
              <w:rPr>
                <w:sz w:val="12"/>
              </w:rPr>
              <w:t>Изменение остатков бюджетных</w:t>
            </w:r>
          </w:p>
          <w:p w:rsidR="00AA3548" w:rsidRDefault="00AA3548">
            <w:pPr>
              <w:pStyle w:val="ConsPlusNonformat"/>
              <w:jc w:val="both"/>
            </w:pPr>
            <w:r>
              <w:rPr>
                <w:sz w:val="12"/>
              </w:rPr>
              <w:t xml:space="preserve">средств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 xml:space="preserve">  2.</w:t>
            </w:r>
          </w:p>
        </w:tc>
        <w:tc>
          <w:tcPr>
            <w:tcW w:w="2160" w:type="dxa"/>
            <w:tcBorders>
              <w:top w:val="nil"/>
            </w:tcBorders>
          </w:tcPr>
          <w:p w:rsidR="00AA3548" w:rsidRDefault="00AA3548">
            <w:pPr>
              <w:pStyle w:val="ConsPlusNonformat"/>
              <w:jc w:val="both"/>
            </w:pPr>
            <w:r>
              <w:rPr>
                <w:sz w:val="12"/>
              </w:rPr>
              <w:t xml:space="preserve">Кредиты из бюджета субъекта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2.1.</w:t>
            </w:r>
          </w:p>
        </w:tc>
        <w:tc>
          <w:tcPr>
            <w:tcW w:w="2160" w:type="dxa"/>
            <w:tcBorders>
              <w:top w:val="nil"/>
            </w:tcBorders>
          </w:tcPr>
          <w:p w:rsidR="00AA3548" w:rsidRDefault="00AA3548">
            <w:pPr>
              <w:pStyle w:val="ConsPlusNonformat"/>
              <w:jc w:val="both"/>
            </w:pPr>
            <w:r>
              <w:rPr>
                <w:sz w:val="12"/>
              </w:rPr>
              <w:t xml:space="preserve">Привлечение кредитов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2.2.</w:t>
            </w:r>
          </w:p>
        </w:tc>
        <w:tc>
          <w:tcPr>
            <w:tcW w:w="2160" w:type="dxa"/>
            <w:tcBorders>
              <w:top w:val="nil"/>
            </w:tcBorders>
          </w:tcPr>
          <w:p w:rsidR="00AA3548" w:rsidRDefault="00AA3548">
            <w:pPr>
              <w:pStyle w:val="ConsPlusNonformat"/>
              <w:jc w:val="both"/>
            </w:pPr>
            <w:r>
              <w:rPr>
                <w:sz w:val="12"/>
              </w:rPr>
              <w:t xml:space="preserve">Погашение кредитов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 xml:space="preserve">  3.</w:t>
            </w:r>
          </w:p>
        </w:tc>
        <w:tc>
          <w:tcPr>
            <w:tcW w:w="2160" w:type="dxa"/>
            <w:tcBorders>
              <w:top w:val="nil"/>
            </w:tcBorders>
          </w:tcPr>
          <w:p w:rsidR="00AA3548" w:rsidRDefault="00AA3548">
            <w:pPr>
              <w:pStyle w:val="ConsPlusNonformat"/>
              <w:jc w:val="both"/>
            </w:pPr>
            <w:r>
              <w:rPr>
                <w:sz w:val="12"/>
              </w:rPr>
              <w:t xml:space="preserve">Кредиты коммерческих банков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3.1.</w:t>
            </w:r>
          </w:p>
        </w:tc>
        <w:tc>
          <w:tcPr>
            <w:tcW w:w="2160" w:type="dxa"/>
            <w:tcBorders>
              <w:top w:val="nil"/>
            </w:tcBorders>
          </w:tcPr>
          <w:p w:rsidR="00AA3548" w:rsidRDefault="00AA3548">
            <w:pPr>
              <w:pStyle w:val="ConsPlusNonformat"/>
              <w:jc w:val="both"/>
            </w:pPr>
            <w:r>
              <w:rPr>
                <w:sz w:val="12"/>
              </w:rPr>
              <w:t xml:space="preserve">Привлечение кредитов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3.2.</w:t>
            </w:r>
          </w:p>
        </w:tc>
        <w:tc>
          <w:tcPr>
            <w:tcW w:w="2160" w:type="dxa"/>
            <w:tcBorders>
              <w:top w:val="nil"/>
            </w:tcBorders>
          </w:tcPr>
          <w:p w:rsidR="00AA3548" w:rsidRDefault="00AA3548">
            <w:pPr>
              <w:pStyle w:val="ConsPlusNonformat"/>
              <w:jc w:val="both"/>
            </w:pPr>
            <w:r>
              <w:rPr>
                <w:sz w:val="12"/>
              </w:rPr>
              <w:t xml:space="preserve">Погашение кредитов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 xml:space="preserve">  4.</w:t>
            </w:r>
          </w:p>
        </w:tc>
        <w:tc>
          <w:tcPr>
            <w:tcW w:w="2160" w:type="dxa"/>
            <w:tcBorders>
              <w:top w:val="nil"/>
            </w:tcBorders>
          </w:tcPr>
          <w:p w:rsidR="00AA3548" w:rsidRDefault="00AA3548">
            <w:pPr>
              <w:pStyle w:val="ConsPlusNonformat"/>
              <w:jc w:val="both"/>
            </w:pPr>
            <w:r>
              <w:rPr>
                <w:sz w:val="12"/>
              </w:rPr>
              <w:t xml:space="preserve">Иные источники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 xml:space="preserve">  5.</w:t>
            </w:r>
          </w:p>
        </w:tc>
        <w:tc>
          <w:tcPr>
            <w:tcW w:w="2160" w:type="dxa"/>
            <w:tcBorders>
              <w:top w:val="nil"/>
            </w:tcBorders>
          </w:tcPr>
          <w:p w:rsidR="00AA3548" w:rsidRDefault="00AA3548">
            <w:pPr>
              <w:pStyle w:val="ConsPlusNonformat"/>
              <w:jc w:val="both"/>
            </w:pPr>
            <w:r>
              <w:rPr>
                <w:sz w:val="12"/>
              </w:rPr>
              <w:t xml:space="preserve">Остатки бюджетных средств </w:t>
            </w:r>
            <w:proofErr w:type="gramStart"/>
            <w:r>
              <w:rPr>
                <w:sz w:val="12"/>
              </w:rPr>
              <w:t>на</w:t>
            </w:r>
            <w:proofErr w:type="gramEnd"/>
          </w:p>
          <w:p w:rsidR="00AA3548" w:rsidRDefault="00AA3548">
            <w:pPr>
              <w:pStyle w:val="ConsPlusNonformat"/>
              <w:jc w:val="both"/>
            </w:pPr>
            <w:r>
              <w:rPr>
                <w:sz w:val="12"/>
              </w:rPr>
              <w:t xml:space="preserve">отчетную дату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lastRenderedPageBreak/>
              <w:t>5.1.</w:t>
            </w:r>
          </w:p>
        </w:tc>
        <w:tc>
          <w:tcPr>
            <w:tcW w:w="2160" w:type="dxa"/>
            <w:tcBorders>
              <w:top w:val="nil"/>
            </w:tcBorders>
          </w:tcPr>
          <w:p w:rsidR="00AA3548" w:rsidRDefault="00AA3548">
            <w:pPr>
              <w:pStyle w:val="ConsPlusNonformat"/>
              <w:jc w:val="both"/>
            </w:pPr>
            <w:r>
              <w:rPr>
                <w:sz w:val="12"/>
              </w:rPr>
              <w:t xml:space="preserve">за     счет     </w:t>
            </w:r>
            <w:proofErr w:type="gramStart"/>
            <w:r>
              <w:rPr>
                <w:sz w:val="12"/>
              </w:rPr>
              <w:t>межбюджетных</w:t>
            </w:r>
            <w:proofErr w:type="gramEnd"/>
          </w:p>
          <w:p w:rsidR="00AA3548" w:rsidRDefault="00AA3548">
            <w:pPr>
              <w:pStyle w:val="ConsPlusNonformat"/>
              <w:jc w:val="both"/>
            </w:pPr>
            <w:r>
              <w:rPr>
                <w:sz w:val="12"/>
              </w:rPr>
              <w:t xml:space="preserve">трансфертов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5.2.</w:t>
            </w:r>
          </w:p>
        </w:tc>
        <w:tc>
          <w:tcPr>
            <w:tcW w:w="2160" w:type="dxa"/>
            <w:tcBorders>
              <w:top w:val="nil"/>
            </w:tcBorders>
          </w:tcPr>
          <w:p w:rsidR="00AA3548" w:rsidRDefault="00AA3548">
            <w:pPr>
              <w:pStyle w:val="ConsPlusNonformat"/>
              <w:jc w:val="both"/>
            </w:pPr>
            <w:r>
              <w:rPr>
                <w:sz w:val="12"/>
              </w:rPr>
              <w:t xml:space="preserve">за счет собственных средств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 xml:space="preserve">  6.</w:t>
            </w:r>
          </w:p>
        </w:tc>
        <w:tc>
          <w:tcPr>
            <w:tcW w:w="2160" w:type="dxa"/>
            <w:tcBorders>
              <w:top w:val="nil"/>
            </w:tcBorders>
          </w:tcPr>
          <w:p w:rsidR="00AA3548" w:rsidRDefault="00AA3548">
            <w:pPr>
              <w:pStyle w:val="ConsPlusNonformat"/>
              <w:jc w:val="both"/>
            </w:pPr>
            <w:r>
              <w:rPr>
                <w:sz w:val="12"/>
              </w:rPr>
              <w:t xml:space="preserve">Превышение   расходов    </w:t>
            </w:r>
            <w:proofErr w:type="gramStart"/>
            <w:r>
              <w:rPr>
                <w:sz w:val="12"/>
              </w:rPr>
              <w:t>над</w:t>
            </w:r>
            <w:proofErr w:type="gramEnd"/>
          </w:p>
          <w:p w:rsidR="00AA3548" w:rsidRDefault="00AA3548">
            <w:pPr>
              <w:pStyle w:val="ConsPlusNonformat"/>
              <w:jc w:val="both"/>
            </w:pPr>
            <w:r>
              <w:rPr>
                <w:sz w:val="12"/>
              </w:rPr>
              <w:t>доходами с учетом источников</w:t>
            </w:r>
          </w:p>
          <w:p w:rsidR="00AA3548" w:rsidRDefault="00AA3548">
            <w:pPr>
              <w:pStyle w:val="ConsPlusNonformat"/>
              <w:jc w:val="both"/>
            </w:pPr>
            <w:r>
              <w:rPr>
                <w:sz w:val="12"/>
              </w:rPr>
              <w:t>финансирования      дефицита</w:t>
            </w:r>
          </w:p>
          <w:p w:rsidR="00AA3548" w:rsidRDefault="00AA3548">
            <w:pPr>
              <w:pStyle w:val="ConsPlusNonformat"/>
              <w:jc w:val="both"/>
            </w:pPr>
            <w:r>
              <w:rPr>
                <w:sz w:val="12"/>
              </w:rPr>
              <w:t xml:space="preserve">бюджета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vMerge w:val="restart"/>
            <w:tcBorders>
              <w:top w:val="nil"/>
            </w:tcBorders>
          </w:tcPr>
          <w:p w:rsidR="00AA3548" w:rsidRDefault="00AA3548">
            <w:pPr>
              <w:pStyle w:val="ConsPlusNonformat"/>
              <w:jc w:val="both"/>
            </w:pPr>
            <w:r>
              <w:rPr>
                <w:sz w:val="12"/>
              </w:rPr>
              <w:t xml:space="preserve"> IV.</w:t>
            </w:r>
          </w:p>
        </w:tc>
        <w:tc>
          <w:tcPr>
            <w:tcW w:w="2160" w:type="dxa"/>
            <w:tcBorders>
              <w:top w:val="nil"/>
            </w:tcBorders>
          </w:tcPr>
          <w:p w:rsidR="00AA3548" w:rsidRDefault="00AA3548">
            <w:pPr>
              <w:pStyle w:val="ConsPlusNonformat"/>
              <w:jc w:val="both"/>
            </w:pPr>
            <w:r>
              <w:rPr>
                <w:sz w:val="12"/>
              </w:rPr>
              <w:t>Просроченная    кредиторская</w:t>
            </w:r>
          </w:p>
          <w:p w:rsidR="00AA3548" w:rsidRDefault="00AA3548">
            <w:pPr>
              <w:pStyle w:val="ConsPlusNonformat"/>
              <w:jc w:val="both"/>
            </w:pPr>
            <w:r>
              <w:rPr>
                <w:sz w:val="12"/>
              </w:rPr>
              <w:t xml:space="preserve">задолженность - всего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c>
          <w:tcPr>
            <w:tcW w:w="360" w:type="dxa"/>
            <w:vMerge/>
            <w:tcBorders>
              <w:top w:val="nil"/>
            </w:tcBorders>
          </w:tcPr>
          <w:p w:rsidR="00AA3548" w:rsidRDefault="00AA3548"/>
        </w:tc>
        <w:tc>
          <w:tcPr>
            <w:tcW w:w="2160" w:type="dxa"/>
            <w:tcBorders>
              <w:top w:val="nil"/>
            </w:tcBorders>
          </w:tcPr>
          <w:p w:rsidR="00AA3548" w:rsidRDefault="00AA3548">
            <w:pPr>
              <w:pStyle w:val="ConsPlusNonformat"/>
              <w:jc w:val="both"/>
            </w:pPr>
            <w:r>
              <w:rPr>
                <w:sz w:val="12"/>
              </w:rPr>
              <w:t xml:space="preserve">из них: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 xml:space="preserve">  1.</w:t>
            </w:r>
          </w:p>
        </w:tc>
        <w:tc>
          <w:tcPr>
            <w:tcW w:w="2160" w:type="dxa"/>
            <w:tcBorders>
              <w:top w:val="nil"/>
            </w:tcBorders>
          </w:tcPr>
          <w:p w:rsidR="00AA3548" w:rsidRDefault="00AA3548">
            <w:pPr>
              <w:pStyle w:val="ConsPlusNonformat"/>
              <w:jc w:val="both"/>
            </w:pPr>
            <w:r>
              <w:rPr>
                <w:sz w:val="12"/>
              </w:rPr>
              <w:t xml:space="preserve">По заработной плате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 xml:space="preserve">  2.</w:t>
            </w:r>
          </w:p>
        </w:tc>
        <w:tc>
          <w:tcPr>
            <w:tcW w:w="2160" w:type="dxa"/>
            <w:tcBorders>
              <w:top w:val="nil"/>
            </w:tcBorders>
          </w:tcPr>
          <w:p w:rsidR="00AA3548" w:rsidRDefault="00AA3548">
            <w:pPr>
              <w:pStyle w:val="ConsPlusNonformat"/>
              <w:jc w:val="both"/>
            </w:pPr>
            <w:r>
              <w:rPr>
                <w:sz w:val="12"/>
              </w:rPr>
              <w:t xml:space="preserve">По начислениям на </w:t>
            </w:r>
            <w:proofErr w:type="gramStart"/>
            <w:r>
              <w:rPr>
                <w:sz w:val="12"/>
              </w:rPr>
              <w:t>заработную</w:t>
            </w:r>
            <w:proofErr w:type="gramEnd"/>
          </w:p>
          <w:p w:rsidR="00AA3548" w:rsidRDefault="00AA3548">
            <w:pPr>
              <w:pStyle w:val="ConsPlusNonformat"/>
              <w:jc w:val="both"/>
            </w:pPr>
            <w:r>
              <w:rPr>
                <w:sz w:val="12"/>
              </w:rPr>
              <w:t xml:space="preserve">плату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 xml:space="preserve">  3.</w:t>
            </w:r>
          </w:p>
        </w:tc>
        <w:tc>
          <w:tcPr>
            <w:tcW w:w="2160" w:type="dxa"/>
            <w:tcBorders>
              <w:top w:val="nil"/>
            </w:tcBorders>
          </w:tcPr>
          <w:p w:rsidR="00AA3548" w:rsidRDefault="00AA3548">
            <w:pPr>
              <w:pStyle w:val="ConsPlusNonformat"/>
              <w:jc w:val="both"/>
            </w:pPr>
            <w:r>
              <w:rPr>
                <w:sz w:val="12"/>
              </w:rPr>
              <w:t>По оплате коммунальных услуг</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r w:rsidR="00AA3548">
        <w:trPr>
          <w:trHeight w:val="140"/>
        </w:trPr>
        <w:tc>
          <w:tcPr>
            <w:tcW w:w="432" w:type="dxa"/>
            <w:tcBorders>
              <w:top w:val="nil"/>
            </w:tcBorders>
          </w:tcPr>
          <w:p w:rsidR="00AA3548" w:rsidRDefault="00AA3548">
            <w:pPr>
              <w:pStyle w:val="ConsPlusNonformat"/>
              <w:jc w:val="both"/>
            </w:pPr>
            <w:r>
              <w:rPr>
                <w:sz w:val="12"/>
              </w:rPr>
              <w:t xml:space="preserve">  4.</w:t>
            </w:r>
          </w:p>
        </w:tc>
        <w:tc>
          <w:tcPr>
            <w:tcW w:w="2160" w:type="dxa"/>
            <w:tcBorders>
              <w:top w:val="nil"/>
            </w:tcBorders>
          </w:tcPr>
          <w:p w:rsidR="00AA3548" w:rsidRDefault="00AA3548">
            <w:pPr>
              <w:pStyle w:val="ConsPlusNonformat"/>
              <w:jc w:val="both"/>
            </w:pPr>
            <w:r>
              <w:rPr>
                <w:sz w:val="12"/>
              </w:rPr>
              <w:t>По      обеспечению      мер</w:t>
            </w:r>
          </w:p>
          <w:p w:rsidR="00AA3548" w:rsidRDefault="00AA3548">
            <w:pPr>
              <w:pStyle w:val="ConsPlusNonformat"/>
              <w:jc w:val="both"/>
            </w:pPr>
            <w:r>
              <w:rPr>
                <w:sz w:val="12"/>
              </w:rPr>
              <w:t>социальной         поддержки</w:t>
            </w:r>
          </w:p>
          <w:p w:rsidR="00AA3548" w:rsidRDefault="00AA3548">
            <w:pPr>
              <w:pStyle w:val="ConsPlusNonformat"/>
              <w:jc w:val="both"/>
            </w:pPr>
            <w:r>
              <w:rPr>
                <w:sz w:val="12"/>
              </w:rPr>
              <w:t xml:space="preserve">отдельных категорий граждан </w:t>
            </w:r>
          </w:p>
        </w:tc>
        <w:tc>
          <w:tcPr>
            <w:tcW w:w="720" w:type="dxa"/>
            <w:tcBorders>
              <w:top w:val="nil"/>
            </w:tcBorders>
          </w:tcPr>
          <w:p w:rsidR="00AA3548" w:rsidRDefault="00AA3548">
            <w:pPr>
              <w:pStyle w:val="ConsPlusNonformat"/>
              <w:jc w:val="both"/>
            </w:pPr>
          </w:p>
        </w:tc>
        <w:tc>
          <w:tcPr>
            <w:tcW w:w="1368" w:type="dxa"/>
            <w:tcBorders>
              <w:top w:val="nil"/>
            </w:tcBorders>
          </w:tcPr>
          <w:p w:rsidR="00AA3548" w:rsidRDefault="00AA3548">
            <w:pPr>
              <w:pStyle w:val="ConsPlusNonformat"/>
              <w:jc w:val="both"/>
            </w:pPr>
          </w:p>
        </w:tc>
        <w:tc>
          <w:tcPr>
            <w:tcW w:w="1440"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792" w:type="dxa"/>
            <w:tcBorders>
              <w:top w:val="nil"/>
            </w:tcBorders>
          </w:tcPr>
          <w:p w:rsidR="00AA3548" w:rsidRDefault="00AA3548">
            <w:pPr>
              <w:pStyle w:val="ConsPlusNonformat"/>
              <w:jc w:val="both"/>
            </w:pPr>
          </w:p>
        </w:tc>
        <w:tc>
          <w:tcPr>
            <w:tcW w:w="360" w:type="dxa"/>
            <w:tcBorders>
              <w:top w:val="nil"/>
            </w:tcBorders>
          </w:tcPr>
          <w:p w:rsidR="00AA3548" w:rsidRDefault="00AA3548">
            <w:pPr>
              <w:pStyle w:val="ConsPlusNonformat"/>
              <w:jc w:val="both"/>
            </w:pPr>
          </w:p>
        </w:tc>
        <w:tc>
          <w:tcPr>
            <w:tcW w:w="432" w:type="dxa"/>
            <w:tcBorders>
              <w:top w:val="nil"/>
            </w:tcBorders>
          </w:tcPr>
          <w:p w:rsidR="00AA3548" w:rsidRDefault="00AA3548">
            <w:pPr>
              <w:pStyle w:val="ConsPlusNonformat"/>
              <w:jc w:val="both"/>
            </w:pPr>
          </w:p>
        </w:tc>
      </w:tr>
    </w:tbl>
    <w:p w:rsidR="00AA3548" w:rsidRDefault="00AA3548">
      <w:pPr>
        <w:pStyle w:val="ConsPlusNormal"/>
        <w:jc w:val="both"/>
      </w:pPr>
    </w:p>
    <w:p w:rsidR="00AA3548" w:rsidRDefault="00AA3548">
      <w:pPr>
        <w:pStyle w:val="ConsPlusNonformat"/>
        <w:jc w:val="both"/>
      </w:pPr>
      <w:r>
        <w:t xml:space="preserve">    --------------------------------</w:t>
      </w:r>
    </w:p>
    <w:p w:rsidR="00AA3548" w:rsidRDefault="00AA3548">
      <w:pPr>
        <w:pStyle w:val="ConsPlusNonformat"/>
        <w:jc w:val="both"/>
      </w:pPr>
      <w:bookmarkStart w:id="2" w:name="P298"/>
      <w:bookmarkEnd w:id="2"/>
      <w:r>
        <w:t xml:space="preserve">    &lt;*&gt;  В  случае  обращения  органа  местного самоуправления с просьбой о</w:t>
      </w:r>
    </w:p>
    <w:p w:rsidR="00AA3548" w:rsidRDefault="00AA3548">
      <w:pPr>
        <w:pStyle w:val="ConsPlusNonformat"/>
        <w:jc w:val="both"/>
      </w:pPr>
      <w:proofErr w:type="gramStart"/>
      <w:r>
        <w:t>предоставлении</w:t>
      </w:r>
      <w:proofErr w:type="gramEnd"/>
      <w:r>
        <w:t xml:space="preserve"> бюджетного кредита на реализацию инвестиционных программ.</w:t>
      </w:r>
    </w:p>
    <w:p w:rsidR="00AA3548" w:rsidRDefault="00AA3548">
      <w:pPr>
        <w:pStyle w:val="ConsPlusNonformat"/>
        <w:jc w:val="both"/>
      </w:pPr>
    </w:p>
    <w:p w:rsidR="00AA3548" w:rsidRDefault="00AA3548">
      <w:pPr>
        <w:pStyle w:val="ConsPlusNonformat"/>
        <w:jc w:val="both"/>
      </w:pPr>
      <w:r>
        <w:t>Глава администрации</w:t>
      </w:r>
    </w:p>
    <w:p w:rsidR="00AA3548" w:rsidRDefault="00AA3548">
      <w:pPr>
        <w:pStyle w:val="ConsPlusNonformat"/>
        <w:jc w:val="both"/>
      </w:pPr>
      <w:r>
        <w:t>муниципального района</w:t>
      </w:r>
    </w:p>
    <w:p w:rsidR="00AA3548" w:rsidRDefault="00AA3548">
      <w:pPr>
        <w:pStyle w:val="ConsPlusNonformat"/>
        <w:jc w:val="both"/>
      </w:pPr>
      <w:r>
        <w:t>(городского округа)          _______________ ____________________________</w:t>
      </w:r>
    </w:p>
    <w:p w:rsidR="00AA3548" w:rsidRDefault="00AA3548">
      <w:pPr>
        <w:pStyle w:val="ConsPlusNonformat"/>
        <w:jc w:val="both"/>
      </w:pPr>
      <w:r>
        <w:t xml:space="preserve">                                (подпись)       (расшифровка подписи)</w:t>
      </w:r>
    </w:p>
    <w:p w:rsidR="00AA3548" w:rsidRDefault="00AA3548">
      <w:pPr>
        <w:pStyle w:val="ConsPlusNonformat"/>
        <w:jc w:val="both"/>
      </w:pPr>
    </w:p>
    <w:p w:rsidR="00AA3548" w:rsidRDefault="00AA3548">
      <w:pPr>
        <w:pStyle w:val="ConsPlusNonformat"/>
        <w:jc w:val="both"/>
      </w:pPr>
      <w:r>
        <w:t>Начальник финансового отдела _______________ ____________________________</w:t>
      </w:r>
    </w:p>
    <w:p w:rsidR="00AA3548" w:rsidRDefault="00AA3548">
      <w:pPr>
        <w:pStyle w:val="ConsPlusNonformat"/>
        <w:jc w:val="both"/>
      </w:pPr>
      <w:r>
        <w:t xml:space="preserve">                                (подпись)       (расшифровка подписи)</w:t>
      </w:r>
    </w:p>
    <w:p w:rsidR="00AA3548" w:rsidRDefault="00AA3548">
      <w:pPr>
        <w:pStyle w:val="ConsPlusNormal"/>
        <w:ind w:firstLine="540"/>
        <w:jc w:val="both"/>
      </w:pPr>
    </w:p>
    <w:p w:rsidR="00AA3548" w:rsidRDefault="00AA3548">
      <w:pPr>
        <w:pStyle w:val="ConsPlusNormal"/>
        <w:ind w:firstLine="540"/>
        <w:jc w:val="both"/>
      </w:pPr>
    </w:p>
    <w:p w:rsidR="00AA3548" w:rsidRDefault="00AA3548">
      <w:pPr>
        <w:pStyle w:val="ConsPlusNormal"/>
        <w:pBdr>
          <w:top w:val="single" w:sz="6" w:space="0" w:color="auto"/>
        </w:pBdr>
        <w:spacing w:before="100" w:after="100"/>
        <w:jc w:val="both"/>
        <w:rPr>
          <w:sz w:val="2"/>
          <w:szCs w:val="2"/>
        </w:rPr>
      </w:pPr>
    </w:p>
    <w:p w:rsidR="001C1769" w:rsidRDefault="001C1769"/>
    <w:sectPr w:rsidR="001C1769" w:rsidSect="004E0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548"/>
    <w:rsid w:val="001C1769"/>
    <w:rsid w:val="00AA3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35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35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35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354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35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35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35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354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59C4B369603CC7CC984764877F59A3456F338554C53991AF460FC1D0016ECEC41D6140F856D479MBm9O" TargetMode="External"/><Relationship Id="rId13" Type="http://schemas.openxmlformats.org/officeDocument/2006/relationships/hyperlink" Target="consultantplus://offline/ref=0F59C4B369603CC7CC984764877F59A3456F338559C73A9BAB460FC1D0016ECEC41D6140F856D37ABFD6ADM2mEO" TargetMode="External"/><Relationship Id="rId18" Type="http://schemas.openxmlformats.org/officeDocument/2006/relationships/hyperlink" Target="consultantplus://offline/ref=0F59C4B369603CC7CC984764877F59A3456F338559C73A9BAB460FC1D0016ECEC41D6140F856D37ABFD6ACM2m2O" TargetMode="External"/><Relationship Id="rId3" Type="http://schemas.openxmlformats.org/officeDocument/2006/relationships/settings" Target="settings.xml"/><Relationship Id="rId21" Type="http://schemas.openxmlformats.org/officeDocument/2006/relationships/hyperlink" Target="consultantplus://offline/ref=0F59C4B369603CC7CC984764877F59A3456F338559C73A9BAB460FC1D0016ECEC41D6140F856D37ABFD6ABM2mEO" TargetMode="External"/><Relationship Id="rId7" Type="http://schemas.openxmlformats.org/officeDocument/2006/relationships/hyperlink" Target="consultantplus://offline/ref=0F59C4B369603CC7CC985969911307A74F646D8058C531C4F719549C8708649983523800B558MDm7O" TargetMode="External"/><Relationship Id="rId12" Type="http://schemas.openxmlformats.org/officeDocument/2006/relationships/hyperlink" Target="consultantplus://offline/ref=0F59C4B369603CC7CC984764877F59A3456F338559C73A9BAB460FC1D0016ECEC41D6140F856D37ABFD6ADM2mFO" TargetMode="External"/><Relationship Id="rId17" Type="http://schemas.openxmlformats.org/officeDocument/2006/relationships/hyperlink" Target="consultantplus://offline/ref=0F59C4B369603CC7CC984764877F59A3456F338559C73A9BAB460FC1D0016ECEC41D6140F856D37ABFD6ACM2mCO" TargetMode="External"/><Relationship Id="rId2" Type="http://schemas.microsoft.com/office/2007/relationships/stylesWithEffects" Target="stylesWithEffects.xml"/><Relationship Id="rId16" Type="http://schemas.openxmlformats.org/officeDocument/2006/relationships/hyperlink" Target="consultantplus://offline/ref=0F59C4B369603CC7CC984764877F59A3456F338559C73A9BAB460FC1D0016ECEC41D6140F856D37ABFD6ACM2mDO" TargetMode="External"/><Relationship Id="rId20" Type="http://schemas.openxmlformats.org/officeDocument/2006/relationships/hyperlink" Target="consultantplus://offline/ref=0F59C4B369603CC7CC984764877F59A3456F338559C73A9BAB460FC1D0016ECEC41D6140F856D37ABFD6ABM2m8O" TargetMode="External"/><Relationship Id="rId1" Type="http://schemas.openxmlformats.org/officeDocument/2006/relationships/styles" Target="styles.xml"/><Relationship Id="rId6" Type="http://schemas.openxmlformats.org/officeDocument/2006/relationships/hyperlink" Target="consultantplus://offline/ref=0F59C4B369603CC7CC984764877F59A3456F338559C73A9BAB460FC1D0016ECEC41D6140F856D37ABFD6ADM2m8O" TargetMode="External"/><Relationship Id="rId11" Type="http://schemas.openxmlformats.org/officeDocument/2006/relationships/hyperlink" Target="consultantplus://offline/ref=0F59C4B369603CC7CC984764877F59A3456F33855EC03A9AA2460FC1D0016ECEC41D6140F856D37ABFD6A9M2m3O" TargetMode="External"/><Relationship Id="rId2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0F59C4B369603CC7CC984764877F59A3456F338559C73A9BAB460FC1D0016ECEC41D6140F856D37ABFD6ADM2mCO" TargetMode="External"/><Relationship Id="rId23" Type="http://schemas.openxmlformats.org/officeDocument/2006/relationships/fontTable" Target="fontTable.xml"/><Relationship Id="rId10" Type="http://schemas.openxmlformats.org/officeDocument/2006/relationships/hyperlink" Target="consultantplus://offline/ref=0F59C4B369603CC7CC984764877F59A3456F33855EC03A9AA2460FC1D0016ECEC41D6140F856D37ABFD6AEM2mEO" TargetMode="External"/><Relationship Id="rId19" Type="http://schemas.openxmlformats.org/officeDocument/2006/relationships/hyperlink" Target="consultantplus://offline/ref=0F59C4B369603CC7CC984764877F59A3456F338558C73997AD460FC1D0016ECEC41D6140F856D37ABFD6AFM2m9O" TargetMode="External"/><Relationship Id="rId4" Type="http://schemas.openxmlformats.org/officeDocument/2006/relationships/webSettings" Target="webSettings.xml"/><Relationship Id="rId9" Type="http://schemas.openxmlformats.org/officeDocument/2006/relationships/hyperlink" Target="consultantplus://offline/ref=0F59C4B369603CC7CC984764877F59A3456F33855EC03A9AA2460FC1D0016ECEC41D6140F856D37ABFD6AEM2mAO" TargetMode="External"/><Relationship Id="rId14" Type="http://schemas.openxmlformats.org/officeDocument/2006/relationships/hyperlink" Target="consultantplus://offline/ref=0F59C4B369603CC7CC984764877F59A3456F338559C73B93AD460FC1D0016ECEC41D6140F856D37ABFD6AEM2mAO" TargetMode="External"/><Relationship Id="rId22" Type="http://schemas.openxmlformats.org/officeDocument/2006/relationships/hyperlink" Target="consultantplus://offline/ref=0F59C4B369603CC7CC984764877F59A3456F338559C73A9BAB460FC1D0016ECEC41D6140F856D37ABFD6ABM2m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2591</Words>
  <Characters>14772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Ильина Эльвира Владимировна</dc:creator>
  <cp:lastModifiedBy>Ильина Эльвира Владимировна</cp:lastModifiedBy>
  <cp:revision>1</cp:revision>
  <cp:lastPrinted>2016-08-15T14:39:00Z</cp:lastPrinted>
  <dcterms:created xsi:type="dcterms:W3CDTF">2016-08-15T14:38:00Z</dcterms:created>
  <dcterms:modified xsi:type="dcterms:W3CDTF">2016-08-15T14:39:00Z</dcterms:modified>
</cp:coreProperties>
</file>