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4962"/>
        <w:spacing/>
        <w:jc w:val="center"/>
        <w:rPr>
          <w:szCs w:val="26"/>
        </w:rPr>
      </w:pPr>
      <w:r>
        <w:rPr>
          <w:szCs w:val="26"/>
        </w:rPr>
      </w:r>
    </w:p>
    <w:tbl>
      <w:tblPr>
        <w:name w:val="Таблица1"/>
        <w:tabOrder w:val="0"/>
        <w:jc w:val="left"/>
        <w:tblInd w:w="0" w:type="dxa"/>
        <w:tblW w:w="9466" w:type="dxa"/>
      </w:tblPr>
      <w:tblGrid>
        <w:gridCol w:w="4862"/>
        <w:gridCol w:w="4604"/>
      </w:tblGrid>
      <w:tr>
        <w:trPr>
          <w:trHeight w:val="3828" w:hRule="atLeast"/>
        </w:trPr>
        <w:tc>
          <w:tcPr>
            <w:tcW w:w="48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92200" protected="1"/>
          </w:tcPr>
          <w:p>
            <w:pPr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92200" protected="1"/>
          </w:tcPr>
          <w:p>
            <w:pPr>
              <w:ind w:left="-108"/>
              <w:spacing/>
              <w:jc w:val="center"/>
              <w:rPr>
                <w:szCs w:val="26"/>
              </w:rPr>
            </w:pPr>
            <w:r>
              <w:rPr>
                <w:szCs w:val="26"/>
              </w:rPr>
              <w:t>УТВЕРЖДАЮ</w:t>
            </w:r>
          </w:p>
          <w:p>
            <w:pPr>
              <w:ind w:left="-108"/>
              <w:spacing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Министр строительства, архитектуры </w:t>
            </w:r>
          </w:p>
          <w:p>
            <w:pPr>
              <w:ind w:left="-108"/>
              <w:spacing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и жилищно-коммунального хозяйства </w:t>
            </w:r>
          </w:p>
          <w:p>
            <w:pPr>
              <w:ind w:left="-108"/>
              <w:spacing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Чувашской Республики </w:t>
            </w:r>
          </w:p>
          <w:p>
            <w:pPr>
              <w:ind w:left="-108"/>
              <w:spacing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  <w:p>
            <w:pPr>
              <w:rPr>
                <w:szCs w:val="26"/>
              </w:rPr>
            </w:pPr>
            <w:r>
              <w:rPr>
                <w:szCs w:val="26"/>
              </w:rPr>
            </w:r>
          </w:p>
          <w:p>
            <w:pPr>
              <w:spacing/>
              <w:jc w:val="both"/>
              <w:rPr>
                <w:szCs w:val="26"/>
                <w:u w:color="auto" w:val="single"/>
              </w:rPr>
            </w:pPr>
            <w:r>
              <w:rPr>
                <w:szCs w:val="26"/>
              </w:rPr>
              <w:t>_________________  В.Ю. Михайлов</w:t>
            </w:r>
            <w:r>
              <w:rPr>
                <w:szCs w:val="26"/>
                <w:u w:color="auto" w:val="single"/>
              </w:rPr>
            </w:r>
          </w:p>
          <w:p>
            <w:pPr>
              <w:rPr>
                <w:szCs w:val="26"/>
              </w:rPr>
            </w:pPr>
            <w:r>
              <w:rPr>
                <w:szCs w:val="26"/>
              </w:rPr>
            </w:r>
          </w:p>
          <w:p>
            <w:pPr>
              <w:spacing/>
              <w:jc w:val="center"/>
              <w:rPr>
                <w:szCs w:val="26"/>
              </w:rPr>
            </w:pPr>
            <w:r>
              <w:rPr>
                <w:szCs w:val="26"/>
              </w:rPr>
              <w:t>27 ноября 2017 г.</w:t>
            </w:r>
          </w:p>
        </w:tc>
      </w:tr>
    </w:tbl>
    <w:p>
      <w:pPr>
        <w:rPr>
          <w:szCs w:val="26"/>
        </w:rPr>
      </w:pPr>
      <w:r>
        <w:rPr>
          <w:szCs w:val="26"/>
        </w:rPr>
      </w:r>
    </w:p>
    <w:p>
      <w:pPr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ДОЛЖНОСТНОЙ РЕГЛАМЕНТ</w:t>
      </w: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государственного гражданского служащего Чувашской Республики,</w:t>
      </w:r>
      <w:r>
        <w:rPr>
          <w:b/>
          <w:szCs w:val="26"/>
        </w:rPr>
      </w:r>
    </w:p>
    <w:p>
      <w:pPr>
        <w:pStyle w:val="para2"/>
        <w: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государственной гражданской службы </w:t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pStyle w:val="para2"/>
        <w: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ведущей группы должностей, </w:t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spacing/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</w:r>
    </w:p>
    <w:p>
      <w:pPr>
        <w:spacing/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 xml:space="preserve">Консультанта </w:t>
      </w:r>
      <w:r>
        <w:rPr>
          <w:rFonts w:eastAsia="Times New Roman"/>
          <w:b/>
          <w:szCs w:val="26"/>
        </w:rPr>
      </w:r>
    </w:p>
    <w:p>
      <w:pPr>
        <w:spacing/>
        <w:jc w:val="center"/>
        <w:rPr>
          <w:b/>
          <w:szCs w:val="26"/>
        </w:rPr>
      </w:pPr>
      <w:hyperlink r:id="rId8" w:history="1">
        <w:r>
          <w:rPr>
            <w:rFonts w:eastAsia="Times New Roman"/>
            <w:b/>
            <w:szCs w:val="26"/>
          </w:rPr>
          <w:t>отдела</w:t>
        </w:r>
      </w:hyperlink>
      <w:r>
        <w:rPr>
          <w:b/>
          <w:szCs w:val="26"/>
        </w:rPr>
        <w:t xml:space="preserve"> экономического анализа и финансового контроля</w:t>
      </w:r>
      <w:r>
        <w:rPr>
          <w:b/>
          <w:szCs w:val="26"/>
        </w:rPr>
      </w:r>
      <w:r>
        <w:br w:type="page"/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I. Общие положения</w:t>
      </w:r>
      <w:r>
        <w:rPr>
          <w:b/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1.1. Должность государственной гражданской службы Чувашской Республики консультанта отдела экономического анализа и финансового контроля (далее – консультант) учреждается в Министерстве строительства, архитектуры и жилищно-коммунального хозяйства Чувашской Республики (далее – министерство) с целью обеспечения деятельности отдела экономического анализа и финансового контроля (далее – отдел) в соответствии с Положением об отделе.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«консультант» относится к категории «специалисты» ведущей группы должностей и имеет регистрационный номер (код)</w:t>
      </w:r>
      <w:r>
        <w:rPr>
          <w:szCs w:val="26"/>
          <w:vertAlign w:val="superscript"/>
        </w:rPr>
        <w:t xml:space="preserve"> </w:t>
      </w:r>
      <w:r>
        <w:rPr>
          <w:szCs w:val="26"/>
        </w:rPr>
        <w:t xml:space="preserve"> 3-3-3-18.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1.3. Область профессиональной служебной деятельности государственного гражданского служащего Чувашской Республики (далее – гражданский служащий): регулирование жилищно-коммунального хозяйства и строительства (далее – область деятельности).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1.4. Вид профессиональной служебной деятельности гражданского служащего:  регулирование в сфере капитального строительства и капитального ремонта.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1.5. Консультант назначается на должность и освобождается от должности министром строительства, архитектуры и жилищно-коммунального хозяйства Чувашской Республики и непосредственно подчиняется начальнику отдела.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1.6. В период отсутствия</w:t>
      </w:r>
      <w:r>
        <w:rPr>
          <w:rFonts w:eastAsia="Times New Roman"/>
          <w:szCs w:val="26"/>
        </w:rPr>
        <w:t xml:space="preserve"> </w:t>
      </w:r>
      <w:r>
        <w:rPr>
          <w:szCs w:val="26"/>
        </w:rPr>
        <w:t>консультанта его обязанности распределяются начальником отдела между государственными гражданскими служащими отдела.</w:t>
      </w:r>
      <w:r>
        <w:rPr>
          <w:szCs w:val="26"/>
        </w:rPr>
      </w:r>
    </w:p>
    <w:p>
      <w:pPr>
        <w:spacing/>
        <w:jc w:val="both"/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II. Квалификационные требования</w:t>
      </w:r>
      <w:r>
        <w:rPr>
          <w:b/>
          <w:szCs w:val="26"/>
        </w:rPr>
      </w:r>
    </w:p>
    <w:p>
      <w:pPr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Для замещения должности консультанта устанавливаются базовые и профессионально-функциональные квалификационные требования. </w:t>
      </w:r>
      <w:r>
        <w:rPr>
          <w:szCs w:val="26"/>
        </w:rPr>
      </w:r>
    </w:p>
    <w:p>
      <w:pPr>
        <w:ind w:firstLine="709"/>
        <w:rPr>
          <w:szCs w:val="26"/>
        </w:rPr>
      </w:pPr>
      <w:r>
        <w:rPr>
          <w:szCs w:val="26"/>
        </w:rPr>
        <w:t>2.1. Базовые квалификационные требования:</w:t>
      </w:r>
      <w:r>
        <w:rPr>
          <w:szCs w:val="26"/>
        </w:rPr>
      </w:r>
    </w:p>
    <w:p>
      <w:pPr>
        <w:ind w:firstLine="720"/>
        <w:spacing/>
        <w:jc w:val="both"/>
        <w:tabs>
          <w:tab w:val="left" w:pos="540" w:leader="none"/>
        </w:tabs>
        <w:rPr>
          <w:szCs w:val="26"/>
        </w:rPr>
      </w:pPr>
      <w:r>
        <w:rPr>
          <w:szCs w:val="26"/>
        </w:rPr>
        <w:t>2.1.1. Гражданский служащий, замещающий должность консультанта, должен иметь высшее образование.</w:t>
      </w:r>
      <w:r>
        <w:rPr>
          <w:szCs w:val="26"/>
        </w:rPr>
      </w:r>
    </w:p>
    <w:p>
      <w:pPr>
        <w:ind w:firstLine="709"/>
        <w:spacing/>
        <w:jc w:val="both"/>
        <w:tabs>
          <w:tab w:val="left" w:pos="9411" w:leader="none"/>
        </w:tabs>
        <w:rPr>
          <w:rStyle w:val="char9"/>
          <w:sz w:val="26"/>
          <w:szCs w:val="26"/>
        </w:rPr>
      </w:pPr>
      <w:r>
        <w:rPr>
          <w:szCs w:val="26"/>
        </w:rPr>
        <w:t xml:space="preserve">2.1.2. Для должности </w:t>
      </w:r>
      <w:r>
        <w:rPr>
          <w:rStyle w:val="char9"/>
          <w:sz w:val="26"/>
          <w:szCs w:val="26"/>
        </w:rPr>
        <w:t>консультанта требования к стажу гражданской службы или работы по специальности, направлению подготовки не устанавливаются.</w:t>
      </w:r>
      <w:r>
        <w:rPr>
          <w:rStyle w:val="char9"/>
          <w:sz w:val="26"/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2.1.3. Консультант должен обладать следующими базовыми знаниями и умениями: 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1) знанием государственного языка Российской Федерации (русского языка);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2) знаниями основ: 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Конституции Российской Федерации; 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3) знаниями и умениями в области информационно-коммуникационных технологий.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2.1.4. Умения гражданского служащего, замещающего должность консультанта, должны включать:</w:t>
      </w:r>
      <w:r>
        <w:rPr>
          <w:szCs w:val="26"/>
        </w:rPr>
      </w:r>
    </w:p>
    <w:p>
      <w:pPr>
        <w:ind w:firstLine="709"/>
        <w:spacing/>
        <w:jc w:val="both"/>
        <w:rPr>
          <w:highlight w:val="yellow"/>
          <w:szCs w:val="26"/>
        </w:rPr>
      </w:pPr>
      <w:r>
        <w:rPr>
          <w:szCs w:val="26"/>
        </w:rPr>
        <w:t>общие умения:</w:t>
      </w:r>
      <w:r>
        <w:rPr>
          <w:highlight w:val="yellow"/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- умение мыслить стратегически (системно);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- умение планировать, рационально использовать служебное время и достигать результата;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- коммуникативные умения;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- умение управлять изменениями;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управленческие умения:</w:t>
      </w:r>
      <w:r>
        <w:rPr>
          <w:szCs w:val="26"/>
        </w:rPr>
      </w:r>
    </w:p>
    <w:p>
      <w:pPr>
        <w:pStyle w:val="para7"/>
        <w:ind w:left="0" w:firstLine="709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умение руководить подчиненными, 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para7"/>
        <w:ind w:left="0" w:firstLine="709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умение оперативно принимать и реализовывать управленческие решения.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2.2. Профессионально-функциональные квалификационные требования: 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2.2.1. Гражданский служащий, замещающий должность консультанта, должен иметь высшее образование по специальности (ям), направлению (ям) подготовки «</w:t>
      </w:r>
      <w:r>
        <w:rPr>
          <w:iCs/>
          <w:szCs w:val="26"/>
        </w:rPr>
        <w:t>Экономика</w:t>
      </w:r>
      <w:r>
        <w:rPr>
          <w:szCs w:val="26"/>
        </w:rPr>
        <w:t xml:space="preserve">», и(или) «Бухгалтерский учет и аудит», и(или) «Юриспруденция»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 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2.2.2. Гражданский служащий, замещающий должность консультанта,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1) Федеральный закон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 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2)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3) Федеральный закон от 26 октября 2002 г. № 127-ФЗ «О несостоятельности (банкротстве)»;</w:t>
      </w:r>
      <w:r>
        <w:rPr>
          <w:szCs w:val="26"/>
        </w:rPr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 xml:space="preserve">4) Закон Чувашской Республики от 25 ноября 2011 г. № 67 «О защите прав граждан-участников долевого строительства многоквартирных домов, пострадавших от действий (бездействия) застройщиков на территории Чувашской Республики». 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5) Приказ Министерства строительства и жилищно-коммунального хозяйства Российской Федерации от 12 августа 2016 г. №560/пр 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граждан»;</w:t>
      </w:r>
      <w:r>
        <w:rPr>
          <w:szCs w:val="26"/>
        </w:rPr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 xml:space="preserve">2.2.3. Иные профессиональные знания консультанта должны включать: 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</w:t>
      </w:r>
      <w:r>
        <w:rPr>
          <w:szCs w:val="26"/>
        </w:rPr>
        <w:t>) понятие застройщика;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2) понятие объекта долевого строительства;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3) понятие проблемного объекта;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4) понятие граждан-участников долевого строительства многоквартирного дома, пострадавших от действий (бездействия) застройщика многоквартирного дома на территории Чувашской Республики;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5) понятие проверки: плановая, внеплановая, документарная.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2.2.4. Гражданский служащий, замещающий должность консультанта, должен обладать следующими профессиональными умениями: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1) участие в осуществлении государственного контроля (надзора) в области долевого строительства многоквартирных домов и (или) иных объектов недвижимости 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2.2.5. Гражданский служащий, замещающий должность консультанта, должен обладать следующими функциональными знаниями: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1) принципы, методы, технологии и механизмы осуществления контроля (надзора);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2) виды, назначение и технологии организации проверочных процедур;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3) понятие единого реестра проверок, процедура его формирования;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4) институт предварительной проверки жалобы и иной информации, поступившей в контрольно-надзорный орган;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5) процедура организации проверки: порядок, этапы, инструменты проведения;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6) ограничения при проведении проверочных процедур;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7) меры, принимаемые по результатам проверки;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8) основания проведения и особенности внеплановых проверок;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9) понятие, процедура рассмотрения обращений граждан.</w:t>
      </w:r>
      <w:r>
        <w:rPr>
          <w:szCs w:val="26"/>
        </w:rPr>
      </w:r>
    </w:p>
    <w:p>
      <w:pPr>
        <w:ind w:firstLine="709"/>
        <w:spacing/>
        <w:jc w:val="both"/>
        <w:keepNext/>
        <w:rPr>
          <w:szCs w:val="26"/>
        </w:rPr>
      </w:pPr>
      <w:r>
        <w:rPr>
          <w:szCs w:val="26"/>
        </w:rPr>
        <w:t>2.2.6. Гражданский служащий, замещающий должность консультанта, должен обладать следующими функциональными умениями: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1) проведения плановых и внеплановых документарных (камеральных) проверок (обследований);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2) проведения плановых и внеплановых выездных проверок;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3) формирования и ведения реестров, кадастров, регистров, перечней, каталогов, лицевых счетов для обеспечения контрольно-надзорных полномочий;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4) осуществления контроля исполнения предписаний, решений и других распорядительных документов.</w:t>
      </w:r>
      <w:r>
        <w:rPr>
          <w:szCs w:val="26"/>
        </w:rPr>
      </w:r>
    </w:p>
    <w:p>
      <w:pPr>
        <w:ind w:firstLine="737"/>
        <w:spacing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5) разработки, рассмотрения и согласования проектов нормативных правовых актов и других документов;</w:t>
      </w:r>
      <w:r>
        <w:rPr>
          <w:rFonts w:eastAsia="Times New Roman"/>
          <w:szCs w:val="26"/>
        </w:rPr>
      </w:r>
    </w:p>
    <w:p>
      <w:pPr>
        <w:ind w:firstLine="737"/>
        <w:spacing/>
        <w:jc w:val="both"/>
        <w:rPr>
          <w:szCs w:val="26"/>
        </w:rPr>
      </w:pPr>
      <w:r>
        <w:rPr>
          <w:rFonts w:eastAsia="Times New Roman"/>
          <w:szCs w:val="26"/>
        </w:rPr>
        <w:t>6) подготовки аналитических, информационных и других материалов</w:t>
      </w:r>
      <w:r>
        <w:rPr>
          <w:szCs w:val="26"/>
        </w:rPr>
        <w:t>.</w:t>
      </w: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szCs w:val="26"/>
        </w:rPr>
      </w:pPr>
      <w:r>
        <w:rPr>
          <w:b/>
          <w:szCs w:val="26"/>
        </w:rPr>
        <w:t xml:space="preserve">III. Должностные обязанности </w:t>
      </w:r>
      <w:r>
        <w:rPr>
          <w:szCs w:val="26"/>
        </w:rPr>
      </w:r>
    </w:p>
    <w:p>
      <w:pPr>
        <w:ind w:firstLine="709"/>
        <w:spacing/>
        <w:jc w:val="both"/>
        <w:keepNext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3.1. Консультант должен:</w:t>
      </w:r>
      <w:r>
        <w:rPr>
          <w:szCs w:val="26"/>
        </w:rPr>
      </w:r>
    </w:p>
    <w:p>
      <w:pPr>
        <w:ind w:firstLine="709"/>
        <w:spacing/>
        <w:jc w:val="both"/>
        <w:tabs>
          <w:tab w:val="left" w:pos="709" w:leader="none"/>
        </w:tabs>
        <w:rPr>
          <w:szCs w:val="26"/>
        </w:rPr>
      </w:pPr>
      <w:r>
        <w:rPr>
          <w:szCs w:val="26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  <w:r>
        <w:rPr>
          <w:szCs w:val="26"/>
        </w:rPr>
      </w:r>
    </w:p>
    <w:p>
      <w:pPr>
        <w:ind w:firstLine="709"/>
        <w:spacing/>
        <w:jc w:val="both"/>
        <w:tabs>
          <w:tab w:val="left" w:pos="709" w:leader="none"/>
        </w:tabs>
        <w:rPr>
          <w:szCs w:val="26"/>
        </w:rPr>
      </w:pPr>
      <w:r>
        <w:rPr>
          <w:szCs w:val="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  <w:r>
        <w:rPr>
          <w:szCs w:val="26"/>
        </w:rPr>
      </w:r>
    </w:p>
    <w:p>
      <w:pPr>
        <w:ind w:firstLine="709"/>
        <w:spacing/>
        <w:jc w:val="both"/>
        <w:tabs>
          <w:tab w:val="left" w:pos="709" w:leader="none"/>
        </w:tabs>
        <w:rPr>
          <w:szCs w:val="26"/>
        </w:rPr>
      </w:pPr>
      <w:r>
        <w:rPr>
          <w:szCs w:val="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  <w:r>
        <w:rPr>
          <w:szCs w:val="26"/>
        </w:rPr>
      </w:r>
    </w:p>
    <w:p>
      <w:pPr>
        <w:ind w:firstLine="709"/>
        <w:spacing/>
        <w:jc w:val="both"/>
        <w:tabs>
          <w:tab w:val="left" w:pos="709" w:leader="none"/>
        </w:tabs>
        <w:rPr>
          <w:szCs w:val="26"/>
        </w:rPr>
      </w:pPr>
      <w:r>
        <w:rPr>
          <w:szCs w:val="26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  <w:r>
        <w:rPr>
          <w:szCs w:val="26"/>
        </w:rPr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3.2. Кроме того, исходя из задач и функций министерства консультант:</w:t>
      </w:r>
      <w:r>
        <w:rPr>
          <w:szCs w:val="26"/>
        </w:rPr>
      </w:r>
    </w:p>
    <w:p>
      <w:pPr>
        <w:ind w:firstLine="709"/>
        <w:spacing/>
        <w:jc w:val="both"/>
        <w:widowControl w:val="0"/>
        <w:tabs>
          <w:tab w:val="left" w:pos="883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Cs w:val="26"/>
        </w:rPr>
      </w:pPr>
      <w:r>
        <w:rPr>
          <w:szCs w:val="26"/>
        </w:rPr>
        <w:t>3.2.1. участвует в осуществлении контроля за целевым использованием застройщиком денежных средств, уплачиваемых участниками долевого строительства по договору, для строительства многоквартирных домов и (или) иных объектов недвижимости;</w:t>
      </w:r>
      <w:r>
        <w:rPr>
          <w:szCs w:val="26"/>
        </w:rPr>
      </w:r>
    </w:p>
    <w:p>
      <w:pPr>
        <w:numPr>
          <w:ilvl w:val="2"/>
          <w:numId w:val="1"/>
        </w:numPr>
        <w:ind w:left="0" w:firstLine="709"/>
        <w:spacing/>
        <w:jc w:val="both"/>
        <w:widowControl w:val="0"/>
        <w:tabs>
          <w:tab w:val="left" w:pos="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Cs w:val="26"/>
        </w:rPr>
      </w:pPr>
      <w:r>
        <w:rPr>
          <w:szCs w:val="26"/>
        </w:rPr>
        <w:t>осуществляет прием и проверку ежеквартальной отчетности от застройщика об осуществлении деятельности, связанной с привлечением денежных средств участников долевого строительства;</w:t>
      </w:r>
      <w:r>
        <w:rPr>
          <w:szCs w:val="26"/>
        </w:rPr>
      </w:r>
    </w:p>
    <w:p>
      <w:pPr>
        <w:numPr>
          <w:ilvl w:val="2"/>
          <w:numId w:val="1"/>
        </w:numPr>
        <w:ind w:left="0" w:firstLine="709"/>
        <w:spacing/>
        <w:jc w:val="both"/>
        <w:widowControl w:val="0"/>
        <w:tabs>
          <w:tab w:val="left" w:pos="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Cs w:val="26"/>
        </w:rPr>
      </w:pPr>
      <w:r>
        <w:rPr>
          <w:szCs w:val="26"/>
        </w:rPr>
        <w:t xml:space="preserve"> проводит анализ, изучение и обобщение информации по данным ежеквартальной отчетности от застройщика об осуществлении деятельности, связанной с привлечением денежных средств участников долевого строительства итоги которых ежеквартально размещает на официальном сайте министерства в разделе «Долевое строительство»;</w:t>
      </w:r>
      <w:r>
        <w:rPr>
          <w:szCs w:val="26"/>
        </w:rPr>
      </w:r>
    </w:p>
    <w:p>
      <w:pPr>
        <w:numPr>
          <w:ilvl w:val="2"/>
          <w:numId w:val="1"/>
        </w:numPr>
        <w:ind w:left="0" w:firstLine="709"/>
        <w:spacing/>
        <w:jc w:val="both"/>
        <w:widowControl w:val="0"/>
        <w:tabs>
          <w:tab w:val="left" w:pos="0" w:leader="none"/>
          <w:tab w:val="left" w:pos="54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Cs w:val="26"/>
        </w:rPr>
      </w:pPr>
      <w:r>
        <w:rPr>
          <w:szCs w:val="26"/>
        </w:rPr>
        <w:t>проводит работу с новыми застройщиками, привлекающими денежные средства граждан для строительства многоквартирных домов и иных объектов недвижимости;</w:t>
      </w:r>
      <w:r>
        <w:rPr>
          <w:szCs w:val="26"/>
        </w:rPr>
      </w:r>
    </w:p>
    <w:p>
      <w:pPr>
        <w:numPr>
          <w:ilvl w:val="2"/>
          <w:numId w:val="1"/>
        </w:numPr>
        <w:ind w:left="0" w:firstLine="709"/>
        <w:spacing/>
        <w:jc w:val="both"/>
        <w:widowControl w:val="0"/>
        <w:tabs>
          <w:tab w:val="left" w:pos="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Cs w:val="26"/>
        </w:rPr>
      </w:pPr>
      <w:r>
        <w:rPr>
          <w:szCs w:val="26"/>
        </w:rPr>
        <w:t>направляет лицам, осуществляющим привлечение денежных средств граждан для строительства, предписания об устранении нарушений Федерального закона от 30.12.2004 № 214-ФЗ;</w:t>
      </w:r>
      <w:r>
        <w:rPr>
          <w:szCs w:val="26"/>
        </w:rPr>
      </w:r>
    </w:p>
    <w:p>
      <w:pPr>
        <w:numPr>
          <w:ilvl w:val="2"/>
          <w:numId w:val="1"/>
        </w:numPr>
        <w:ind w:left="0" w:firstLine="709"/>
        <w:spacing/>
        <w:jc w:val="both"/>
        <w:widowControl w:val="0"/>
        <w:tabs>
          <w:tab w:val="left" w:pos="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Cs w:val="26"/>
        </w:rPr>
      </w:pPr>
      <w:r>
        <w:rPr>
          <w:szCs w:val="26"/>
        </w:rPr>
        <w:t>составляет по результатам проведенных проверок акты и на основании актов выдает предписание об устранении выявленных нарушений;</w:t>
      </w:r>
      <w:r>
        <w:rPr>
          <w:szCs w:val="26"/>
        </w:rPr>
      </w:r>
    </w:p>
    <w:p>
      <w:pPr>
        <w:numPr>
          <w:ilvl w:val="2"/>
          <w:numId w:val="1"/>
        </w:numPr>
        <w:ind w:left="0" w:firstLine="709"/>
        <w:spacing/>
        <w:jc w:val="both"/>
        <w:widowControl w:val="0"/>
        <w:tabs>
          <w:tab w:val="left" w:pos="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Cs w:val="26"/>
        </w:rPr>
      </w:pPr>
      <w:r>
        <w:rPr>
          <w:szCs w:val="26"/>
        </w:rPr>
        <w:t>составляет и подписывает протоколы об административных правонарушениях, предусмотренных статьей 14.28 и ч. 4 статьи 19.5 Кодекса Российской Федерации об административных правонарушениях;</w:t>
      </w:r>
      <w:r>
        <w:rPr>
          <w:szCs w:val="26"/>
        </w:rPr>
      </w:r>
    </w:p>
    <w:p>
      <w:pPr>
        <w:numPr>
          <w:ilvl w:val="2"/>
          <w:numId w:val="1"/>
        </w:numPr>
        <w:ind w:left="0" w:firstLine="709"/>
        <w:spacing/>
        <w:jc w:val="both"/>
        <w:widowControl w:val="0"/>
        <w:tabs>
          <w:tab w:val="left" w:pos="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Cs w:val="26"/>
        </w:rPr>
      </w:pPr>
      <w:r>
        <w:rPr>
          <w:szCs w:val="26"/>
        </w:rPr>
        <w:t>представляет в установленном порядке в судах права и законные интересы министерства в пределах своих должностных обязанностей;</w:t>
      </w:r>
      <w:r>
        <w:rPr>
          <w:szCs w:val="26"/>
        </w:rPr>
      </w:r>
    </w:p>
    <w:p>
      <w:pPr>
        <w:numPr>
          <w:ilvl w:val="2"/>
          <w:numId w:val="1"/>
        </w:numPr>
        <w:ind w:left="0" w:firstLine="709"/>
        <w:spacing/>
        <w:jc w:val="both"/>
        <w:widowControl w:val="0"/>
        <w:tabs>
          <w:tab w:val="left" w:pos="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Cs w:val="26"/>
        </w:rPr>
      </w:pPr>
      <w:r>
        <w:rPr>
          <w:szCs w:val="26"/>
        </w:rPr>
        <w:t>своевременно рассматривает жалобы граждан и юридических лиц, связанные с нарушением Федерального закона от 30.12.2004 № 214-ФЗ;</w:t>
      </w:r>
      <w:r>
        <w:rPr>
          <w:szCs w:val="26"/>
        </w:rPr>
      </w:r>
    </w:p>
    <w:p>
      <w:pPr>
        <w:ind w:firstLine="737"/>
        <w:spacing/>
        <w:jc w:val="both"/>
        <w:widowControl w:val="0"/>
        <w:tabs>
          <w:tab w:val="left" w:pos="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Cs w:val="26"/>
        </w:rPr>
      </w:pPr>
      <w:r>
        <w:rPr>
          <w:szCs w:val="26"/>
        </w:rPr>
        <w:t>3.2.10. подготавливает данные по форме федерального статистического наблюдения по форме № 1-контроль «Сведения об осуществлении государственного контроля (надзора) и муниципального контроля», а также составляет отчеты о проведенных проверках в отношении застройщиков, привлекающих денежные средства участников долевого строительства в Прокуратуру Чувашской Республики по мере поступления запросов;</w:t>
      </w:r>
      <w:r>
        <w:rPr>
          <w:szCs w:val="26"/>
        </w:rPr>
      </w:r>
    </w:p>
    <w:p>
      <w:pPr>
        <w:ind w:firstLine="737"/>
        <w:spacing/>
        <w:jc w:val="both"/>
        <w:widowControl w:val="0"/>
        <w:tabs>
          <w:tab w:val="left" w:pos="0" w:leader="none"/>
          <w:tab w:val="left" w:pos="54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Cs w:val="26"/>
        </w:rPr>
      </w:pPr>
      <w:r>
        <w:rPr>
          <w:szCs w:val="26"/>
        </w:rPr>
        <w:t>3.2.11. участвует в проведении проверок юридических лиц, в области долевого строительства многоквартирных домов и (или) иных объектов недвижимости;</w:t>
      </w:r>
      <w:r>
        <w:rPr>
          <w:szCs w:val="26"/>
        </w:rPr>
      </w:r>
    </w:p>
    <w:p>
      <w:pPr>
        <w:ind w:firstLine="737"/>
        <w:spacing/>
        <w:jc w:val="both"/>
        <w:rPr>
          <w:color w:val="000000"/>
          <w:spacing w:val="3"/>
          <w:szCs w:val="26"/>
        </w:rPr>
      </w:pPr>
      <w:r>
        <w:rPr>
          <w:szCs w:val="26"/>
        </w:rPr>
        <w:t>3.2.12. готовит заключение о соответствии застройщика и проектной декларации требованиям</w:t>
      </w:r>
      <w:r>
        <w:rPr>
          <w:color w:val="000000"/>
          <w:spacing w:val="3"/>
          <w:szCs w:val="26"/>
        </w:rPr>
        <w:t xml:space="preserve"> Федерального закона от 30.12.2004 № 214-ФЗ </w:t>
      </w:r>
      <w:r>
        <w:rPr>
          <w:szCs w:val="26"/>
        </w:rPr>
        <w:t>или мотивированный отказ в выдаче такого заключения;</w:t>
      </w:r>
      <w:r>
        <w:rPr>
          <w:color w:val="000000"/>
          <w:spacing w:val="3"/>
          <w:szCs w:val="26"/>
        </w:rPr>
        <w:t xml:space="preserve"> </w:t>
      </w:r>
      <w:r>
        <w:rPr>
          <w:color w:val="000000"/>
          <w:spacing w:val="3"/>
          <w:szCs w:val="26"/>
        </w:rPr>
      </w:r>
    </w:p>
    <w:p>
      <w:pPr>
        <w:ind w:firstLine="850"/>
        <w:spacing/>
        <w:jc w:val="both"/>
        <w:widowControl w:val="0"/>
        <w:tabs>
          <w:tab w:val="left" w:pos="0" w:leader="none"/>
          <w:tab w:val="left" w:pos="854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Cs w:val="26"/>
        </w:rPr>
      </w:pPr>
      <w:r>
        <w:rPr>
          <w:szCs w:val="26"/>
        </w:rPr>
        <w:t>3.2.13. кроме перечисленных обязанностей по мере служебной необходимости, выполняет другие поручения начальника отдела по вопросам, относящимся к ведению отдела;</w:t>
      </w:r>
      <w:r>
        <w:rPr>
          <w:szCs w:val="26"/>
        </w:rPr>
      </w:r>
    </w:p>
    <w:p>
      <w:pPr>
        <w:ind w:firstLine="850"/>
        <w:spacing/>
        <w:jc w:val="both"/>
        <w:widowControl w:val="0"/>
        <w:tabs>
          <w:tab w:val="left" w:pos="0" w:leader="none"/>
          <w:tab w:val="left" w:pos="854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Cs w:val="26"/>
        </w:rPr>
      </w:pPr>
      <w:r>
        <w:rPr>
          <w:szCs w:val="26"/>
        </w:rPr>
        <w:t>3.2.14. поддерживает уровень своей квалификации, достаточный для исполнения должностных обязанностей.</w:t>
      </w:r>
      <w:r>
        <w:rPr>
          <w:szCs w:val="26"/>
        </w:rPr>
      </w:r>
    </w:p>
    <w:p>
      <w:pPr>
        <w:ind w:firstLine="540"/>
        <w:spacing/>
        <w:jc w:val="both"/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IV. Права</w:t>
      </w:r>
    </w:p>
    <w:p>
      <w:pPr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4.1. Основные права консультанта установлены статьей 14 Федерального закона «О государственной гражданской службе Российской Федерации».</w:t>
      </w:r>
    </w:p>
    <w:p>
      <w:pPr>
        <w:ind w:firstLine="709"/>
        <w:rPr>
          <w:szCs w:val="26"/>
        </w:rPr>
      </w:pPr>
      <w:r>
        <w:rPr>
          <w:szCs w:val="26"/>
        </w:rPr>
        <w:t>4.2. Кроме того, консультант имеет право:</w:t>
      </w:r>
    </w:p>
    <w:p>
      <w:pPr>
        <w:ind w:firstLine="680"/>
        <w:spacing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4.2.1. в пределах своей компетенции рассматривать вопросы, относящиеся к функциям отдела;</w:t>
      </w:r>
    </w:p>
    <w:p>
      <w:pPr>
        <w:ind w:firstLine="680"/>
        <w:spacing/>
        <w:jc w:val="both"/>
        <w:tabs>
          <w:tab w:val="left" w:pos="540" w:leader="none"/>
        </w:tabs>
        <w:rPr>
          <w:rFonts w:eastAsia="Times New Roman"/>
          <w:szCs w:val="26"/>
        </w:rPr>
      </w:pPr>
      <w:r>
        <w:rPr>
          <w:rFonts w:eastAsia="Times New Roman"/>
          <w:szCs w:val="26"/>
        </w:rPr>
        <w:t>4.2.2. запрашивать и получать от государственных органов, предприятий, учреждений, организаций, независимо от форм собственности, общественных объединений статистические и справочные материалы, информацию по вопросам, относящимся к компетенции отдела и необходимую для исполнения своих должностных обязанностей;</w:t>
      </w:r>
    </w:p>
    <w:p>
      <w:pPr>
        <w:ind w:firstLine="680"/>
        <w:spacing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4.2.3. по поручению руководства представлять интересы отдела и министерства в других органах, организациях и учреждениях;</w:t>
      </w:r>
    </w:p>
    <w:p>
      <w:pPr>
        <w:ind w:firstLine="680"/>
        <w:spacing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4.2.4. знакомиться с проектами решений руководства, касающимися деятельности отдела;</w:t>
      </w:r>
    </w:p>
    <w:p>
      <w:pPr>
        <w:ind w:firstLine="680"/>
        <w:spacing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4.2.5. участвовать в совещаниях, семинарах и других мероприятиях по вопросам, отнесенным к компетенции отдела;</w:t>
      </w:r>
    </w:p>
    <w:p>
      <w:pPr>
        <w:ind w:firstLine="680"/>
        <w:spacing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4.2.6. вносить предложения по совершенствованию работы отдела и министерства, о поощрении отличившихся работников, о наложении взысканий на нарушителей трудовой дисциплины;</w:t>
      </w:r>
    </w:p>
    <w:p>
      <w:pPr>
        <w:ind w:firstLine="680"/>
        <w:spacing/>
        <w:jc w:val="both"/>
        <w:tabs>
          <w:tab w:val="left" w:pos="540" w:leader="none"/>
        </w:tabs>
        <w:rPr>
          <w:rFonts w:eastAsia="Times New Roman"/>
          <w:szCs w:val="26"/>
        </w:rPr>
      </w:pPr>
      <w:r>
        <w:rPr>
          <w:rFonts w:eastAsia="Times New Roman"/>
          <w:szCs w:val="26"/>
        </w:rPr>
        <w:t>4.2.7. подписывать и визировать документы в пределах своей компетенции;</w:t>
      </w:r>
    </w:p>
    <w:p>
      <w:pPr>
        <w:ind w:firstLine="680"/>
        <w:spacing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4.2.8. взаимодействовать с руководителями структурных подразделений министерства в процессе выполнения своих должностных обязанностей.</w:t>
      </w:r>
    </w:p>
    <w:p>
      <w:pPr>
        <w:ind w:firstLine="680"/>
        <w:spacing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V. Ответственность гражданского служащего за неисполнение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(ненадлежащее исполнение) должностных обязанностей</w:t>
      </w:r>
    </w:p>
    <w:p>
      <w:pPr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5.1. Консультант несет предусмотренную законодательством Российской Федерации ответственность за: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Cs w:val="26"/>
        </w:rPr>
      </w:pPr>
      <w:r>
        <w:rPr>
          <w:szCs w:val="26"/>
        </w:rPr>
        <w:t>неисполнение либо ненадлежащее исполнение должностных обязанностей;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Cs w:val="26"/>
        </w:rPr>
      </w:pPr>
      <w:r>
        <w:rPr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Cs w:val="26"/>
        </w:rPr>
      </w:pPr>
      <w:r>
        <w:rPr>
          <w:szCs w:val="26"/>
        </w:rPr>
        <w:t>разглашение служебной информации, ставших известными гражданскому служащему в связи с исполнением им должностных обязанностей.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Cs w:val="26"/>
        </w:rPr>
      </w:pPr>
      <w:r>
        <w:rPr>
          <w:szCs w:val="26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Cs w:val="26"/>
        </w:rPr>
      </w:pPr>
      <w:r>
        <w:rPr>
          <w:szCs w:val="26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szCs w:val="26"/>
        </w:rPr>
      </w:pPr>
      <w:r>
        <w:rPr>
          <w:b/>
          <w:szCs w:val="26"/>
        </w:rPr>
        <w:t>VI. Перечень вопросов, по которым гражданский служащий</w:t>
      </w: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вправе или обязан самостоятельно принимать управленческие 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и иные решения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6.1. Вопросы, по которым консультант вправе самостоятельно принимать управленческие и иные решения: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запрос недостающих документов к поступившим на исполнение поручениям;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консультирование лиц, замещающих государственные должности Чувашской Республики и муниципальные должности Чувашской Республики, должности гражданской службы Чувашской Республики, должности муниципальной службы, иных граждан по вопросам, отнесенным к компетенции отдела.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6.2. Вопросы, по которым консультант обязан самостоятельно принимать управленческие и иные решения: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исполнение соответствующих документов по вопросам, отнесенным к компетенции отдела;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визирование проектов документов по вопросам, входящим в компетенцию отдела.</w:t>
      </w:r>
    </w:p>
    <w:p>
      <w:pPr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szCs w:val="26"/>
        </w:rPr>
      </w:pPr>
      <w:r>
        <w:rPr>
          <w:b/>
          <w:szCs w:val="26"/>
        </w:rPr>
        <w:t>VII. Перечень вопросов, по которым гражданский служащий</w:t>
      </w: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вправе или обязан участвовать в подготовке проектов нормативных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правовых актов и (или) проектов управленческих и иных решений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7.1. Консультант вправе участвовать в подготовке проектов нормативных правовых актов Чувашской Республики по вопросам, входящим в компетенцию отдела.</w:t>
      </w:r>
    </w:p>
    <w:p>
      <w:pPr>
        <w:ind w:firstLine="709"/>
        <w:spacing/>
        <w:jc w:val="both"/>
        <w:rPr>
          <w:kern w:val="1"/>
          <w:szCs w:val="26"/>
          <w:lang w:eastAsia="zh-cn"/>
        </w:rPr>
      </w:pPr>
      <w:r>
        <w:rPr>
          <w:szCs w:val="26"/>
        </w:rPr>
        <w:t xml:space="preserve">7.2 Консультант обязан участвовать в подготовке проектов нормативных правовых актов Чувашской Республики, </w:t>
      </w:r>
      <w:r>
        <w:rPr>
          <w:kern w:val="1"/>
          <w:szCs w:val="26"/>
          <w:lang w:eastAsia="zh-cn"/>
        </w:rPr>
        <w:t>нормативных актов министерства, возложенных на него в соответствии с настоящим должностным регламентом.</w:t>
      </w:r>
      <w:r>
        <w:rPr>
          <w:kern w:val="1"/>
          <w:szCs w:val="26"/>
          <w:lang w:eastAsia="zh-cn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Консультант осуществляет подготовку и рассмотрение проектов управленческих решений, согласование и принятие данных решений в соответствии с Инструкцией по делопроизводству в Министерстве строительства, архитектуры и жилищно-коммунального хозяйства Чувашской Республики, утвержденной приказом министерства от 17 апреля 2013 года № 03/1-03/119.</w:t>
      </w:r>
    </w:p>
    <w:p>
      <w:pPr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IX. Порядок служебного взаимодействия гражданского служащего 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в связи с исполнением им должностных обязанностей с гражданскими 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служащими того же государственного органа, гражданскими служащими 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иных государственных органов, другими гражданами, </w:t>
      </w:r>
    </w:p>
    <w:p>
      <w:pPr>
        <w:spacing/>
        <w:jc w:val="center"/>
        <w:rPr>
          <w:szCs w:val="26"/>
        </w:rPr>
      </w:pPr>
      <w:r>
        <w:rPr>
          <w:b/>
          <w:szCs w:val="26"/>
        </w:rPr>
        <w:t>а также с организациями</w:t>
      </w:r>
      <w:r>
        <w:rPr>
          <w:szCs w:val="26"/>
        </w:rPr>
      </w:r>
    </w:p>
    <w:p>
      <w:pPr>
        <w:spacing/>
        <w:jc w:val="center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9.1. Консультант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 обмен письмами, служебной информацией, необходимой для исполнения должностных обязанностей, участие на совещаниях и другое.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9.2. Консультант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обмен письмами, по вопросам выполнения поручений руководства, в случае необходимости получения дополнительной информации, участие на совещаниях и другое.</w:t>
      </w:r>
    </w:p>
    <w:p>
      <w:pPr>
        <w:ind w:firstLine="709"/>
        <w:spacing/>
        <w:jc w:val="both"/>
        <w:keepNext/>
        <w:rPr>
          <w:szCs w:val="26"/>
        </w:rPr>
      </w:pPr>
      <w:r>
        <w:rPr>
          <w:szCs w:val="26"/>
        </w:rPr>
        <w:t>9.3. Консультант осуществляет служебное взаимодействие с гражданами и организациями в связи с исполнением своих должностных обязанностей в следующем порядке: обмен письмами, обмен информацией при приеме граждан по личным вопросам, дача разъяснений по вопросам, входящим в компетенцию отдела.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X. Перечень государственных услуг, оказываемых гражданам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и организациям в соответствии с административным регламентом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государственного органа</w:t>
      </w:r>
    </w:p>
    <w:p>
      <w:pPr>
        <w:rPr>
          <w:szCs w:val="26"/>
        </w:rPr>
      </w:pPr>
      <w:r>
        <w:rPr>
          <w:szCs w:val="26"/>
        </w:rPr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 xml:space="preserve">В соответствии с административным регламентом министерства консультант в пределах своей компетенции оказание государственных услуг не осуществляет. </w:t>
      </w:r>
    </w:p>
    <w:p>
      <w:pPr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XI. Показатели эффективности и результативности профессиональной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служебной деятельности гражданского служащего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Эффективность и результативность профессиональной служебной деятельности консультанта оцениваются по показателям, приказом министерства от 25 июля 2013 года № 03/1-03/224 «О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 и еже-месячной надбавки к должностному окладу за особые условия государственной гражданской службы Чувашской Республики» (с изменениями от 17 октября 2014 года № 03/1-03/454).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type w:val="nextPage"/>
      <w:pgSz w:h="16838" w:w="11906"/>
      <w:pgMar w:left="1701" w:top="1134" w:right="851" w:bottom="1134" w:header="709"/>
      <w:paperSrc w:first="0" w:other="0"/>
      <w:pgNumType w:fmt="decimal"/>
      <w:titlePg/>
      <w:tmGutter w:val="3"/>
      <w:mirrorMargins w:val="0"/>
      <w:tmSection w:h="-2">
        <w:tmHeader w:id="0" w:h="0" edge="709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Tahoma">
    <w:panose1 w:val="020B060403050404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3"/>
      <w:spacing/>
      <w:jc w:val="center"/>
    </w:pPr>
    <w:r>
      <w:fldChar w:fldCharType="begin"/>
      <w:instrText xml:space="preserve"> PAGE </w:instrText>
      <w:fldChar w:fldCharType="separate"/>
      <w:t>7</w:t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3"/>
      <w:numFmt w:val="decimal"/>
      <w:suff w:val="tab"/>
      <w:lvlText w:val="%1."/>
      <w:lvlJc w:val="left"/>
      <w:pPr>
        <w:ind w:left="0" w:hanging="0"/>
      </w:pPr>
      <w:rPr/>
    </w:lvl>
    <w:lvl w:ilvl="1">
      <w:start w:val="2"/>
      <w:numFmt w:val="decimal"/>
      <w:suff w:val="tab"/>
      <w:lvlText w:val="%1.%2."/>
      <w:lvlJc w:val="left"/>
      <w:pPr>
        <w:ind w:left="180" w:hanging="0"/>
      </w:pPr>
      <w:rPr/>
    </w:lvl>
    <w:lvl w:ilvl="2">
      <w:start w:val="2"/>
      <w:numFmt w:val="decimal"/>
      <w:suff w:val="tab"/>
      <w:lvlText w:val="%1.%2.%3."/>
      <w:lvlJc w:val="left"/>
      <w:pPr>
        <w:ind w:left="284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540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72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900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108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1260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144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7"/>
    <w:tmLastPosSelect w:val="0"/>
    <w:tmLastPosFrameIdx w:val="0"/>
    <w:tmLastPosCaret>
      <w:tmLastPosPgfIdx w:val="167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42892200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/>
      <w:sz w:val="26"/>
      <w:szCs w:val="24"/>
    </w:rPr>
  </w:style>
  <w:style w:type="paragraph" w:styleId="para1">
    <w:name w:val="Footnote Text"/>
    <w:qFormat/>
    <w:basedOn w:val="para0"/>
    <w:rPr>
      <w:sz w:val="20"/>
      <w:szCs w:val="20"/>
    </w:rPr>
  </w:style>
  <w:style w:type="paragraph" w:styleId="para2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Times New Roman" w:cs="Courier New"/>
    </w:rPr>
  </w:style>
  <w:style w:type="paragraph" w:styleId="para3">
    <w:name w:val="Header"/>
    <w:qFormat/>
    <w:basedOn w:val="para0"/>
    <w:pPr>
      <w:tabs>
        <w:tab w:val="center" w:pos="4677" w:leader="none"/>
        <w:tab w:val="right" w:pos="9355" w:leader="none"/>
      </w:tabs>
    </w:pPr>
    <w:rPr>
      <w:sz w:val="24"/>
    </w:rPr>
  </w:style>
  <w:style w:type="paragraph" w:styleId="para4">
    <w:name w:val="Footer"/>
    <w:qFormat/>
    <w:basedOn w:val="para0"/>
    <w:pPr>
      <w:tabs>
        <w:tab w:val="center" w:pos="4677" w:leader="none"/>
        <w:tab w:val="right" w:pos="9355" w:leader="none"/>
      </w:tabs>
    </w:pPr>
    <w:rPr>
      <w:sz w:val="24"/>
    </w:rPr>
  </w:style>
  <w:style w:type="paragraph" w:styleId="para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6" w:customStyle="1">
    <w:name w:val="Doc-Т внутри нумерации"/>
    <w:qFormat/>
    <w:basedOn w:val="para0"/>
    <w:pPr>
      <w:ind w:left="720" w:firstLine="709"/>
      <w:spacing w:line="360" w:lineRule="auto"/>
      <w:jc w:val="both"/>
    </w:pPr>
    <w:rPr>
      <w:sz w:val="20"/>
      <w:szCs w:val="20"/>
    </w:rPr>
  </w:style>
  <w:style w:type="paragraph" w:styleId="para7">
    <w:name w:val="List Paragraph"/>
    <w:qFormat/>
    <w:basedOn w:val="para0"/>
    <w:pPr>
      <w:ind w:left="720"/>
      <w:spacing w:after="200" w:line="276" w:lineRule="auto"/>
      <w:contextualSpacing/>
      <w:jc w:val="both"/>
    </w:pPr>
    <w:rPr>
      <w:rFonts w:ascii="Calibri" w:hAnsi="Calibri" w:cs="Calibri"/>
      <w:sz w:val="22"/>
      <w:szCs w:val="22"/>
    </w:rPr>
  </w:style>
  <w:style w:type="character" w:styleId="char0" w:default="1">
    <w:name w:val="Default Paragraph Font"/>
  </w:style>
  <w:style w:type="character" w:styleId="char1" w:customStyle="1">
    <w:name w:val="Текст сноски Знак"/>
    <w:rPr>
      <w:rFonts w:ascii="Times New Roman" w:hAnsi="Times New Roman" w:cs="Times New Roman"/>
      <w:sz w:val="20"/>
      <w:szCs w:val="20"/>
      <w:lang w:val="ru-ru"/>
    </w:rPr>
  </w:style>
  <w:style w:type="character" w:styleId="char2">
    <w:name w:val="Footnote Reference"/>
    <w:rPr>
      <w:rFonts w:cs="Times New Roman"/>
      <w:vertAlign w:val="superscript"/>
    </w:rPr>
  </w:style>
  <w:style w:type="character" w:styleId="char3" w:customStyle="1">
    <w:name w:val="Верхни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styleId="char4" w:customStyle="1">
    <w:name w:val="Нижни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styleId="char5" w:customStyle="1">
    <w:name w:val="Текст выноски Знак"/>
    <w:rPr>
      <w:rFonts w:ascii="Tahoma" w:hAnsi="Tahoma" w:cs="Tahoma"/>
      <w:sz w:val="16"/>
      <w:szCs w:val="16"/>
      <w:lang w:val="ru-ru"/>
    </w:rPr>
  </w:style>
  <w:style w:type="character" w:styleId="char6">
    <w:name w:val="Hyperlink"/>
    <w:rPr>
      <w:color w:val="auto"/>
      <w:u w:color="auto" w:val="single"/>
    </w:rPr>
  </w:style>
  <w:style w:type="character" w:styleId="char7" w:customStyle="1">
    <w:name w:val="Doc-Т внутри нумерации Знак"/>
    <w:rPr>
      <w:rFonts w:ascii="Times New Roman" w:hAnsi="Times New Roman"/>
    </w:rPr>
  </w:style>
  <w:style w:type="character" w:styleId="char8" w:customStyle="1">
    <w:name w:val="Абзац списка Знак"/>
    <w:rPr>
      <w:sz w:val="22"/>
      <w:szCs w:val="22"/>
    </w:rPr>
  </w:style>
  <w:style w:type="character" w:styleId="char9" w:customStyle="1">
    <w:name w:val="Font Style1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/>
      <w:sz w:val="26"/>
      <w:szCs w:val="24"/>
    </w:rPr>
  </w:style>
  <w:style w:type="paragraph" w:styleId="para1">
    <w:name w:val="Footnote Text"/>
    <w:qFormat/>
    <w:basedOn w:val="para0"/>
    <w:rPr>
      <w:sz w:val="20"/>
      <w:szCs w:val="20"/>
    </w:rPr>
  </w:style>
  <w:style w:type="paragraph" w:styleId="para2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Times New Roman" w:cs="Courier New"/>
    </w:rPr>
  </w:style>
  <w:style w:type="paragraph" w:styleId="para3">
    <w:name w:val="Header"/>
    <w:qFormat/>
    <w:basedOn w:val="para0"/>
    <w:pPr>
      <w:tabs>
        <w:tab w:val="center" w:pos="4677" w:leader="none"/>
        <w:tab w:val="right" w:pos="9355" w:leader="none"/>
      </w:tabs>
    </w:pPr>
    <w:rPr>
      <w:sz w:val="24"/>
    </w:rPr>
  </w:style>
  <w:style w:type="paragraph" w:styleId="para4">
    <w:name w:val="Footer"/>
    <w:qFormat/>
    <w:basedOn w:val="para0"/>
    <w:pPr>
      <w:tabs>
        <w:tab w:val="center" w:pos="4677" w:leader="none"/>
        <w:tab w:val="right" w:pos="9355" w:leader="none"/>
      </w:tabs>
    </w:pPr>
    <w:rPr>
      <w:sz w:val="24"/>
    </w:rPr>
  </w:style>
  <w:style w:type="paragraph" w:styleId="para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6" w:customStyle="1">
    <w:name w:val="Doc-Т внутри нумерации"/>
    <w:qFormat/>
    <w:basedOn w:val="para0"/>
    <w:pPr>
      <w:ind w:left="720" w:firstLine="709"/>
      <w:spacing w:line="360" w:lineRule="auto"/>
      <w:jc w:val="both"/>
    </w:pPr>
    <w:rPr>
      <w:sz w:val="20"/>
      <w:szCs w:val="20"/>
    </w:rPr>
  </w:style>
  <w:style w:type="paragraph" w:styleId="para7">
    <w:name w:val="List Paragraph"/>
    <w:qFormat/>
    <w:basedOn w:val="para0"/>
    <w:pPr>
      <w:ind w:left="720"/>
      <w:spacing w:after="200" w:line="276" w:lineRule="auto"/>
      <w:contextualSpacing/>
      <w:jc w:val="both"/>
    </w:pPr>
    <w:rPr>
      <w:rFonts w:ascii="Calibri" w:hAnsi="Calibri" w:cs="Calibri"/>
      <w:sz w:val="22"/>
      <w:szCs w:val="22"/>
    </w:rPr>
  </w:style>
  <w:style w:type="character" w:styleId="char0" w:default="1">
    <w:name w:val="Default Paragraph Font"/>
  </w:style>
  <w:style w:type="character" w:styleId="char1" w:customStyle="1">
    <w:name w:val="Текст сноски Знак"/>
    <w:rPr>
      <w:rFonts w:ascii="Times New Roman" w:hAnsi="Times New Roman" w:cs="Times New Roman"/>
      <w:sz w:val="20"/>
      <w:szCs w:val="20"/>
      <w:lang w:val="ru-ru"/>
    </w:rPr>
  </w:style>
  <w:style w:type="character" w:styleId="char2">
    <w:name w:val="Footnote Reference"/>
    <w:rPr>
      <w:rFonts w:cs="Times New Roman"/>
      <w:vertAlign w:val="superscript"/>
    </w:rPr>
  </w:style>
  <w:style w:type="character" w:styleId="char3" w:customStyle="1">
    <w:name w:val="Верхни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styleId="char4" w:customStyle="1">
    <w:name w:val="Нижни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styleId="char5" w:customStyle="1">
    <w:name w:val="Текст выноски Знак"/>
    <w:rPr>
      <w:rFonts w:ascii="Tahoma" w:hAnsi="Tahoma" w:cs="Tahoma"/>
      <w:sz w:val="16"/>
      <w:szCs w:val="16"/>
      <w:lang w:val="ru-ru"/>
    </w:rPr>
  </w:style>
  <w:style w:type="character" w:styleId="char6">
    <w:name w:val="Hyperlink"/>
    <w:rPr>
      <w:color w:val="auto"/>
      <w:u w:color="auto" w:val="single"/>
    </w:rPr>
  </w:style>
  <w:style w:type="character" w:styleId="char7" w:customStyle="1">
    <w:name w:val="Doc-Т внутри нумерации Знак"/>
    <w:rPr>
      <w:rFonts w:ascii="Times New Roman" w:hAnsi="Times New Roman"/>
    </w:rPr>
  </w:style>
  <w:style w:type="character" w:styleId="char8" w:customStyle="1">
    <w:name w:val="Абзац списка Знак"/>
    <w:rPr>
      <w:sz w:val="22"/>
      <w:szCs w:val="22"/>
    </w:rPr>
  </w:style>
  <w:style w:type="character" w:styleId="char9" w:customStyle="1">
    <w:name w:val="Font Style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://gov.cap.ru/Person.aspx?gov_id=21&amp;id=8802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Альбина Данилова</dc:creator>
  <cp:keywords/>
  <dc:description/>
  <cp:lastModifiedBy/>
  <cp:revision>8</cp:revision>
  <cp:lastPrinted>2017-03-27T13:38:00Z</cp:lastPrinted>
  <dcterms:created xsi:type="dcterms:W3CDTF">2017-08-08T04:57:00Z</dcterms:created>
  <dcterms:modified xsi:type="dcterms:W3CDTF">2018-11-22T13:10:00Z</dcterms:modified>
</cp:coreProperties>
</file>