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49" w:rsidRDefault="00AD2D49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AD2D49" w:rsidRDefault="00AD2D49">
      <w:pPr>
        <w:pStyle w:val="ConsPlusTitle"/>
        <w:jc w:val="center"/>
      </w:pPr>
    </w:p>
    <w:p w:rsidR="00AD2D49" w:rsidRDefault="00AD2D49">
      <w:pPr>
        <w:pStyle w:val="ConsPlusTitle"/>
        <w:jc w:val="center"/>
      </w:pPr>
      <w:r>
        <w:t>ПОСТАНОВЛЕНИЕ</w:t>
      </w:r>
    </w:p>
    <w:p w:rsidR="00AD2D49" w:rsidRDefault="00AD2D49">
      <w:pPr>
        <w:pStyle w:val="ConsPlusTitle"/>
        <w:jc w:val="center"/>
      </w:pPr>
      <w:r>
        <w:t>от 9 октября 2019 г. N 401</w:t>
      </w:r>
    </w:p>
    <w:p w:rsidR="00AD2D49" w:rsidRDefault="00AD2D49">
      <w:pPr>
        <w:pStyle w:val="ConsPlusTitle"/>
        <w:jc w:val="center"/>
      </w:pPr>
    </w:p>
    <w:p w:rsidR="00AD2D49" w:rsidRDefault="00AD2D49">
      <w:pPr>
        <w:pStyle w:val="ConsPlusTitle"/>
        <w:jc w:val="center"/>
      </w:pPr>
      <w:r>
        <w:t>О РЕСПУБЛИКАНСКОМ КОНКУРСЕ СРЕДИ ОРГАНИЗАЦИЙ, ОСУЩЕСТВЛЯЮЩИХ</w:t>
      </w:r>
    </w:p>
    <w:p w:rsidR="00AD2D49" w:rsidRDefault="00AD2D49">
      <w:pPr>
        <w:pStyle w:val="ConsPlusTitle"/>
        <w:jc w:val="center"/>
      </w:pPr>
      <w:r>
        <w:t>СВОЮ ДЕЯТЕЛЬНОСТЬ НА ТЕРРИТОРИИ ЧУВАШСКОЙ РЕСПУБЛИКИ,</w:t>
      </w:r>
    </w:p>
    <w:p w:rsidR="00AD2D49" w:rsidRDefault="00AD2D49">
      <w:pPr>
        <w:pStyle w:val="ConsPlusTitle"/>
        <w:jc w:val="center"/>
      </w:pPr>
      <w:r>
        <w:t>НЕЗАВИСИМО ОТ ИХ ОРГАНИЗАЦИОННО-ПРАВОВОЙ ФОРМЫ</w:t>
      </w:r>
    </w:p>
    <w:p w:rsidR="00AD2D49" w:rsidRDefault="00AD2D49">
      <w:pPr>
        <w:pStyle w:val="ConsPlusTitle"/>
        <w:jc w:val="center"/>
      </w:pPr>
      <w:r>
        <w:t>И ФОРМЫ СОБСТВЕННОСТИ НА ОПРЕДЕЛЕНИЕ ЛУЧШЕЙ ПРАКТИКИ</w:t>
      </w:r>
    </w:p>
    <w:p w:rsidR="00AD2D49" w:rsidRDefault="00AD2D49">
      <w:pPr>
        <w:pStyle w:val="ConsPlusTitle"/>
        <w:jc w:val="center"/>
      </w:pPr>
      <w:r>
        <w:t>ВНЕДРЕНИЯ И РАЗВИТИЯ НАСТАВНИЧЕСТВА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Главы Чувашской Республики от 30 апреля 2019 г. N 54 "О развитии института наставничества в Чувашской Республике" Кабинет Министров Чувашской Республики постановляет: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республиканском конкурсе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приобретением ценных призов победителям и призерам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наставничества, осуществляется за счет и в пределах бюджетных ассигнований, предусматриваемых в республиканском бюджете Чувашской Республики на эти цели администрации Главы Чувашской Республики.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right"/>
      </w:pPr>
      <w:r>
        <w:t>Председатель Кабинета Министров</w:t>
      </w:r>
    </w:p>
    <w:p w:rsidR="00AD2D49" w:rsidRDefault="00AD2D49">
      <w:pPr>
        <w:pStyle w:val="ConsPlusNormal"/>
        <w:jc w:val="right"/>
      </w:pPr>
      <w:r>
        <w:t>Чувашской Республики</w:t>
      </w:r>
    </w:p>
    <w:p w:rsidR="00AD2D49" w:rsidRDefault="00AD2D49">
      <w:pPr>
        <w:pStyle w:val="ConsPlusNormal"/>
        <w:jc w:val="right"/>
      </w:pPr>
      <w:r>
        <w:t>И.МОТОРИН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right"/>
        <w:outlineLvl w:val="0"/>
      </w:pPr>
      <w:r>
        <w:t>Утверждено</w:t>
      </w:r>
    </w:p>
    <w:p w:rsidR="00AD2D49" w:rsidRDefault="00AD2D49">
      <w:pPr>
        <w:pStyle w:val="ConsPlusNormal"/>
        <w:jc w:val="right"/>
      </w:pPr>
      <w:r>
        <w:t>постановлением</w:t>
      </w:r>
    </w:p>
    <w:p w:rsidR="00AD2D49" w:rsidRDefault="00AD2D49">
      <w:pPr>
        <w:pStyle w:val="ConsPlusNormal"/>
        <w:jc w:val="right"/>
      </w:pPr>
      <w:r>
        <w:t>Кабинета Министров</w:t>
      </w:r>
    </w:p>
    <w:p w:rsidR="00AD2D49" w:rsidRDefault="00AD2D49">
      <w:pPr>
        <w:pStyle w:val="ConsPlusNormal"/>
        <w:jc w:val="right"/>
      </w:pPr>
      <w:r>
        <w:t>Чувашской Республики</w:t>
      </w:r>
    </w:p>
    <w:p w:rsidR="00AD2D49" w:rsidRDefault="00AD2D49">
      <w:pPr>
        <w:pStyle w:val="ConsPlusNormal"/>
        <w:jc w:val="right"/>
      </w:pPr>
      <w:r>
        <w:t>от 09.10.2019 N 401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Title"/>
        <w:jc w:val="center"/>
      </w:pPr>
      <w:bookmarkStart w:id="0" w:name="P31"/>
      <w:bookmarkEnd w:id="0"/>
      <w:r>
        <w:t>ПОЛОЖЕНИЕ</w:t>
      </w:r>
    </w:p>
    <w:p w:rsidR="00AD2D49" w:rsidRDefault="00AD2D49">
      <w:pPr>
        <w:pStyle w:val="ConsPlusTitle"/>
        <w:jc w:val="center"/>
      </w:pPr>
      <w:r>
        <w:t>О РЕСПУБЛИКАНСКОМ КОНКУРСЕ СРЕДИ ОРГАНИЗАЦИЙ, ОСУЩЕСТВЛЯЮЩИХ</w:t>
      </w:r>
    </w:p>
    <w:p w:rsidR="00AD2D49" w:rsidRDefault="00AD2D49">
      <w:pPr>
        <w:pStyle w:val="ConsPlusTitle"/>
        <w:jc w:val="center"/>
      </w:pPr>
      <w:r>
        <w:t>СВОЮ ДЕЯТЕЛЬНОСТЬ НА ТЕРРИТОРИИ ЧУВАШСКОЙ РЕСПУБЛИКИ,</w:t>
      </w:r>
    </w:p>
    <w:p w:rsidR="00AD2D49" w:rsidRDefault="00AD2D49">
      <w:pPr>
        <w:pStyle w:val="ConsPlusTitle"/>
        <w:jc w:val="center"/>
      </w:pPr>
      <w:r>
        <w:t>НЕЗАВИСИМО ОТ ИХ ОРГАНИЗАЦИОННО-ПРАВОВОЙ ФОРМЫ</w:t>
      </w:r>
    </w:p>
    <w:p w:rsidR="00AD2D49" w:rsidRDefault="00AD2D49">
      <w:pPr>
        <w:pStyle w:val="ConsPlusTitle"/>
        <w:jc w:val="center"/>
      </w:pPr>
      <w:r>
        <w:t>И ФОРМЫ СОБСТВЕННОСТИ НА ОПРЕДЕЛЕНИЕ ЛУЧШЕЙ ПРАКТИКИ</w:t>
      </w:r>
    </w:p>
    <w:p w:rsidR="00AD2D49" w:rsidRDefault="00AD2D49">
      <w:pPr>
        <w:pStyle w:val="ConsPlusTitle"/>
        <w:jc w:val="center"/>
      </w:pPr>
      <w:r>
        <w:t>ВНЕДРЕНИЯ И РАЗВИТИЯ НАСТАВНИЧЕСТВА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Title"/>
        <w:jc w:val="center"/>
        <w:outlineLvl w:val="1"/>
      </w:pPr>
      <w:r>
        <w:t>I. Общие положения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ind w:firstLine="540"/>
        <w:jc w:val="both"/>
      </w:pPr>
      <w:r>
        <w:t xml:space="preserve">1.1. Настоящее Положение определяет порядок организации и проведения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</w:t>
      </w:r>
      <w:r>
        <w:lastRenderedPageBreak/>
        <w:t>определение лучшей практики внедрения и развития наставничества (далее - конкурс).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1.2. Конкурс проводится ежегодно в целях развития института наставничества, повышения статуса наставника, признания его роли, места в обществе, поиска практик наставничества, рекомендуемых к широкому внедрению.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1.3. Организатором проведения конкурса является Администрация Главы Чувашской Республики, а организатором церемонии награждения победителя и призеров конкурса - Министерство экономического развития, промышленности и торговли Чувашской Республики.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1.4. Администрация Главы Чувашской Республики обеспечивает равные условия для всех участников конкурса, открытость проведения конкурса.</w:t>
      </w:r>
    </w:p>
    <w:p w:rsidR="00AD2D49" w:rsidRDefault="00AD2D49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1.5. К участию в конкурсе допускаются организации, осуществляющие свою деятельность на территории Чувашской Республики, независимо от их организационно-правовой формы и формы собственности, в том числе органы государственной власти Чувашской Республики, территориальные органы федеральных органов государственной власти, органы местного самоуправления, реализующие практики наставничества.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Title"/>
        <w:jc w:val="center"/>
        <w:outlineLvl w:val="1"/>
      </w:pPr>
      <w:r>
        <w:t>II. Порядок организации конкурса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ind w:firstLine="540"/>
        <w:jc w:val="both"/>
      </w:pPr>
      <w:r>
        <w:t>2.1. Не менее чем за три календарных дня до начала срока приема заявок распоряжением Администрации Главы Чувашской Республики: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оформляется решение об объявлении конкурса;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создается комиссия по проведению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 (далее - комиссия) и утверждается ее состав;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устанавливается срок приема заявок, который не может быть менее 30 календарных дней.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комиссии осуществляет Администрация Главы Чувашской Республики.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 xml:space="preserve">2.2. Комиссия в своей деятельности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2.3. Комиссия образуется в составе председателя, заместителя председателя, секретаря и членов комиссии, которые принимают участие в работе комиссии на общественных началах.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Председателем комиссии является Руководитель Администрации Главы Чувашской Республики, заместителем председателя комиссии - начальник Управления государственной гражданской службы, кадровой политики и государственных наград Администрации Главы Чувашской Республики, секретарем комиссии - работник Управления государственной гражданской службы, кадровой политики и государственных наград Администрации Главы Чувашской Республики.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Состав комиссии утверждается распоряжением Администрации Главы Чувашской Республики.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 xml:space="preserve">В состав комиссии входят представители Министерства экономического развития, </w:t>
      </w:r>
      <w:r>
        <w:lastRenderedPageBreak/>
        <w:t>промышленности и торговли Чувашской Республики, Министерства труда и социальной защиты Чувашской Республики, а также по согласованию представители иных государственных органов Чувашской Республики, территориальных органов федеральных органов государственной власти, органов местного самоуправления, научных и иных организаций, общественных объединений, бизнес-сообщества.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2.4. Комиссия осуществляет следующие функции: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принимает и рассматривает заявки;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дает всестороннюю и объективную оценку представленным заявкам;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определяет победителя и призеров конкурса;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осуществляет иные функции, установленные настоящим Положением.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2.5. Комиссия имеет право: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необходимые материалы от участников конкурса;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приглашать на свои заседания представителей участников конкурса,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2.6. Председатель комиссии осуществляет общее руководство работой комиссии, проводит заседания комиссии.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2.7. В период временного отсутствия председателя комиссии его обязанности исполняет заместитель председателя комиссии.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2.8. Секретарь комиссии: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принимает заявки;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информирует членов комиссии о ее заседаниях;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оформляет протокол заседания комиссии, в котором фиксирует ее решения и результаты голосования по ним;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осуществляет иные функции по обеспечению проведения конкурса.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2.9. Заседание комиссии считается правомочным, если на нем присутствует более половины ее членов.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Title"/>
        <w:jc w:val="center"/>
        <w:outlineLvl w:val="1"/>
      </w:pPr>
      <w:r>
        <w:t>III. Порядок проведения конкурса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ind w:firstLine="540"/>
        <w:jc w:val="both"/>
      </w:pPr>
      <w:r>
        <w:t>3.1. В течение двух календарных дней со дня принятия решения об объявлении конкурса Администрация Главы Чувашской Республики размещает на Портале органов власти Чувашской Республики в информационно-телекоммуникационной сети "Интернет" объявление о проведении конкурса, которое должно содержать следующие сведения: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место, время и срок приема заявок;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форма заявки;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перечень прилагаемых к заявке документов и требования к их содержанию;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lastRenderedPageBreak/>
        <w:t>дата, место и время проведения конкурса;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комиссии).</w:t>
      </w:r>
    </w:p>
    <w:p w:rsidR="00AD2D49" w:rsidRDefault="00AD2D49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3.2. Участниками конкурса, указанными в </w:t>
      </w:r>
      <w:hyperlink w:anchor="P44" w:history="1">
        <w:r>
          <w:rPr>
            <w:color w:val="0000FF"/>
          </w:rPr>
          <w:t>пункте 1.5</w:t>
        </w:r>
      </w:hyperlink>
      <w:r>
        <w:t xml:space="preserve"> настоящего Положения, в комиссию подается </w:t>
      </w:r>
      <w:hyperlink w:anchor="P131" w:history="1">
        <w:r>
          <w:rPr>
            <w:color w:val="0000FF"/>
          </w:rPr>
          <w:t>заявка</w:t>
        </w:r>
      </w:hyperlink>
      <w:r>
        <w:t xml:space="preserve"> по форме согласно приложению к настоящему Положению. К заявке в обязательном порядке прилагаются документы, содержащие следующую информацию: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а) описание практики наставничества, в том числе: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актуальность практики наставничества;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предмет наставничества;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задачи и функции наставников;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механизмы и инструменты наставничества;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результаты практики наставничества;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б) возможность тиражирования практики наставничества;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в) возможность масштабирования практики наставничества.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3.3. К заявке могут быть приложены иные сопроводительные документы (презентационные материалы, фото- и видеоматериалы и др.).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3.4. Заявки не рассматриваются в следующих случаях: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заявка оформлена не по установленной форме;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 xml:space="preserve">к заявке не приложены в полном объеме документы, указанные в </w:t>
      </w:r>
      <w:hyperlink w:anchor="P83" w:history="1">
        <w:r>
          <w:rPr>
            <w:color w:val="0000FF"/>
          </w:rPr>
          <w:t>пункте 3.2</w:t>
        </w:r>
      </w:hyperlink>
      <w:r>
        <w:t xml:space="preserve"> настоящего Положения;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заявка поступила по истечении срока, установленного для приема заявок.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Секретарь комиссии в течение 3 рабочих дней со дня принятия комиссией решения об отказе в рассмотрении заявки письменно информирует об этом заявителя с указанием причины отказа.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3.5. В случае если для участия в конкурсе в установленный срок поступила заявка только от одного участника, Администрация Главы Чувашской Республики вправе продлить срок приема заявок, но не более чем на 30 календарных дней.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3.6. Представленные на конкурс документы и материалы возврату не подлежат.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Title"/>
        <w:jc w:val="center"/>
        <w:outlineLvl w:val="1"/>
      </w:pPr>
      <w:r>
        <w:t>IV. Определение и награждение победителя</w:t>
      </w:r>
    </w:p>
    <w:p w:rsidR="00AD2D49" w:rsidRDefault="00AD2D49">
      <w:pPr>
        <w:pStyle w:val="ConsPlusTitle"/>
        <w:jc w:val="center"/>
      </w:pPr>
      <w:r>
        <w:t>и призеров конкурса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ind w:firstLine="540"/>
        <w:jc w:val="both"/>
      </w:pPr>
      <w:r>
        <w:t>4.1. Комиссия рассматривает заявки, поступившие на конкурс, и определяет победителя и призеров конкурса не позднее двух месяцев со дня окончания срока, установленного для приема заявок.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4.2. Для определения победителя и призеров конкурса комиссией при рассмотрении заявок используются следующие критерии: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 xml:space="preserve">возможность тиражирования практики наставничества - практика носит универсальный </w:t>
      </w:r>
      <w:r>
        <w:lastRenderedPageBreak/>
        <w:t>характер и может быть применена в других организациях;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возможность масштабирования практики наставничества - практика позволяет увеличить количество ее участников без изменения качества результата;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измеримость эффективности практики наставничества - наличие критериев эффективности практики и результатов измерения ее эффективности;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уникальность практики наставничества - наличие уникальных элементов практики, которые выделяют ее среди других практик наставничества.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4.3. Член комиссии не принимает участия в заседании комиссии в случае возникновения у него прямой или косвенной личной заинтересованности, которая приводит или может привести к конфликту интересов при проведении конкурса.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4.4. Победитель конкурса (участник, чья заявка заняла первое место) и призеры конкурса (участники, чьи заявки заняли второе и третье места) определяются открытым голосованием простым большинством голосов присутствующих на заседании членов комиссии.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AD2D49" w:rsidRDefault="00AD2D49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4.5. Принятое комиссией решение в течение пяти рабочих дней со дня проведения заседания комиссии оформляется протоколом, который подписывается председательствующим на заседании комиссии и секретарем комиссии.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>4.6. Победитель и призеры конкурса награждаются дипломами конкурса и ценными призами.</w:t>
      </w:r>
    </w:p>
    <w:p w:rsidR="00AD2D49" w:rsidRDefault="00AD2D49">
      <w:pPr>
        <w:pStyle w:val="ConsPlusNormal"/>
        <w:spacing w:before="220"/>
        <w:ind w:firstLine="540"/>
        <w:jc w:val="both"/>
      </w:pPr>
      <w:r>
        <w:t xml:space="preserve">4.7. Администрация Главы Чувашской Республики в течение трех рабочих дней со дня оформления протокола, указанного в </w:t>
      </w:r>
      <w:hyperlink w:anchor="P113" w:history="1">
        <w:r>
          <w:rPr>
            <w:color w:val="0000FF"/>
          </w:rPr>
          <w:t>пункте 4.5</w:t>
        </w:r>
      </w:hyperlink>
      <w:r>
        <w:t xml:space="preserve"> настоящего Положения, размещает на Портале органов власти Чувашской Республики в информационно-телекоммуникационной сети "Интернет" информацию об итогах конкурса.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right"/>
        <w:outlineLvl w:val="1"/>
      </w:pPr>
      <w:r>
        <w:t>Приложение</w:t>
      </w:r>
    </w:p>
    <w:p w:rsidR="00AD2D49" w:rsidRDefault="00AD2D49">
      <w:pPr>
        <w:pStyle w:val="ConsPlusNormal"/>
        <w:jc w:val="right"/>
      </w:pPr>
      <w:r>
        <w:t>к Положению о республиканском конкурсе</w:t>
      </w:r>
    </w:p>
    <w:p w:rsidR="00AD2D49" w:rsidRDefault="00AD2D49">
      <w:pPr>
        <w:pStyle w:val="ConsPlusNormal"/>
        <w:jc w:val="right"/>
      </w:pPr>
      <w:r>
        <w:t>среди организаций, осуществляющих</w:t>
      </w:r>
    </w:p>
    <w:p w:rsidR="00AD2D49" w:rsidRDefault="00AD2D49">
      <w:pPr>
        <w:pStyle w:val="ConsPlusNormal"/>
        <w:jc w:val="right"/>
      </w:pPr>
      <w:r>
        <w:t>свою деятельность на территории</w:t>
      </w:r>
    </w:p>
    <w:p w:rsidR="00AD2D49" w:rsidRDefault="00AD2D49">
      <w:pPr>
        <w:pStyle w:val="ConsPlusNormal"/>
        <w:jc w:val="right"/>
      </w:pPr>
      <w:r>
        <w:t>Чувашской Республики, независимо</w:t>
      </w:r>
    </w:p>
    <w:p w:rsidR="00AD2D49" w:rsidRDefault="00AD2D49">
      <w:pPr>
        <w:pStyle w:val="ConsPlusNormal"/>
        <w:jc w:val="right"/>
      </w:pPr>
      <w:r>
        <w:t>от их организационно-правовой формы</w:t>
      </w:r>
    </w:p>
    <w:p w:rsidR="00AD2D49" w:rsidRDefault="00AD2D49">
      <w:pPr>
        <w:pStyle w:val="ConsPlusNormal"/>
        <w:jc w:val="right"/>
      </w:pPr>
      <w:r>
        <w:t>и формы собственности на определение</w:t>
      </w:r>
    </w:p>
    <w:p w:rsidR="00AD2D49" w:rsidRDefault="00AD2D49">
      <w:pPr>
        <w:pStyle w:val="ConsPlusNormal"/>
        <w:jc w:val="right"/>
      </w:pPr>
      <w:r>
        <w:t>лучшей практики внедрения</w:t>
      </w:r>
    </w:p>
    <w:p w:rsidR="00AD2D49" w:rsidRDefault="00AD2D49">
      <w:pPr>
        <w:pStyle w:val="ConsPlusNormal"/>
        <w:jc w:val="right"/>
      </w:pPr>
      <w:r>
        <w:t>и развития наставничества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nformat"/>
        <w:jc w:val="both"/>
      </w:pPr>
      <w:bookmarkStart w:id="4" w:name="P131"/>
      <w:bookmarkEnd w:id="4"/>
      <w:r>
        <w:t xml:space="preserve">                                  </w:t>
      </w:r>
      <w:r>
        <w:rPr>
          <w:b/>
        </w:rPr>
        <w:t>ЗАЯВКА</w:t>
      </w:r>
    </w:p>
    <w:p w:rsidR="00AD2D49" w:rsidRDefault="00AD2D49">
      <w:pPr>
        <w:pStyle w:val="ConsPlusNonformat"/>
        <w:jc w:val="both"/>
      </w:pPr>
      <w:r>
        <w:t xml:space="preserve">         </w:t>
      </w:r>
      <w:r>
        <w:rPr>
          <w:b/>
        </w:rPr>
        <w:t>на участие в республиканском конкурсе среди организаций,</w:t>
      </w:r>
    </w:p>
    <w:p w:rsidR="00AD2D49" w:rsidRDefault="00AD2D49">
      <w:pPr>
        <w:pStyle w:val="ConsPlusNonformat"/>
        <w:jc w:val="both"/>
      </w:pPr>
      <w:r>
        <w:t xml:space="preserve">              </w:t>
      </w:r>
      <w:r>
        <w:rPr>
          <w:b/>
        </w:rPr>
        <w:t>осуществляющих свою деятельность на территории</w:t>
      </w:r>
    </w:p>
    <w:p w:rsidR="00AD2D49" w:rsidRDefault="00AD2D49">
      <w:pPr>
        <w:pStyle w:val="ConsPlusNonformat"/>
        <w:jc w:val="both"/>
      </w:pPr>
      <w:r>
        <w:t xml:space="preserve">      </w:t>
      </w:r>
      <w:r>
        <w:rPr>
          <w:b/>
        </w:rPr>
        <w:t>Чувашской Республики, независимо от их организационно-правовой</w:t>
      </w:r>
    </w:p>
    <w:p w:rsidR="00AD2D49" w:rsidRDefault="00AD2D49">
      <w:pPr>
        <w:pStyle w:val="ConsPlusNonformat"/>
        <w:jc w:val="both"/>
      </w:pPr>
      <w:r>
        <w:t xml:space="preserve">        </w:t>
      </w:r>
      <w:r>
        <w:rPr>
          <w:b/>
        </w:rPr>
        <w:t>формы и формы собственности на определение лучшей практики</w:t>
      </w:r>
    </w:p>
    <w:p w:rsidR="00AD2D49" w:rsidRDefault="00AD2D49">
      <w:pPr>
        <w:pStyle w:val="ConsPlusNonformat"/>
        <w:jc w:val="both"/>
      </w:pPr>
      <w:r>
        <w:t xml:space="preserve">                    </w:t>
      </w:r>
      <w:r>
        <w:rPr>
          <w:b/>
        </w:rPr>
        <w:t>внедрения и развития наставничества</w:t>
      </w:r>
    </w:p>
    <w:p w:rsidR="00AD2D49" w:rsidRDefault="00AD2D49">
      <w:pPr>
        <w:pStyle w:val="ConsPlusNonformat"/>
        <w:jc w:val="both"/>
      </w:pP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 xml:space="preserve">          (полное наименование организации - участника конкурса)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>Номер телефона организации ________________________________________________</w:t>
      </w:r>
    </w:p>
    <w:p w:rsidR="00AD2D49" w:rsidRDefault="00AD2D49">
      <w:pPr>
        <w:pStyle w:val="ConsPlusNonformat"/>
        <w:jc w:val="both"/>
      </w:pPr>
      <w:r>
        <w:t>Почтовый адрес организации ________________________________________________</w:t>
      </w:r>
    </w:p>
    <w:p w:rsidR="00AD2D49" w:rsidRDefault="00AD2D49">
      <w:pPr>
        <w:pStyle w:val="ConsPlusNonformat"/>
        <w:jc w:val="both"/>
      </w:pPr>
      <w:r>
        <w:t>Адрес электронной почты организации _______________________________________</w:t>
      </w:r>
    </w:p>
    <w:p w:rsidR="00AD2D49" w:rsidRDefault="00AD2D49">
      <w:pPr>
        <w:pStyle w:val="ConsPlusNonformat"/>
        <w:jc w:val="both"/>
      </w:pPr>
      <w:r>
        <w:t>Контактное лицо ___________________________________________________________</w:t>
      </w:r>
    </w:p>
    <w:p w:rsidR="00AD2D49" w:rsidRDefault="00AD2D49">
      <w:pPr>
        <w:pStyle w:val="ConsPlusNonformat"/>
        <w:jc w:val="both"/>
      </w:pPr>
      <w:r>
        <w:t xml:space="preserve">                     (фамилия, имя, отчество (последнее - при наличии)</w:t>
      </w:r>
    </w:p>
    <w:p w:rsidR="00AD2D49" w:rsidRDefault="00AD2D49">
      <w:pPr>
        <w:pStyle w:val="ConsPlusNonformat"/>
        <w:jc w:val="both"/>
      </w:pPr>
      <w:r>
        <w:t>Телефон и адрес электронной почты контактного лица ________________________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>К настоящей заявке прилагаются: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  <w:r>
        <w:t>___________________________________________________________________________</w:t>
      </w:r>
    </w:p>
    <w:p w:rsidR="00AD2D49" w:rsidRDefault="00AD2D49">
      <w:pPr>
        <w:pStyle w:val="ConsPlusNonformat"/>
        <w:jc w:val="both"/>
      </w:pPr>
    </w:p>
    <w:p w:rsidR="00AD2D49" w:rsidRDefault="00AD2D49">
      <w:pPr>
        <w:pStyle w:val="ConsPlusNonformat"/>
        <w:jc w:val="both"/>
      </w:pPr>
      <w:r>
        <w:t>Руководитель организации       _______________       ______________________</w:t>
      </w:r>
    </w:p>
    <w:p w:rsidR="00AD2D49" w:rsidRDefault="00AD2D49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AD2D49" w:rsidRDefault="00AD2D49">
      <w:pPr>
        <w:pStyle w:val="ConsPlusNonformat"/>
        <w:jc w:val="both"/>
      </w:pPr>
    </w:p>
    <w:p w:rsidR="00AD2D49" w:rsidRDefault="00AD2D49">
      <w:pPr>
        <w:pStyle w:val="ConsPlusNonformat"/>
        <w:jc w:val="both"/>
      </w:pPr>
      <w:r>
        <w:t>____ _______________ 20__ г.</w:t>
      </w:r>
    </w:p>
    <w:p w:rsidR="00AD2D49" w:rsidRDefault="00AD2D49">
      <w:pPr>
        <w:pStyle w:val="ConsPlusNonformat"/>
        <w:jc w:val="both"/>
      </w:pPr>
      <w:r>
        <w:t>М.П.</w:t>
      </w: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jc w:val="both"/>
      </w:pPr>
    </w:p>
    <w:p w:rsidR="00AD2D49" w:rsidRDefault="00AD2D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53F" w:rsidRDefault="00B8653F">
      <w:bookmarkStart w:id="5" w:name="_GoBack"/>
      <w:bookmarkEnd w:id="5"/>
    </w:p>
    <w:sectPr w:rsidR="00B8653F" w:rsidSect="0083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9"/>
    <w:rsid w:val="00AD2D49"/>
    <w:rsid w:val="00B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D628"/>
  <w15:chartTrackingRefBased/>
  <w15:docId w15:val="{6DECD8F9-AAC7-47E6-ADB8-E0221966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D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2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D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579FFFE8AC07FB5AC34B6D88073A070182ED068BC95E9FB3792F5986CDF197D7E68BAE7BF43D55D67F79FCB78965581UD52Q" TargetMode="External"/><Relationship Id="rId5" Type="http://schemas.openxmlformats.org/officeDocument/2006/relationships/hyperlink" Target="consultantplus://offline/ref=BDC579FFFE8AC07FB5AC2ABBCEEC2DA47A1B77D862EACBBBF5359AA7CF6C835C2B7761EFA8FA16C65D66E8U957Q" TargetMode="External"/><Relationship Id="rId4" Type="http://schemas.openxmlformats.org/officeDocument/2006/relationships/hyperlink" Target="consultantplus://offline/ref=BDC579FFFE8AC07FB5AC34B6D88073A070182ED068BD94E8FE3692F5986CDF197D7E68BAF5BF1BD95F66E99FCB6DC004C48E353BEDE8B2F5EDA6F5D5U45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Прокопьева Лариса Владимировна</dc:creator>
  <cp:keywords/>
  <dc:description/>
  <cp:lastModifiedBy>АГЧР Прокопьева Лариса Владимировна</cp:lastModifiedBy>
  <cp:revision>1</cp:revision>
  <dcterms:created xsi:type="dcterms:W3CDTF">2019-10-21T16:57:00Z</dcterms:created>
  <dcterms:modified xsi:type="dcterms:W3CDTF">2019-10-21T16:58:00Z</dcterms:modified>
</cp:coreProperties>
</file>