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A9" w:rsidRPr="00565D56" w:rsidRDefault="00B03FA9" w:rsidP="00565D56">
      <w:pPr>
        <w:tabs>
          <w:tab w:val="left" w:pos="5812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5D56">
        <w:rPr>
          <w:rFonts w:eastAsiaTheme="minorHAnsi"/>
          <w:b/>
          <w:sz w:val="28"/>
          <w:szCs w:val="28"/>
          <w:lang w:eastAsia="en-US"/>
        </w:rPr>
        <w:t xml:space="preserve">ОБЩЕСТВО С ОГРАНИЧЕННОЙ ОТВЕТСТВЕННОСТЬЮ </w:t>
      </w:r>
    </w:p>
    <w:p w:rsidR="00B03FA9" w:rsidRPr="00D54E28" w:rsidRDefault="00B03FA9" w:rsidP="00B03FA9">
      <w:pPr>
        <w:tabs>
          <w:tab w:val="left" w:pos="5812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54E28">
        <w:rPr>
          <w:rFonts w:eastAsiaTheme="minorHAnsi"/>
          <w:b/>
          <w:sz w:val="28"/>
          <w:szCs w:val="28"/>
          <w:lang w:eastAsia="en-US"/>
        </w:rPr>
        <w:t xml:space="preserve">«ЭТТОН </w:t>
      </w:r>
      <w:r w:rsidR="00A55B59">
        <w:rPr>
          <w:rFonts w:eastAsiaTheme="minorHAnsi"/>
          <w:b/>
          <w:sz w:val="28"/>
          <w:szCs w:val="28"/>
          <w:lang w:eastAsia="en-US"/>
        </w:rPr>
        <w:t>ГРУП</w:t>
      </w:r>
      <w:r w:rsidRPr="00D54E28">
        <w:rPr>
          <w:rFonts w:eastAsiaTheme="minorHAnsi"/>
          <w:b/>
          <w:sz w:val="28"/>
          <w:szCs w:val="28"/>
          <w:lang w:eastAsia="en-US"/>
        </w:rPr>
        <w:t>»</w:t>
      </w:r>
    </w:p>
    <w:p w:rsidR="00B03FA9" w:rsidRPr="00D54E28" w:rsidRDefault="00B03FA9" w:rsidP="00B03FA9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03FA9" w:rsidRPr="00D54E28" w:rsidRDefault="00B03FA9" w:rsidP="00B03FA9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D54E28">
        <w:rPr>
          <w:rFonts w:eastAsiaTheme="minorHAnsi"/>
          <w:b/>
          <w:bCs/>
          <w:sz w:val="22"/>
          <w:szCs w:val="22"/>
          <w:lang w:eastAsia="en-US"/>
        </w:rPr>
        <w:t>УТВЕРЖДАЮ</w:t>
      </w:r>
    </w:p>
    <w:p w:rsidR="00B03FA9" w:rsidRPr="00D54E28" w:rsidRDefault="00B03FA9" w:rsidP="00B03FA9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  <w:r w:rsidRPr="00D54E28">
        <w:rPr>
          <w:rFonts w:eastAsiaTheme="minorHAnsi"/>
          <w:b/>
          <w:sz w:val="22"/>
          <w:szCs w:val="22"/>
          <w:lang w:eastAsia="en-US"/>
        </w:rPr>
        <w:t>Генеральный директор</w:t>
      </w:r>
    </w:p>
    <w:p w:rsidR="00B03FA9" w:rsidRPr="00D54E28" w:rsidRDefault="00B03FA9" w:rsidP="00B03FA9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  <w:r w:rsidRPr="00D54E28">
        <w:rPr>
          <w:rFonts w:eastAsiaTheme="minorHAnsi"/>
          <w:b/>
          <w:sz w:val="22"/>
          <w:szCs w:val="22"/>
          <w:lang w:eastAsia="en-US"/>
        </w:rPr>
        <w:t>ООО</w:t>
      </w:r>
      <w:r w:rsidRPr="00D54E28">
        <w:rPr>
          <w:rFonts w:eastAsiaTheme="minorHAnsi"/>
          <w:sz w:val="28"/>
          <w:szCs w:val="28"/>
          <w:lang w:eastAsia="en-US"/>
        </w:rPr>
        <w:t xml:space="preserve"> </w:t>
      </w:r>
      <w:r w:rsidRPr="00D54E28">
        <w:rPr>
          <w:rFonts w:eastAsiaTheme="minorHAnsi"/>
          <w:b/>
          <w:sz w:val="22"/>
          <w:szCs w:val="22"/>
          <w:lang w:eastAsia="en-US"/>
        </w:rPr>
        <w:t>«Эттон</w:t>
      </w:r>
      <w:r w:rsidR="00A55B59">
        <w:rPr>
          <w:rFonts w:eastAsiaTheme="minorHAnsi"/>
          <w:b/>
          <w:sz w:val="22"/>
          <w:szCs w:val="22"/>
          <w:lang w:eastAsia="en-US"/>
        </w:rPr>
        <w:t xml:space="preserve"> Груп»</w:t>
      </w:r>
    </w:p>
    <w:p w:rsidR="00B03FA9" w:rsidRPr="00D54E28" w:rsidRDefault="00B03FA9" w:rsidP="00B03FA9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03FA9" w:rsidRPr="00D54E28" w:rsidRDefault="00B03FA9" w:rsidP="00B03FA9">
      <w:pPr>
        <w:spacing w:after="160" w:line="360" w:lineRule="auto"/>
        <w:jc w:val="right"/>
        <w:rPr>
          <w:rFonts w:eastAsiaTheme="minorHAnsi"/>
          <w:b/>
          <w:sz w:val="22"/>
          <w:szCs w:val="22"/>
          <w:lang w:eastAsia="en-US"/>
        </w:rPr>
      </w:pPr>
      <w:r w:rsidRPr="00D54E28">
        <w:rPr>
          <w:rFonts w:eastAsiaTheme="minorHAnsi"/>
          <w:b/>
          <w:bCs/>
          <w:sz w:val="22"/>
          <w:szCs w:val="22"/>
          <w:lang w:eastAsia="en-US"/>
        </w:rPr>
        <w:t>___________________</w:t>
      </w:r>
      <w:r w:rsidRPr="00D54E28">
        <w:rPr>
          <w:rFonts w:eastAsiaTheme="minorHAnsi"/>
          <w:sz w:val="22"/>
          <w:szCs w:val="22"/>
          <w:lang w:eastAsia="en-US"/>
        </w:rPr>
        <w:t xml:space="preserve"> </w:t>
      </w:r>
      <w:r w:rsidRPr="00D54E28">
        <w:rPr>
          <w:rFonts w:eastAsiaTheme="minorHAnsi"/>
          <w:b/>
          <w:sz w:val="22"/>
          <w:szCs w:val="22"/>
          <w:lang w:eastAsia="en-US"/>
        </w:rPr>
        <w:t>Е.С. Климов</w:t>
      </w:r>
    </w:p>
    <w:p w:rsidR="00B03FA9" w:rsidRPr="00D54E28" w:rsidRDefault="00B03FA9" w:rsidP="00B03FA9">
      <w:pPr>
        <w:spacing w:after="160" w:line="360" w:lineRule="auto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D54E28">
        <w:rPr>
          <w:rFonts w:eastAsiaTheme="minorHAnsi"/>
          <w:b/>
          <w:bCs/>
          <w:sz w:val="22"/>
          <w:szCs w:val="22"/>
          <w:lang w:eastAsia="en-US"/>
        </w:rPr>
        <w:t>«___»____________________ 2019г.</w:t>
      </w:r>
    </w:p>
    <w:p w:rsidR="00B03FA9" w:rsidRPr="00D54E28" w:rsidRDefault="00B03FA9" w:rsidP="00B03FA9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03FA9" w:rsidRPr="00D54E28" w:rsidRDefault="00B03FA9" w:rsidP="00B03FA9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D54E28">
        <w:rPr>
          <w:rFonts w:eastAsiaTheme="minorHAnsi"/>
          <w:bCs/>
          <w:sz w:val="28"/>
          <w:szCs w:val="28"/>
          <w:lang w:eastAsia="en-US"/>
        </w:rPr>
        <w:t>ТЕРРИТОРИАЛЬНАЯ СХЕМА</w:t>
      </w: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D54E28">
        <w:rPr>
          <w:rFonts w:eastAsiaTheme="minorHAnsi"/>
          <w:bCs/>
          <w:sz w:val="28"/>
          <w:szCs w:val="28"/>
          <w:lang w:eastAsia="en-US"/>
        </w:rPr>
        <w:t>ОБРАЩЕНИЯ С ТВЕРДЫМИ КОММУНАЛЬНЫМИ ОТХОДАМИ</w:t>
      </w: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8"/>
          <w:szCs w:val="28"/>
          <w:u w:val="single"/>
          <w:lang w:eastAsia="en-US"/>
        </w:rPr>
      </w:pP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8"/>
          <w:szCs w:val="28"/>
          <w:u w:val="single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4E28">
        <w:rPr>
          <w:rFonts w:eastAsiaTheme="minorHAnsi"/>
          <w:b/>
          <w:bCs/>
          <w:sz w:val="28"/>
          <w:szCs w:val="28"/>
          <w:lang w:eastAsia="en-US"/>
        </w:rPr>
        <w:t xml:space="preserve">РАЗДЕЛ </w:t>
      </w:r>
      <w:r w:rsidRPr="00C461D6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03FA9" w:rsidRPr="00D54E28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4E28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C461D6">
        <w:rPr>
          <w:rFonts w:eastAsiaTheme="minorHAnsi"/>
          <w:b/>
          <w:bCs/>
          <w:sz w:val="28"/>
          <w:szCs w:val="28"/>
          <w:lang w:eastAsia="en-US"/>
        </w:rPr>
        <w:t>Количество образующихся отходов</w:t>
      </w:r>
      <w:r w:rsidRPr="00D54E28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highlight w:val="red"/>
          <w:lang w:eastAsia="en-US"/>
        </w:rPr>
      </w:pPr>
    </w:p>
    <w:p w:rsidR="00B03FA9" w:rsidRPr="00D54E28" w:rsidRDefault="00316A2C" w:rsidP="00B03FA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sz w:val="28"/>
          <w:szCs w:val="28"/>
        </w:rPr>
        <w:t>Чувашская Республика</w:t>
      </w:r>
      <w:r w:rsidR="00C1061A">
        <w:rPr>
          <w:bCs/>
          <w:sz w:val="28"/>
          <w:szCs w:val="28"/>
        </w:rPr>
        <w:t>, 2019</w:t>
      </w:r>
      <w:r w:rsidR="00B03FA9" w:rsidRPr="00D54E28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D54E28" w:rsidRPr="00D54E28" w:rsidRDefault="00D54E28" w:rsidP="00387BD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13826637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9755F9" w:rsidRPr="00AB2C48" w:rsidRDefault="00AB2C48" w:rsidP="009755F9">
          <w:pPr>
            <w:pStyle w:val="affa"/>
            <w:jc w:val="center"/>
            <w:rPr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316A2C" w:rsidRPr="0088613E" w:rsidRDefault="00193734">
          <w:pPr>
            <w:pStyle w:val="28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r w:rsidRPr="00AB2C4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755F9" w:rsidRPr="00AB2C4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2C4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1342768" w:history="1">
            <w:r w:rsidR="00316A2C" w:rsidRPr="0088613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4.1. Сведения о количестве образования отходов на территории Республики Чувашия, систематизированные по видам отходов согласно федеральному классификационному каталогу отходов и их классам опасности (от I до V класса опасности)</w: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_Toc21342768 \h </w:instrTex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6A2C" w:rsidRPr="0088613E" w:rsidRDefault="004174E1">
          <w:pPr>
            <w:pStyle w:val="28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21342769" w:history="1">
            <w:r w:rsidR="00316A2C" w:rsidRPr="0088613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4.2. Характеристика твердых коммунальных отходов, в том числе их морфологический состав</w: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_Toc21342769 \h </w:instrTex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6A2C" w:rsidRPr="0088613E" w:rsidRDefault="004174E1">
          <w:pPr>
            <w:pStyle w:val="28"/>
            <w:rPr>
              <w:rFonts w:ascii="Times New Roman" w:eastAsiaTheme="minorEastAsia" w:hAnsi="Times New Roman" w:cs="Times New Roman"/>
              <w:smallCaps w:val="0"/>
              <w:noProof/>
              <w:sz w:val="28"/>
              <w:szCs w:val="28"/>
              <w:lang w:eastAsia="ru-RU"/>
            </w:rPr>
          </w:pPr>
          <w:hyperlink w:anchor="_Toc21342770" w:history="1">
            <w:r w:rsidR="00316A2C" w:rsidRPr="0088613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4.3. Нормативы накопления ТКО и расчет массы образуемых твердых коммунальных отходов</w: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_Toc21342770 \h </w:instrTex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16A2C" w:rsidRPr="008861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5F9" w:rsidRPr="00EE1690" w:rsidRDefault="00193734">
          <w:pPr>
            <w:rPr>
              <w:sz w:val="28"/>
              <w:szCs w:val="28"/>
            </w:rPr>
          </w:pPr>
          <w:r w:rsidRPr="00AB2C4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91865" w:rsidRPr="00EE1690" w:rsidRDefault="00191865" w:rsidP="00191865">
      <w:pPr>
        <w:spacing w:after="200" w:line="276" w:lineRule="auto"/>
        <w:rPr>
          <w:rFonts w:eastAsia="Arial Unicode MS"/>
          <w:b/>
          <w:caps/>
          <w:sz w:val="28"/>
          <w:szCs w:val="28"/>
        </w:rPr>
      </w:pPr>
      <w:r w:rsidRPr="00EE1690">
        <w:rPr>
          <w:caps/>
          <w:sz w:val="28"/>
          <w:szCs w:val="28"/>
        </w:rPr>
        <w:br w:type="page"/>
      </w:r>
    </w:p>
    <w:p w:rsidR="00A55B59" w:rsidRPr="00EE1690" w:rsidRDefault="00A55B59" w:rsidP="00A55B59">
      <w:pPr>
        <w:pStyle w:val="110"/>
        <w:ind w:firstLine="709"/>
      </w:pPr>
      <w:bookmarkStart w:id="0" w:name="_Toc8658825"/>
      <w:bookmarkStart w:id="1" w:name="_Toc21342768"/>
      <w:r w:rsidRPr="00EE1690">
        <w:lastRenderedPageBreak/>
        <w:t xml:space="preserve">4.1. Сведения о количестве образования отходов на территории Республики </w:t>
      </w:r>
      <w:r>
        <w:t>Чувашия</w:t>
      </w:r>
      <w:r w:rsidRPr="00EE1690">
        <w:t>, систематизированные по видам отходов согласно федеральному классификационному каталогу отходов и их классам опасности (от I до V класса опасности)</w:t>
      </w:r>
      <w:bookmarkEnd w:id="0"/>
      <w:bookmarkEnd w:id="1"/>
    </w:p>
    <w:p w:rsidR="00A55B59" w:rsidRPr="001B7298" w:rsidRDefault="00A55B59" w:rsidP="00A55B59"/>
    <w:p w:rsidR="00A55B59" w:rsidRPr="00421DFB" w:rsidRDefault="00A55B59" w:rsidP="00A55B59">
      <w:pPr>
        <w:pStyle w:val="a9"/>
      </w:pPr>
      <w:r w:rsidRPr="00421DFB">
        <w:t xml:space="preserve">На территории </w:t>
      </w:r>
      <w:r w:rsidR="003D7610">
        <w:t xml:space="preserve">Чувашской </w:t>
      </w:r>
      <w:r w:rsidRPr="00421DFB">
        <w:t xml:space="preserve">Республики образуются отходы I, II, III, IV и V классов опасности по степени воздействия на окружающую среду. </w:t>
      </w:r>
    </w:p>
    <w:p w:rsidR="00A55B59" w:rsidRDefault="00A55B59" w:rsidP="00A55B59">
      <w:pPr>
        <w:pStyle w:val="a9"/>
      </w:pPr>
      <w:r w:rsidRPr="00421DFB">
        <w:t>За 201</w:t>
      </w:r>
      <w:r>
        <w:t>8</w:t>
      </w:r>
      <w:r w:rsidRPr="00421DFB">
        <w:t xml:space="preserve"> год по форме федерального государственного статистического наблюдения 2-ТП (отходы) отчитались </w:t>
      </w:r>
      <w:r>
        <w:t>1342</w:t>
      </w:r>
      <w:r w:rsidRPr="00421DFB">
        <w:t xml:space="preserve"> юридических лиц. По данным статистической отчетности, на предприятиях республики в 201</w:t>
      </w:r>
      <w:r>
        <w:t>8</w:t>
      </w:r>
      <w:r w:rsidRPr="00421DFB">
        <w:t xml:space="preserve"> г. образовалось </w:t>
      </w:r>
      <w:r>
        <w:t>2963</w:t>
      </w:r>
      <w:r w:rsidRPr="00421DFB">
        <w:t>,</w:t>
      </w:r>
      <w:r>
        <w:t>244</w:t>
      </w:r>
      <w:r w:rsidRPr="00421DFB">
        <w:t xml:space="preserve"> млн т опасных отходов, что на </w:t>
      </w:r>
      <w:r>
        <w:t>236</w:t>
      </w:r>
      <w:r w:rsidRPr="00421DFB">
        <w:t>,</w:t>
      </w:r>
      <w:r>
        <w:t>906</w:t>
      </w:r>
      <w:r w:rsidRPr="00421DFB">
        <w:t>0 млн</w:t>
      </w:r>
      <w:r>
        <w:t>.</w:t>
      </w:r>
      <w:r w:rsidRPr="00421DFB">
        <w:t xml:space="preserve"> т</w:t>
      </w:r>
      <w:r>
        <w:t>.</w:t>
      </w:r>
      <w:r w:rsidRPr="00421DFB">
        <w:t xml:space="preserve"> (</w:t>
      </w:r>
      <w:r>
        <w:t>7</w:t>
      </w:r>
      <w:r w:rsidRPr="00421DFB">
        <w:t>,</w:t>
      </w:r>
      <w:r>
        <w:t>4</w:t>
      </w:r>
      <w:r w:rsidRPr="00421DFB">
        <w:t xml:space="preserve">%) </w:t>
      </w:r>
      <w:r>
        <w:t>меньше</w:t>
      </w:r>
      <w:r w:rsidRPr="00421DFB">
        <w:t>, чем в 201</w:t>
      </w:r>
      <w:r>
        <w:t>7</w:t>
      </w:r>
      <w:r w:rsidRPr="00421DFB">
        <w:t xml:space="preserve"> году (таблица 4.1).</w:t>
      </w:r>
    </w:p>
    <w:p w:rsidR="00A55B59" w:rsidRPr="007B60A5" w:rsidRDefault="00A55B59" w:rsidP="00A55B59">
      <w:pPr>
        <w:pStyle w:val="ab"/>
        <w:rPr>
          <w:sz w:val="28"/>
          <w:szCs w:val="28"/>
        </w:rPr>
      </w:pPr>
      <w:r w:rsidRPr="007B60A5">
        <w:rPr>
          <w:sz w:val="28"/>
          <w:szCs w:val="28"/>
        </w:rPr>
        <w:t>Таблица 4.1 Показатели образования отходов производства и потребления по классам опасности (201</w:t>
      </w:r>
      <w:r>
        <w:rPr>
          <w:sz w:val="28"/>
          <w:szCs w:val="28"/>
        </w:rPr>
        <w:t>4</w:t>
      </w:r>
      <w:r w:rsidRPr="007B60A5">
        <w:rPr>
          <w:sz w:val="28"/>
          <w:szCs w:val="28"/>
        </w:rPr>
        <w:t>–201</w:t>
      </w:r>
      <w:r>
        <w:rPr>
          <w:sz w:val="28"/>
          <w:szCs w:val="28"/>
        </w:rPr>
        <w:t>8</w:t>
      </w:r>
      <w:r w:rsidRPr="007B60A5">
        <w:rPr>
          <w:sz w:val="28"/>
          <w:szCs w:val="28"/>
        </w:rPr>
        <w:t xml:space="preserve"> годы, тыс. т)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843"/>
        <w:gridCol w:w="1842"/>
        <w:gridCol w:w="1701"/>
      </w:tblGrid>
      <w:tr w:rsidR="00A55B59" w:rsidTr="003D7610">
        <w:tc>
          <w:tcPr>
            <w:tcW w:w="1560" w:type="dxa"/>
            <w:vMerge w:val="restart"/>
          </w:tcPr>
          <w:p w:rsidR="00A55B59" w:rsidRPr="00964D20" w:rsidRDefault="00A55B59" w:rsidP="003D7610">
            <w:pPr>
              <w:pStyle w:val="Pa1"/>
              <w:jc w:val="center"/>
              <w:rPr>
                <w:rStyle w:val="A14"/>
                <w:rFonts w:ascii="Times New Roman" w:hAnsi="Times New Roman" w:cs="Times New Roman"/>
                <w:bCs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Классы опасности отходов</w:t>
            </w:r>
          </w:p>
        </w:tc>
        <w:tc>
          <w:tcPr>
            <w:tcW w:w="8646" w:type="dxa"/>
            <w:gridSpan w:val="5"/>
          </w:tcPr>
          <w:p w:rsidR="00A55B59" w:rsidRPr="00964D20" w:rsidRDefault="00A55B59" w:rsidP="003D7610">
            <w:pPr>
              <w:pStyle w:val="Pa9"/>
              <w:jc w:val="center"/>
              <w:rPr>
                <w:rStyle w:val="A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D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Объемы образования отходов</w:t>
            </w:r>
          </w:p>
        </w:tc>
      </w:tr>
      <w:tr w:rsidR="00A55B59" w:rsidTr="003D7610">
        <w:tc>
          <w:tcPr>
            <w:tcW w:w="1560" w:type="dxa"/>
            <w:vMerge/>
          </w:tcPr>
          <w:p w:rsidR="00A55B59" w:rsidRPr="00964D20" w:rsidRDefault="00A55B59" w:rsidP="003D7610">
            <w:pPr>
              <w:pStyle w:val="Pa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559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843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842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A55B59" w:rsidTr="003D7610">
        <w:tc>
          <w:tcPr>
            <w:tcW w:w="1560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I класс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667,829</w:t>
            </w:r>
          </w:p>
        </w:tc>
        <w:tc>
          <w:tcPr>
            <w:tcW w:w="1559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466,134</w:t>
            </w:r>
          </w:p>
        </w:tc>
        <w:tc>
          <w:tcPr>
            <w:tcW w:w="1843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549,945</w:t>
            </w:r>
          </w:p>
        </w:tc>
        <w:tc>
          <w:tcPr>
            <w:tcW w:w="1842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531,108</w:t>
            </w:r>
          </w:p>
        </w:tc>
        <w:tc>
          <w:tcPr>
            <w:tcW w:w="1701" w:type="dxa"/>
            <w:vAlign w:val="center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757,000</w:t>
            </w:r>
          </w:p>
        </w:tc>
      </w:tr>
      <w:tr w:rsidR="00A55B59" w:rsidTr="003D7610">
        <w:tc>
          <w:tcPr>
            <w:tcW w:w="1560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II класс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2531,233</w:t>
            </w:r>
          </w:p>
        </w:tc>
        <w:tc>
          <w:tcPr>
            <w:tcW w:w="1559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1789,441</w:t>
            </w:r>
          </w:p>
        </w:tc>
        <w:tc>
          <w:tcPr>
            <w:tcW w:w="1843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4930,449</w:t>
            </w:r>
          </w:p>
        </w:tc>
        <w:tc>
          <w:tcPr>
            <w:tcW w:w="1842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741,569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1139,603</w:t>
            </w:r>
          </w:p>
        </w:tc>
      </w:tr>
      <w:tr w:rsidR="00A55B59" w:rsidTr="003D7610">
        <w:tc>
          <w:tcPr>
            <w:tcW w:w="1560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III класс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73740,377</w:t>
            </w:r>
          </w:p>
        </w:tc>
        <w:tc>
          <w:tcPr>
            <w:tcW w:w="1559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73321,037</w:t>
            </w:r>
          </w:p>
        </w:tc>
        <w:tc>
          <w:tcPr>
            <w:tcW w:w="1843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41002,336</w:t>
            </w:r>
          </w:p>
        </w:tc>
        <w:tc>
          <w:tcPr>
            <w:tcW w:w="1842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181 634,905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21262,500</w:t>
            </w:r>
          </w:p>
        </w:tc>
      </w:tr>
      <w:tr w:rsidR="00A55B59" w:rsidTr="003D7610">
        <w:tc>
          <w:tcPr>
            <w:tcW w:w="1560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IV класс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496650,859</w:t>
            </w:r>
          </w:p>
        </w:tc>
        <w:tc>
          <w:tcPr>
            <w:tcW w:w="1559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486522,287</w:t>
            </w:r>
          </w:p>
        </w:tc>
        <w:tc>
          <w:tcPr>
            <w:tcW w:w="1843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2409258,454</w:t>
            </w:r>
          </w:p>
        </w:tc>
        <w:tc>
          <w:tcPr>
            <w:tcW w:w="1842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2 549 699,976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2435224,983</w:t>
            </w:r>
          </w:p>
        </w:tc>
      </w:tr>
      <w:tr w:rsidR="00A55B59" w:rsidTr="003D7610">
        <w:tc>
          <w:tcPr>
            <w:tcW w:w="1560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V класс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507233,404</w:t>
            </w:r>
          </w:p>
        </w:tc>
        <w:tc>
          <w:tcPr>
            <w:tcW w:w="1559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845752,690</w:t>
            </w:r>
          </w:p>
        </w:tc>
        <w:tc>
          <w:tcPr>
            <w:tcW w:w="1843" w:type="dxa"/>
            <w:vAlign w:val="bottom"/>
          </w:tcPr>
          <w:p w:rsidR="00A55B59" w:rsidRPr="00964D20" w:rsidRDefault="00A55B59" w:rsidP="003D7610">
            <w:pPr>
              <w:jc w:val="center"/>
              <w:rPr>
                <w:sz w:val="20"/>
                <w:szCs w:val="20"/>
              </w:rPr>
            </w:pPr>
            <w:r w:rsidRPr="00964D20">
              <w:rPr>
                <w:sz w:val="20"/>
                <w:szCs w:val="20"/>
              </w:rPr>
              <w:t>629657,415</w:t>
            </w:r>
          </w:p>
        </w:tc>
        <w:tc>
          <w:tcPr>
            <w:tcW w:w="1842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467 542,906</w:t>
            </w:r>
          </w:p>
        </w:tc>
        <w:tc>
          <w:tcPr>
            <w:tcW w:w="1701" w:type="dxa"/>
            <w:vAlign w:val="bottom"/>
          </w:tcPr>
          <w:p w:rsidR="00A55B59" w:rsidRPr="00964D20" w:rsidRDefault="00A55B59" w:rsidP="003D7610">
            <w:pPr>
              <w:jc w:val="center"/>
              <w:rPr>
                <w:bCs/>
                <w:sz w:val="20"/>
                <w:szCs w:val="20"/>
              </w:rPr>
            </w:pPr>
            <w:r w:rsidRPr="00964D20">
              <w:rPr>
                <w:bCs/>
                <w:sz w:val="20"/>
                <w:szCs w:val="20"/>
              </w:rPr>
              <w:t>504860,231</w:t>
            </w:r>
          </w:p>
        </w:tc>
      </w:tr>
      <w:tr w:rsidR="00A55B59" w:rsidTr="003D7610">
        <w:tc>
          <w:tcPr>
            <w:tcW w:w="1560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Fonts w:ascii="Times New Roman" w:hAnsi="Times New Roman" w:cs="Times New Roman"/>
                <w:b/>
                <w:sz w:val="20"/>
                <w:szCs w:val="20"/>
              </w:rPr>
              <w:t>1080823,703</w:t>
            </w:r>
          </w:p>
        </w:tc>
        <w:tc>
          <w:tcPr>
            <w:tcW w:w="1559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Fonts w:ascii="Times New Roman" w:hAnsi="Times New Roman" w:cs="Times New Roman"/>
                <w:b/>
                <w:sz w:val="20"/>
                <w:szCs w:val="20"/>
              </w:rPr>
              <w:t>1407851,589</w:t>
            </w:r>
          </w:p>
        </w:tc>
        <w:tc>
          <w:tcPr>
            <w:tcW w:w="1843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Fonts w:ascii="Times New Roman" w:hAnsi="Times New Roman" w:cs="Times New Roman"/>
                <w:b/>
                <w:sz w:val="20"/>
                <w:szCs w:val="20"/>
              </w:rPr>
              <w:t>3085398,599</w:t>
            </w:r>
          </w:p>
        </w:tc>
        <w:tc>
          <w:tcPr>
            <w:tcW w:w="1842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Fonts w:ascii="Times New Roman" w:hAnsi="Times New Roman" w:cs="Times New Roman"/>
                <w:b/>
                <w:sz w:val="20"/>
                <w:szCs w:val="20"/>
              </w:rPr>
              <w:t>3 200 150,464</w:t>
            </w:r>
          </w:p>
        </w:tc>
        <w:tc>
          <w:tcPr>
            <w:tcW w:w="1701" w:type="dxa"/>
          </w:tcPr>
          <w:p w:rsidR="00A55B59" w:rsidRPr="00964D20" w:rsidRDefault="00A55B59" w:rsidP="003D7610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D20">
              <w:rPr>
                <w:rFonts w:ascii="Times New Roman" w:hAnsi="Times New Roman" w:cs="Times New Roman"/>
                <w:b/>
                <w:sz w:val="20"/>
                <w:szCs w:val="20"/>
              </w:rPr>
              <w:t>2963244,317</w:t>
            </w:r>
          </w:p>
        </w:tc>
      </w:tr>
    </w:tbl>
    <w:p w:rsidR="00A55B59" w:rsidRDefault="00A55B59" w:rsidP="00A55B59">
      <w:pPr>
        <w:pStyle w:val="Pa1"/>
        <w:ind w:firstLine="440"/>
        <w:jc w:val="both"/>
        <w:rPr>
          <w:rFonts w:cs="Helios"/>
          <w:b/>
          <w:bCs/>
          <w:color w:val="000000"/>
          <w:sz w:val="19"/>
          <w:szCs w:val="19"/>
        </w:rPr>
      </w:pPr>
    </w:p>
    <w:p w:rsidR="003D7610" w:rsidRDefault="00A55B59" w:rsidP="00A55B59">
      <w:pPr>
        <w:pStyle w:val="a9"/>
      </w:pPr>
      <w:r w:rsidRPr="00C4011B">
        <w:rPr>
          <w:b/>
          <w:bCs/>
        </w:rPr>
        <w:t xml:space="preserve">Отходов I класса (чрезвычайно опасных) </w:t>
      </w:r>
      <w:r w:rsidRPr="00C4011B">
        <w:t xml:space="preserve">образовано </w:t>
      </w:r>
      <w:r>
        <w:t>757</w:t>
      </w:r>
      <w:r w:rsidRPr="00C4011B">
        <w:t xml:space="preserve"> т, что на </w:t>
      </w:r>
      <w:r>
        <w:t>225</w:t>
      </w:r>
      <w:r w:rsidRPr="00C4011B">
        <w:t>,</w:t>
      </w:r>
      <w:r>
        <w:t>89</w:t>
      </w:r>
      <w:r w:rsidRPr="00C4011B">
        <w:t xml:space="preserve"> т больше, чем в 201</w:t>
      </w:r>
      <w:r>
        <w:t>7</w:t>
      </w:r>
      <w:r w:rsidRPr="00C4011B">
        <w:t xml:space="preserve"> году. </w:t>
      </w:r>
      <w:r w:rsidRPr="00656EB3">
        <w:t>На конец 2018 года размещено на хранение 200,972 т ртутьсодержащих отходов, передано на демеркуризацию специализированным организа</w:t>
      </w:r>
      <w:r w:rsidRPr="00656EB3">
        <w:softHyphen/>
        <w:t xml:space="preserve">циям по обезвреживанию ртутьсодержащих отходов с учетом накопленных за предыдущий год 534,809 т. </w:t>
      </w:r>
    </w:p>
    <w:p w:rsidR="00A55B59" w:rsidRPr="00C4011B" w:rsidRDefault="00A55B59" w:rsidP="00A55B59">
      <w:pPr>
        <w:pStyle w:val="a9"/>
      </w:pPr>
      <w:r w:rsidRPr="00C4011B">
        <w:rPr>
          <w:b/>
          <w:bCs/>
        </w:rPr>
        <w:t xml:space="preserve">Отходы II класса опасности (высокоопасные) </w:t>
      </w:r>
      <w:r w:rsidRPr="00C4011B">
        <w:t>В 201</w:t>
      </w:r>
      <w:r>
        <w:t>8</w:t>
      </w:r>
      <w:r w:rsidRPr="00C4011B">
        <w:t xml:space="preserve"> году образовано </w:t>
      </w:r>
      <w:r>
        <w:t>1139,603</w:t>
      </w:r>
      <w:r w:rsidRPr="00C4011B">
        <w:t xml:space="preserve"> т отходов II класса опасности, что на </w:t>
      </w:r>
      <w:r>
        <w:t>398,03</w:t>
      </w:r>
      <w:r w:rsidRPr="00C4011B">
        <w:t xml:space="preserve"> т больше уровня 201</w:t>
      </w:r>
      <w:r>
        <w:t>7</w:t>
      </w:r>
      <w:r w:rsidRPr="00C4011B">
        <w:t xml:space="preserve"> года. Из них </w:t>
      </w:r>
      <w:r>
        <w:t>обработано,обезврежено и утилизи</w:t>
      </w:r>
      <w:r>
        <w:softHyphen/>
        <w:t>ровано 96</w:t>
      </w:r>
      <w:r w:rsidRPr="00C4011B">
        <w:t>,</w:t>
      </w:r>
      <w:r>
        <w:t>93</w:t>
      </w:r>
      <w:r w:rsidRPr="00C4011B">
        <w:t>%. Сбором отходов II класса опасности на террито</w:t>
      </w:r>
      <w:r w:rsidRPr="00C4011B">
        <w:softHyphen/>
        <w:t xml:space="preserve">рии </w:t>
      </w:r>
      <w:r w:rsidR="003D7610">
        <w:t xml:space="preserve">Чувашской </w:t>
      </w:r>
      <w:r w:rsidR="003D7610" w:rsidRPr="00421DFB">
        <w:t xml:space="preserve">Республики </w:t>
      </w:r>
      <w:r w:rsidRPr="00C4011B">
        <w:t>занимаются специализированные организации, имеющие лицензию на деятельность по обезвреживанию и размещению отходов I-IV классов опасности.</w:t>
      </w:r>
    </w:p>
    <w:p w:rsidR="00A55B59" w:rsidRPr="003E18E5" w:rsidRDefault="00A55B59" w:rsidP="00A55B59">
      <w:pPr>
        <w:pStyle w:val="a9"/>
        <w:rPr>
          <w:highlight w:val="yellow"/>
        </w:rPr>
      </w:pPr>
      <w:r w:rsidRPr="00C4011B">
        <w:rPr>
          <w:b/>
          <w:bCs/>
        </w:rPr>
        <w:t xml:space="preserve">Отходов III класса опасности (умеренно опасные) </w:t>
      </w:r>
      <w:r w:rsidRPr="00C4011B">
        <w:t xml:space="preserve">образовано </w:t>
      </w:r>
      <w:r>
        <w:t>21</w:t>
      </w:r>
      <w:r w:rsidRPr="00C4011B">
        <w:t>,</w:t>
      </w:r>
      <w:r>
        <w:t>263</w:t>
      </w:r>
      <w:r w:rsidRPr="00C4011B">
        <w:t xml:space="preserve"> </w:t>
      </w:r>
      <w:r>
        <w:t>тыс. т</w:t>
      </w:r>
      <w:r w:rsidRPr="00C4011B">
        <w:t>. По срав</w:t>
      </w:r>
      <w:r w:rsidRPr="00C4011B">
        <w:softHyphen/>
        <w:t>нению с 201</w:t>
      </w:r>
      <w:r>
        <w:t>7</w:t>
      </w:r>
      <w:r w:rsidRPr="00C4011B">
        <w:t xml:space="preserve"> годом объем образования отходов III класса снизился на </w:t>
      </w:r>
      <w:r>
        <w:lastRenderedPageBreak/>
        <w:t>160</w:t>
      </w:r>
      <w:r w:rsidRPr="00C4011B">
        <w:t>,</w:t>
      </w:r>
      <w:r>
        <w:t>372</w:t>
      </w:r>
      <w:r w:rsidRPr="00C4011B">
        <w:t xml:space="preserve"> тыс. т, или на </w:t>
      </w:r>
      <w:r>
        <w:t>88</w:t>
      </w:r>
      <w:r w:rsidRPr="00C4011B">
        <w:t>,</w:t>
      </w:r>
      <w:r>
        <w:t>29</w:t>
      </w:r>
      <w:r w:rsidRPr="00C4011B">
        <w:t xml:space="preserve">%. </w:t>
      </w:r>
      <w:r w:rsidRPr="00656EB3">
        <w:t>Отходы данного класса представлены в основ</w:t>
      </w:r>
      <w:r w:rsidRPr="00656EB3">
        <w:softHyphen/>
        <w:t xml:space="preserve">ном навозом свиней и пометом птиц. </w:t>
      </w:r>
    </w:p>
    <w:p w:rsidR="00A55B59" w:rsidRPr="00C4011B" w:rsidRDefault="00A55B59" w:rsidP="00A55B59">
      <w:pPr>
        <w:pStyle w:val="a9"/>
      </w:pPr>
      <w:r w:rsidRPr="005821B1">
        <w:t>В 2018 году складировано в специально отведенных местах для по</w:t>
      </w:r>
      <w:r w:rsidRPr="005821B1">
        <w:softHyphen/>
        <w:t>следующей обработки и передачи на обезвреживание 1078 т навоза свиней и помета птиц (с учетом накопленных), утилизировано и передано для утилизации и обезвреживания 12,246 тыс. т (91,91%). Весь объем образовавшихся отходов тары загрязненной нефтепродуктами передан специализированным организациям для переработки и обезвреживания. Сбором отходов III класса опасности на территории республики занимаются специализированные организации, имеющие ли</w:t>
      </w:r>
      <w:r w:rsidRPr="005821B1">
        <w:softHyphen/>
        <w:t>цензию на деятельность по обезвреживанию и размещению отходов I–IV классов опасности. В 2018 году 85,07% отходов III класса опасности утили</w:t>
      </w:r>
      <w:r w:rsidRPr="005821B1">
        <w:softHyphen/>
        <w:t>зированы, обезврежены или переданы на утилизацию, обработку и обезвреживание, 1,86% – размещены на захоронение и 12,96% – на хранение.</w:t>
      </w:r>
    </w:p>
    <w:p w:rsidR="00A55B59" w:rsidRPr="00C4011B" w:rsidRDefault="00A55B59" w:rsidP="00A55B59">
      <w:pPr>
        <w:pStyle w:val="a9"/>
      </w:pPr>
      <w:r w:rsidRPr="00C4011B">
        <w:rPr>
          <w:b/>
          <w:bCs/>
        </w:rPr>
        <w:t xml:space="preserve">Отходов IV класса (малоопасные) </w:t>
      </w:r>
      <w:r w:rsidRPr="00C4011B">
        <w:t xml:space="preserve">образовано </w:t>
      </w:r>
      <w:r>
        <w:t>2435</w:t>
      </w:r>
      <w:r w:rsidRPr="00C4011B">
        <w:t>,</w:t>
      </w:r>
      <w:r>
        <w:t>225</w:t>
      </w:r>
      <w:r w:rsidRPr="00C4011B">
        <w:t xml:space="preserve"> тыс. т(</w:t>
      </w:r>
      <w:r>
        <w:t>82</w:t>
      </w:r>
      <w:r w:rsidRPr="00C4011B">
        <w:t>,</w:t>
      </w:r>
      <w:r>
        <w:t>18</w:t>
      </w:r>
      <w:r w:rsidRPr="00C4011B">
        <w:t xml:space="preserve">% от общего объема образования всех отходов), что на </w:t>
      </w:r>
      <w:r>
        <w:t>4</w:t>
      </w:r>
      <w:r w:rsidRPr="00C4011B">
        <w:t>,4</w:t>
      </w:r>
      <w:r>
        <w:t>9</w:t>
      </w:r>
      <w:r w:rsidRPr="00C4011B">
        <w:t>% меньше уровня 201</w:t>
      </w:r>
      <w:r>
        <w:t>7</w:t>
      </w:r>
      <w:r w:rsidRPr="00C4011B">
        <w:t xml:space="preserve"> года. </w:t>
      </w:r>
      <w:r w:rsidRPr="00BC60E2">
        <w:t>Основной объем составляют отходы, образующиеся при механической и биологической очистке сточных вод – 1950,94 тыс. т (80,11%), отходы ТКО и подобные – 237,329 тыс. т (9,75%). Следует отметить, что большая часть отходов (84,73%) складировано в специально отведенных местах на хранение.</w:t>
      </w:r>
    </w:p>
    <w:p w:rsidR="00A55B59" w:rsidRPr="00DB092C" w:rsidRDefault="00A55B59" w:rsidP="00A55B59">
      <w:pPr>
        <w:pStyle w:val="a9"/>
        <w:rPr>
          <w:lang w:val="en-US"/>
        </w:rPr>
      </w:pPr>
      <w:r w:rsidRPr="00C4011B">
        <w:t xml:space="preserve">Объем образования </w:t>
      </w:r>
      <w:r w:rsidRPr="00C4011B">
        <w:rPr>
          <w:b/>
          <w:bCs/>
        </w:rPr>
        <w:t>отходов V класса опасности (практиче</w:t>
      </w:r>
      <w:r w:rsidRPr="00C4011B">
        <w:rPr>
          <w:b/>
          <w:bCs/>
        </w:rPr>
        <w:softHyphen/>
        <w:t xml:space="preserve">ски неопасные) </w:t>
      </w:r>
      <w:r w:rsidRPr="00C4011B">
        <w:t>в 201</w:t>
      </w:r>
      <w:r>
        <w:t>8</w:t>
      </w:r>
      <w:r w:rsidRPr="00C4011B">
        <w:t xml:space="preserve"> году по сравнению с 201</w:t>
      </w:r>
      <w:r>
        <w:t>7</w:t>
      </w:r>
      <w:r w:rsidRPr="00C4011B">
        <w:t xml:space="preserve"> годом увеличился на </w:t>
      </w:r>
      <w:r>
        <w:t>114</w:t>
      </w:r>
      <w:r w:rsidRPr="00C4011B">
        <w:t>,</w:t>
      </w:r>
      <w:r>
        <w:t>475</w:t>
      </w:r>
      <w:r w:rsidRPr="00C4011B">
        <w:t xml:space="preserve"> млн. т (</w:t>
      </w:r>
      <w:r>
        <w:t>7</w:t>
      </w:r>
      <w:r w:rsidRPr="00C4011B">
        <w:t>,</w:t>
      </w:r>
      <w:r>
        <w:t xml:space="preserve">98%). </w:t>
      </w:r>
      <w:r w:rsidRPr="00DB092C">
        <w:t>Всего в 2018 году образовано 504,860  тыс. т отходов V класса опасности, что составляет 17% от общего объема образования отходов в республике. Пятый класс опасности представлен следующими отходами</w:t>
      </w:r>
      <w:r w:rsidRPr="00DB092C">
        <w:rPr>
          <w:lang w:val="en-US"/>
        </w:rPr>
        <w:t>: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7951"/>
        <w:gridCol w:w="1418"/>
      </w:tblGrid>
      <w:tr w:rsidR="00A55B59" w:rsidRPr="00DB092C" w:rsidTr="003D7610">
        <w:trPr>
          <w:trHeight w:val="69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остатки сортировки твердых коммунальных отходов при совместном сборе практически неопасные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23,36%</w:t>
            </w:r>
          </w:p>
        </w:tc>
      </w:tr>
      <w:tr w:rsidR="00A55B59" w:rsidRPr="00DB092C" w:rsidTr="003D7610">
        <w:trPr>
          <w:trHeight w:val="69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17,14%</w:t>
            </w:r>
          </w:p>
        </w:tc>
      </w:tr>
      <w:tr w:rsidR="00A55B59" w:rsidRPr="00DB092C" w:rsidTr="003D7610">
        <w:trPr>
          <w:trHeight w:val="30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отходы упаковочного картона незагрязненные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8,71%</w:t>
            </w:r>
          </w:p>
        </w:tc>
      </w:tr>
      <w:tr w:rsidR="00A55B59" w:rsidRPr="00DB092C" w:rsidTr="003D7610">
        <w:trPr>
          <w:trHeight w:val="915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смесь осадков механической и биологической очистки хозяйственно- бытовых и смешанных сточных вод, выдержанная на площадках стабилизации, практически неопасная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5,06%</w:t>
            </w:r>
          </w:p>
        </w:tc>
      </w:tr>
      <w:tr w:rsidR="00A55B59" w:rsidRPr="00DB092C" w:rsidTr="003D7610">
        <w:trPr>
          <w:trHeight w:val="69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грунт, образовавшийся при проведении землеройных работ, не загрязненный опасными веществами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4,70%</w:t>
            </w:r>
          </w:p>
        </w:tc>
      </w:tr>
      <w:tr w:rsidR="00A55B59" w:rsidRPr="00DB092C" w:rsidTr="003D7610">
        <w:trPr>
          <w:trHeight w:val="69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4,15%</w:t>
            </w:r>
          </w:p>
        </w:tc>
      </w:tr>
      <w:tr w:rsidR="00A55B59" w:rsidRPr="00DB092C" w:rsidTr="003D7610">
        <w:trPr>
          <w:trHeight w:val="30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отходы из жилищ крупногабаритные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2,93%</w:t>
            </w:r>
          </w:p>
        </w:tc>
      </w:tr>
      <w:tr w:rsidR="00A55B59" w:rsidRPr="00DB092C" w:rsidTr="003D7610">
        <w:trPr>
          <w:trHeight w:val="30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навоз крупного рогатого скота перепревший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2,66%</w:t>
            </w:r>
          </w:p>
        </w:tc>
      </w:tr>
      <w:tr w:rsidR="00A55B59" w:rsidRPr="00DB092C" w:rsidTr="003D7610">
        <w:trPr>
          <w:trHeight w:val="30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дробина солодовая (пивная)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2,61%</w:t>
            </w:r>
          </w:p>
        </w:tc>
      </w:tr>
      <w:tr w:rsidR="00A55B59" w:rsidRPr="00DB092C" w:rsidTr="003D7610">
        <w:trPr>
          <w:trHeight w:val="300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3D7610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5B59" w:rsidRPr="00DB092C">
              <w:rPr>
                <w:sz w:val="28"/>
                <w:szCs w:val="28"/>
              </w:rPr>
              <w:t>обрезь гофрокартона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2,12%</w:t>
            </w:r>
          </w:p>
        </w:tc>
      </w:tr>
      <w:tr w:rsidR="00A55B59" w:rsidRPr="00DB092C" w:rsidTr="003D7610">
        <w:trPr>
          <w:trHeight w:val="465"/>
        </w:trPr>
        <w:tc>
          <w:tcPr>
            <w:tcW w:w="7951" w:type="dxa"/>
            <w:shd w:val="clear" w:color="auto" w:fill="auto"/>
            <w:vAlign w:val="bottom"/>
            <w:hideMark/>
          </w:tcPr>
          <w:p w:rsidR="00A55B59" w:rsidRPr="00DB092C" w:rsidRDefault="00A55B59" w:rsidP="00A55B59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DB092C">
              <w:rPr>
                <w:sz w:val="28"/>
                <w:szCs w:val="28"/>
              </w:rPr>
              <w:t>лом и отходы стальные в кусковой форме незагрязненные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5B59" w:rsidRPr="00DB092C" w:rsidRDefault="00A55B59" w:rsidP="003D7610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DB092C">
              <w:rPr>
                <w:color w:val="000000"/>
                <w:sz w:val="28"/>
                <w:szCs w:val="28"/>
              </w:rPr>
              <w:t>2,03%</w:t>
            </w:r>
          </w:p>
        </w:tc>
      </w:tr>
    </w:tbl>
    <w:p w:rsidR="00A55B59" w:rsidRDefault="00A55B59" w:rsidP="00A55B59">
      <w:pPr>
        <w:pStyle w:val="a9"/>
        <w:ind w:left="1069" w:firstLine="0"/>
        <w:rPr>
          <w:highlight w:val="yellow"/>
        </w:rPr>
      </w:pPr>
    </w:p>
    <w:p w:rsidR="00A55B59" w:rsidRDefault="00A55B59" w:rsidP="00A55B59">
      <w:pPr>
        <w:pStyle w:val="a9"/>
      </w:pPr>
      <w:r w:rsidRPr="00C4177C">
        <w:t>В 2018 году 46,08% отходов V класса опасности размеще</w:t>
      </w:r>
      <w:r w:rsidRPr="00C4177C">
        <w:softHyphen/>
        <w:t>но на объектах хранения и захоронения, 53,92% отходов использовано и обезврежено.</w:t>
      </w:r>
    </w:p>
    <w:p w:rsidR="00A55B59" w:rsidRDefault="00A55B59" w:rsidP="00A55B59">
      <w:pPr>
        <w:pStyle w:val="a9"/>
      </w:pPr>
      <w:r w:rsidRPr="00F442F1">
        <w:t xml:space="preserve">Сведения о количестве образования отходов на территории </w:t>
      </w:r>
      <w:r w:rsidR="003D7610">
        <w:t xml:space="preserve">Чувашской </w:t>
      </w:r>
      <w:r w:rsidR="003D7610" w:rsidRPr="00421DFB">
        <w:t>Республики</w:t>
      </w:r>
      <w:r>
        <w:t xml:space="preserve">, систематизированные по </w:t>
      </w:r>
      <w:r w:rsidRPr="00F442F1">
        <w:t>классам опасности</w:t>
      </w:r>
      <w:r>
        <w:t xml:space="preserve"> и муниципальным образованиям</w:t>
      </w:r>
      <w:r w:rsidRPr="00F442F1">
        <w:t xml:space="preserve">, </w:t>
      </w:r>
      <w:r>
        <w:t xml:space="preserve">на территории которых они были произведены (по данным за 2018 год) </w:t>
      </w:r>
      <w:r w:rsidRPr="00F442F1">
        <w:t>представлены в Приложени</w:t>
      </w:r>
      <w:r>
        <w:t>и</w:t>
      </w:r>
      <w:r w:rsidRPr="00F442F1">
        <w:t xml:space="preserve"> </w:t>
      </w:r>
      <w:r>
        <w:t xml:space="preserve">4.1. </w:t>
      </w:r>
    </w:p>
    <w:p w:rsidR="00A55B59" w:rsidRDefault="00A55B59" w:rsidP="00A55B59">
      <w:pPr>
        <w:pStyle w:val="a9"/>
      </w:pPr>
      <w:r w:rsidRPr="00F442F1">
        <w:t xml:space="preserve">Сведения о количестве образования отходов на территории </w:t>
      </w:r>
      <w:r w:rsidR="003D7610">
        <w:t xml:space="preserve">Чувашской </w:t>
      </w:r>
      <w:r w:rsidR="003D7610" w:rsidRPr="00421DFB">
        <w:t>Республики</w:t>
      </w:r>
      <w:r>
        <w:t>, систематизированные по видам экономическ</w:t>
      </w:r>
      <w:r w:rsidR="003D7610">
        <w:t>ой деятельности представлены в П</w:t>
      </w:r>
      <w:r>
        <w:t>риложении 4.2.</w:t>
      </w:r>
    </w:p>
    <w:p w:rsidR="00425D94" w:rsidRPr="00EE1690" w:rsidRDefault="00EE1690" w:rsidP="007B60A5">
      <w:pPr>
        <w:pStyle w:val="110"/>
        <w:ind w:firstLine="709"/>
      </w:pPr>
      <w:bookmarkStart w:id="2" w:name="_Toc528623146"/>
      <w:bookmarkStart w:id="3" w:name="_Toc8658826"/>
      <w:bookmarkStart w:id="4" w:name="_Toc21342769"/>
      <w:r w:rsidRPr="00EE1690">
        <w:t>4.</w:t>
      </w:r>
      <w:r w:rsidR="00425D94" w:rsidRPr="00EE1690">
        <w:t>2. Характеристика твердых коммунальных отходов, в том числе их морфологический состав</w:t>
      </w:r>
      <w:bookmarkEnd w:id="2"/>
      <w:bookmarkEnd w:id="3"/>
      <w:bookmarkEnd w:id="4"/>
      <w:r w:rsidR="00425D94" w:rsidRPr="00EE1690">
        <w:t xml:space="preserve"> </w:t>
      </w:r>
    </w:p>
    <w:p w:rsidR="00425D94" w:rsidRPr="00425D94" w:rsidRDefault="00425D94" w:rsidP="007B60A5">
      <w:pPr>
        <w:ind w:firstLine="709"/>
        <w:rPr>
          <w:rFonts w:eastAsiaTheme="minorHAnsi"/>
        </w:rPr>
      </w:pPr>
    </w:p>
    <w:p w:rsidR="00981AF0" w:rsidRPr="00981AF0" w:rsidRDefault="00981AF0" w:rsidP="00421DFB">
      <w:pPr>
        <w:pStyle w:val="a9"/>
      </w:pPr>
      <w:r w:rsidRPr="00981AF0">
        <w:t>К качественным характеристикам твердых коммунальных отходов относятся:</w:t>
      </w:r>
    </w:p>
    <w:p w:rsidR="00981AF0" w:rsidRPr="00981AF0" w:rsidRDefault="00981AF0" w:rsidP="00421DFB">
      <w:pPr>
        <w:pStyle w:val="a9"/>
        <w:numPr>
          <w:ilvl w:val="0"/>
          <w:numId w:val="3"/>
        </w:numPr>
      </w:pPr>
      <w:r w:rsidRPr="00981AF0">
        <w:t>морфологический и фракционный состав;</w:t>
      </w:r>
    </w:p>
    <w:p w:rsidR="00981AF0" w:rsidRPr="00981AF0" w:rsidRDefault="00981AF0" w:rsidP="00421DFB">
      <w:pPr>
        <w:pStyle w:val="a9"/>
        <w:numPr>
          <w:ilvl w:val="0"/>
          <w:numId w:val="3"/>
        </w:numPr>
      </w:pPr>
      <w:r w:rsidRPr="00981AF0">
        <w:t>плотность и влажность;</w:t>
      </w:r>
    </w:p>
    <w:p w:rsidR="00981AF0" w:rsidRDefault="00981AF0" w:rsidP="00421DFB">
      <w:pPr>
        <w:pStyle w:val="a9"/>
        <w:numPr>
          <w:ilvl w:val="0"/>
          <w:numId w:val="3"/>
        </w:numPr>
      </w:pPr>
      <w:r w:rsidRPr="00981AF0">
        <w:t>особые свойства.</w:t>
      </w:r>
    </w:p>
    <w:p w:rsidR="00425D94" w:rsidRPr="00F442F1" w:rsidRDefault="00425D94" w:rsidP="00421DFB">
      <w:pPr>
        <w:pStyle w:val="a9"/>
      </w:pPr>
      <w:r w:rsidRPr="00F442F1">
        <w:t>Детальные данные о морфологическом составе ТКО и динамике его изменения являются основной исходной информацией для оценки рентабельности извлечения утильных фракций из отходов и определения экономической выгоды от использования ценных компонентов ТКО, позволяющих получить востребованную на рынке продукцию из вторсырья.</w:t>
      </w:r>
    </w:p>
    <w:p w:rsidR="00425D94" w:rsidRDefault="00425D94" w:rsidP="00421DFB">
      <w:pPr>
        <w:pStyle w:val="a9"/>
      </w:pPr>
      <w:bookmarkStart w:id="5" w:name="_Toc460877375"/>
      <w:bookmarkStart w:id="6" w:name="_Toc460963361"/>
      <w:bookmarkStart w:id="7" w:name="_Toc461018909"/>
      <w:bookmarkStart w:id="8" w:name="_Toc461054198"/>
      <w:r w:rsidRPr="00F442F1">
        <w:t>По данным исследований количества и морфологического состава твердых коммунальных отходов в местах размещения отходов, твердые коммунальные отходы, как правило, имеют следующий усредненный морфологический состав.</w:t>
      </w:r>
      <w:bookmarkEnd w:id="5"/>
      <w:bookmarkEnd w:id="6"/>
      <w:bookmarkEnd w:id="7"/>
      <w:bookmarkEnd w:id="8"/>
    </w:p>
    <w:p w:rsidR="00981AF0" w:rsidRDefault="00981AF0" w:rsidP="00421DFB">
      <w:pPr>
        <w:pStyle w:val="a9"/>
      </w:pPr>
      <w:r w:rsidRPr="00981AF0">
        <w:t>Морфологический состав твердых коммунальных отходов - это содержание их составных частей, выраженное в процентах к общей массе. Основными составляющими ТКО являются бумага, пищевые отходы, полимерные материалы, стекло (таблица 4.2.)</w:t>
      </w:r>
    </w:p>
    <w:p w:rsidR="00981AF0" w:rsidRPr="007B60A5" w:rsidRDefault="00981AF0" w:rsidP="00AB2C48">
      <w:pPr>
        <w:pStyle w:val="ab"/>
        <w:rPr>
          <w:sz w:val="28"/>
          <w:szCs w:val="28"/>
        </w:rPr>
      </w:pPr>
      <w:r w:rsidRPr="007B60A5">
        <w:rPr>
          <w:sz w:val="28"/>
          <w:szCs w:val="28"/>
        </w:rPr>
        <w:t>Таблица 4.</w:t>
      </w:r>
      <w:r w:rsidR="00797D35" w:rsidRPr="007B60A5">
        <w:rPr>
          <w:sz w:val="28"/>
          <w:szCs w:val="28"/>
        </w:rPr>
        <w:t>2</w:t>
      </w:r>
      <w:r w:rsidRPr="007B60A5">
        <w:rPr>
          <w:sz w:val="28"/>
          <w:szCs w:val="28"/>
        </w:rPr>
        <w:t>. - Морфологический состав ТКО</w:t>
      </w:r>
    </w:p>
    <w:tbl>
      <w:tblPr>
        <w:tblW w:w="9639" w:type="dxa"/>
        <w:tblInd w:w="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6352"/>
        <w:gridCol w:w="2409"/>
      </w:tblGrid>
      <w:tr w:rsidR="00981AF0" w:rsidRPr="00FF41E7" w:rsidTr="00AB2C48">
        <w:trPr>
          <w:trHeight w:val="5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rPr>
                <w:spacing w:val="-11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244" w:right="167"/>
              <w:jc w:val="center"/>
            </w:pPr>
            <w:r w:rsidRPr="00AB2C48">
              <w:rPr>
                <w:spacing w:val="-7"/>
              </w:rPr>
              <w:t>Компонент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101"/>
              <w:jc w:val="center"/>
            </w:pPr>
            <w:r w:rsidRPr="00AB2C48">
              <w:rPr>
                <w:spacing w:val="-1"/>
              </w:rPr>
              <w:t>Процентное содержание, % по массе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6"/>
              </w:rPr>
              <w:t>Бумага, картон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23-32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7"/>
              </w:rPr>
              <w:t>Пищевые отходы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37-45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3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9"/>
              </w:rPr>
              <w:t>Дерево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1-2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4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2"/>
              </w:rPr>
              <w:t>Черный металлолом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2-3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5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2"/>
              </w:rPr>
              <w:t>Цветной металло</w:t>
            </w:r>
            <w:r w:rsidRPr="00AB2C48">
              <w:t>лом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1-2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6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2"/>
              </w:rPr>
              <w:t>Текстиль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3-5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7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8"/>
              </w:rPr>
              <w:t>Пластмасса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5-6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8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10"/>
              </w:rPr>
              <w:t>Стекло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7"/>
              </w:rPr>
              <w:t>2-3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9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t xml:space="preserve">Кости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1-2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br w:type="page"/>
              <w:t>10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t>Кожа, резина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1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t xml:space="preserve">Камни, штукатурка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1</w:t>
            </w:r>
          </w:p>
        </w:tc>
      </w:tr>
      <w:tr w:rsidR="00981AF0" w:rsidRPr="00FF41E7" w:rsidTr="00AB2C48">
        <w:trPr>
          <w:trHeight w:hRule="exact" w:val="29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13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75" w:right="-52"/>
            </w:pPr>
            <w:r w:rsidRPr="00AB2C48">
              <w:t xml:space="preserve">Прочее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3-4</w:t>
            </w:r>
          </w:p>
        </w:tc>
      </w:tr>
      <w:tr w:rsidR="00981AF0" w:rsidRPr="00FF41E7" w:rsidTr="00AB2C4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14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t xml:space="preserve">Отсев (менее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AB2C48">
                <w:t>15 мм</w:t>
              </w:r>
            </w:smartTag>
            <w:r w:rsidRPr="00AB2C48"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6-8</w:t>
            </w:r>
          </w:p>
        </w:tc>
      </w:tr>
    </w:tbl>
    <w:p w:rsidR="00981AF0" w:rsidRDefault="00981AF0" w:rsidP="00981AF0">
      <w:pPr>
        <w:suppressAutoHyphens/>
        <w:spacing w:line="360" w:lineRule="auto"/>
        <w:ind w:firstLine="539"/>
        <w:jc w:val="both"/>
        <w:rPr>
          <w:bCs/>
          <w:sz w:val="28"/>
          <w:szCs w:val="28"/>
        </w:rPr>
      </w:pPr>
    </w:p>
    <w:p w:rsidR="00981AF0" w:rsidRPr="00797D35" w:rsidRDefault="00981AF0" w:rsidP="00421DFB">
      <w:pPr>
        <w:pStyle w:val="a9"/>
      </w:pPr>
      <w:r w:rsidRPr="00797D35">
        <w:t>Следует отметить, что в таблице представлены усредненные данные в целом по году. Сезонные изменения состава ТКО характеризуются увеличением содержания пищевых отходов с 20…25 % весной до 40…55 % осенью.</w:t>
      </w:r>
    </w:p>
    <w:p w:rsidR="00981AF0" w:rsidRPr="00797D35" w:rsidRDefault="00981AF0" w:rsidP="00421DFB">
      <w:pPr>
        <w:pStyle w:val="a9"/>
      </w:pPr>
      <w:r w:rsidRPr="00797D35">
        <w:rPr>
          <w:spacing w:val="7"/>
        </w:rPr>
        <w:t>Фракционный состав</w:t>
      </w:r>
      <w:r w:rsidRPr="00797D35">
        <w:rPr>
          <w:b/>
          <w:spacing w:val="7"/>
        </w:rPr>
        <w:t xml:space="preserve"> </w:t>
      </w:r>
      <w:r w:rsidRPr="00797D35">
        <w:t>твердых коммунальных отходов - это процентное содержание массы компонентов различного размера.</w:t>
      </w:r>
    </w:p>
    <w:p w:rsidR="00981AF0" w:rsidRPr="00797D35" w:rsidRDefault="00981AF0" w:rsidP="00421DFB">
      <w:pPr>
        <w:pStyle w:val="a9"/>
      </w:pPr>
      <w:r w:rsidRPr="00797D35">
        <w:t>В соответствии со справочником «Санитарная очистка и уборка населенных мест» в таблице 4.3 приведен фракционный состав ТКО, дающий более полную информацию о свойствах материала. В таблицу не вошли данные о крупногабаритных отходах (старая мебель, холодильники, стиральные машины, обрезки деревьев, крупная упаковочная тара), т.е. о ТКО, не вмещающихся в стандартные (</w:t>
      </w:r>
      <w:smartTag w:uri="urn:schemas-microsoft-com:office:smarttags" w:element="metricconverter">
        <w:smartTagPr>
          <w:attr w:name="ProductID" w:val="0,75 м3"/>
        </w:smartTagPr>
        <w:r w:rsidRPr="00797D35">
          <w:t>0,75 м</w:t>
        </w:r>
        <w:r w:rsidRPr="00797D35">
          <w:rPr>
            <w:vertAlign w:val="superscript"/>
          </w:rPr>
          <w:t>3</w:t>
        </w:r>
      </w:smartTag>
      <w:r w:rsidRPr="00797D35">
        <w:t>) контейнеры и собираемых отдельно.</w:t>
      </w:r>
    </w:p>
    <w:p w:rsidR="00981AF0" w:rsidRPr="00FF41E7" w:rsidRDefault="00981AF0" w:rsidP="00981AF0">
      <w:pPr>
        <w:shd w:val="clear" w:color="auto" w:fill="FFFFFF"/>
        <w:ind w:left="851" w:right="-52" w:firstLine="567"/>
        <w:jc w:val="center"/>
        <w:rPr>
          <w:b/>
          <w:spacing w:val="-3"/>
        </w:rPr>
      </w:pPr>
    </w:p>
    <w:p w:rsidR="00981AF0" w:rsidRPr="007B60A5" w:rsidRDefault="00981AF0" w:rsidP="00AB2C48">
      <w:pPr>
        <w:pStyle w:val="ab"/>
        <w:rPr>
          <w:sz w:val="28"/>
          <w:szCs w:val="28"/>
        </w:rPr>
      </w:pPr>
      <w:r w:rsidRPr="007B60A5">
        <w:rPr>
          <w:sz w:val="28"/>
          <w:szCs w:val="28"/>
        </w:rPr>
        <w:t>Таблица 4.3 - Ориентировочный фракционный состав ТКО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2"/>
        <w:gridCol w:w="1344"/>
        <w:gridCol w:w="1426"/>
        <w:gridCol w:w="1344"/>
        <w:gridCol w:w="1505"/>
      </w:tblGrid>
      <w:tr w:rsidR="00981AF0" w:rsidRPr="00FF41E7" w:rsidTr="009C4DAE">
        <w:trPr>
          <w:trHeight w:val="240"/>
        </w:trPr>
        <w:tc>
          <w:tcPr>
            <w:tcW w:w="2552" w:type="dxa"/>
            <w:vMerge w:val="restart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Компонент</w:t>
            </w:r>
          </w:p>
        </w:tc>
        <w:tc>
          <w:tcPr>
            <w:tcW w:w="7031" w:type="dxa"/>
            <w:gridSpan w:val="5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Размер фракций, мм</w:t>
            </w:r>
          </w:p>
        </w:tc>
      </w:tr>
      <w:tr w:rsidR="00981AF0" w:rsidRPr="00FF41E7" w:rsidTr="009C4DAE">
        <w:trPr>
          <w:trHeight w:val="285"/>
        </w:trPr>
        <w:tc>
          <w:tcPr>
            <w:tcW w:w="2552" w:type="dxa"/>
            <w:vMerge/>
            <w:vAlign w:val="center"/>
          </w:tcPr>
          <w:p w:rsidR="00981AF0" w:rsidRPr="00AB2C48" w:rsidRDefault="00981AF0" w:rsidP="009C4DAE">
            <w:pPr>
              <w:ind w:right="-52"/>
              <w:rPr>
                <w:spacing w:val="7"/>
              </w:rPr>
            </w:pP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более 250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150-250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100-150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50-100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ind w:right="-52"/>
              <w:jc w:val="center"/>
              <w:rPr>
                <w:spacing w:val="7"/>
              </w:rPr>
            </w:pPr>
            <w:r w:rsidRPr="00AB2C48">
              <w:rPr>
                <w:spacing w:val="7"/>
              </w:rPr>
              <w:t>менее 50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6"/>
              </w:rPr>
              <w:t>Бумага, картон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 xml:space="preserve">3 </w:t>
            </w:r>
            <w:r w:rsidR="00AB2C48">
              <w:rPr>
                <w:spacing w:val="7"/>
              </w:rPr>
              <w:t>–</w:t>
            </w:r>
            <w:r w:rsidRPr="00AB2C48">
              <w:rPr>
                <w:spacing w:val="7"/>
              </w:rPr>
              <w:t xml:space="preserve"> 8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8 - 10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9 - 11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7 - 8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2 - 5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7"/>
              </w:rPr>
              <w:t>Пищевые отходы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0 - 1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2 - 10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7 - 12,6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17 - 21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9"/>
              </w:rPr>
              <w:t>Дерево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0 - 0,5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0 - 0,5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0 - 0,5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2"/>
              </w:rPr>
              <w:t>Металл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0-1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0,5 - 1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0,8 - 1,6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0,3 - 0,5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2"/>
              </w:rPr>
              <w:t>Текстиль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0,2 - 1,3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1 - 1,5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0,5 - 1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0,3 - 0,8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0 - 0,6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8"/>
              </w:rPr>
              <w:t>Пластмасса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0 - 0,2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0,5 - 1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1 - 2,2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1 - 2,5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0,2 - 0,5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rPr>
                <w:spacing w:val="-10"/>
              </w:rPr>
              <w:t>Стекло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0 - 0,3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0,3 - 1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1 - 2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1 - 1,6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t>Кости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0,3 - 0,5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0,5 - 0,9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t>Кожа, резина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0 - 1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0,5 - 2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0,5 - 1,5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t>Камни, штукатурка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0,2 - 1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0,5 - 1,8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0,5 - 2</w:t>
            </w:r>
          </w:p>
        </w:tc>
      </w:tr>
      <w:tr w:rsidR="00981AF0" w:rsidRPr="00FF41E7" w:rsidTr="009C4DAE"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t>Прочее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0 - 0,3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0,2 - 0,6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0 - 0,5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0 - 0,4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0 - 0,5</w:t>
            </w:r>
          </w:p>
        </w:tc>
      </w:tr>
      <w:tr w:rsidR="00981AF0" w:rsidRPr="00FF41E7" w:rsidTr="009C4DAE">
        <w:trPr>
          <w:trHeight w:val="347"/>
        </w:trPr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</w:pPr>
            <w:r w:rsidRPr="00AB2C48">
              <w:t>Отсев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-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spacing w:val="7"/>
              </w:rPr>
            </w:pPr>
            <w:r w:rsidRPr="00AB2C48">
              <w:rPr>
                <w:spacing w:val="7"/>
              </w:rPr>
              <w:t>4 - 6</w:t>
            </w:r>
          </w:p>
        </w:tc>
      </w:tr>
      <w:tr w:rsidR="00981AF0" w:rsidRPr="00FF41E7" w:rsidTr="009C4DAE">
        <w:trPr>
          <w:trHeight w:val="347"/>
        </w:trPr>
        <w:tc>
          <w:tcPr>
            <w:tcW w:w="2552" w:type="dxa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34" w:right="-52"/>
              <w:rPr>
                <w:b/>
              </w:rPr>
            </w:pPr>
            <w:r w:rsidRPr="00AB2C48">
              <w:rPr>
                <w:b/>
              </w:rPr>
              <w:t>Всего</w:t>
            </w:r>
          </w:p>
        </w:tc>
        <w:tc>
          <w:tcPr>
            <w:tcW w:w="1412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b/>
                <w:spacing w:val="7"/>
              </w:rPr>
            </w:pPr>
            <w:r w:rsidRPr="00AB2C48">
              <w:rPr>
                <w:b/>
                <w:spacing w:val="7"/>
              </w:rPr>
              <w:t>7,0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b/>
                <w:spacing w:val="7"/>
              </w:rPr>
            </w:pPr>
            <w:r w:rsidRPr="00AB2C48">
              <w:rPr>
                <w:b/>
                <w:spacing w:val="7"/>
              </w:rPr>
              <w:t>13,3</w:t>
            </w:r>
          </w:p>
        </w:tc>
        <w:tc>
          <w:tcPr>
            <w:tcW w:w="1426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b/>
                <w:spacing w:val="7"/>
              </w:rPr>
            </w:pPr>
            <w:r w:rsidRPr="00AB2C48">
              <w:rPr>
                <w:b/>
                <w:spacing w:val="7"/>
              </w:rPr>
              <w:t>22,1</w:t>
            </w:r>
          </w:p>
        </w:tc>
        <w:tc>
          <w:tcPr>
            <w:tcW w:w="1344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b/>
                <w:spacing w:val="7"/>
              </w:rPr>
            </w:pPr>
            <w:r w:rsidRPr="00AB2C48">
              <w:rPr>
                <w:b/>
                <w:spacing w:val="7"/>
              </w:rPr>
              <w:t>25,3</w:t>
            </w:r>
          </w:p>
        </w:tc>
        <w:tc>
          <w:tcPr>
            <w:tcW w:w="1505" w:type="dxa"/>
            <w:vAlign w:val="center"/>
          </w:tcPr>
          <w:p w:rsidR="00981AF0" w:rsidRPr="00AB2C48" w:rsidRDefault="00981AF0" w:rsidP="009C4DAE">
            <w:pPr>
              <w:spacing w:before="50"/>
              <w:ind w:right="29"/>
              <w:jc w:val="right"/>
              <w:rPr>
                <w:b/>
                <w:spacing w:val="7"/>
              </w:rPr>
            </w:pPr>
            <w:r w:rsidRPr="00AB2C48">
              <w:rPr>
                <w:b/>
                <w:spacing w:val="7"/>
              </w:rPr>
              <w:t>32,3</w:t>
            </w:r>
          </w:p>
        </w:tc>
      </w:tr>
    </w:tbl>
    <w:p w:rsidR="00981AF0" w:rsidRPr="00FF41E7" w:rsidRDefault="00981AF0" w:rsidP="00981AF0">
      <w:pPr>
        <w:shd w:val="clear" w:color="auto" w:fill="FFFFFF"/>
        <w:spacing w:line="360" w:lineRule="auto"/>
        <w:ind w:right="142" w:firstLine="567"/>
        <w:rPr>
          <w:szCs w:val="28"/>
        </w:rPr>
      </w:pPr>
    </w:p>
    <w:p w:rsidR="00981AF0" w:rsidRPr="00797D35" w:rsidRDefault="00981AF0" w:rsidP="00421DFB">
      <w:pPr>
        <w:pStyle w:val="a9"/>
      </w:pPr>
      <w:r w:rsidRPr="00797D35">
        <w:t>Плотность отходов является величиной чрезвычайно изменчивой и зависящей от морфологического состава, влажности, времени пребывания в таре. Отдельные компоненты отходов имеют разную плотность, и изменение их содержания сильно влияют на среднюю плотность отходов в целом. Плотность ТКО благоустроенного жилищного фонда в весенне-летний сезон (в контейнерах) составляет 0,18 – 0,20 т/м</w:t>
      </w:r>
      <w:r w:rsidRPr="00797D35">
        <w:rPr>
          <w:vertAlign w:val="superscript"/>
        </w:rPr>
        <w:t>3</w:t>
      </w:r>
      <w:r w:rsidRPr="00797D35">
        <w:t>; в осеннее–зимний – 0,2 – 0,22 т/м</w:t>
      </w:r>
      <w:r w:rsidRPr="00797D35">
        <w:rPr>
          <w:vertAlign w:val="superscript"/>
        </w:rPr>
        <w:t>3</w:t>
      </w:r>
      <w:r w:rsidRPr="00797D35">
        <w:t>; для различных городов среднегодовое значение – 0,18 – 0,23 т/м</w:t>
      </w:r>
      <w:r w:rsidRPr="00797D35">
        <w:rPr>
          <w:vertAlign w:val="superscript"/>
        </w:rPr>
        <w:t>3</w:t>
      </w:r>
      <w:r w:rsidRPr="00797D35">
        <w:t>. Плотность ТКО предприятий и организаций от 0,1 до 0,28 т/м</w:t>
      </w:r>
      <w:r w:rsidRPr="00797D35">
        <w:rPr>
          <w:vertAlign w:val="superscript"/>
        </w:rPr>
        <w:t>3</w:t>
      </w:r>
      <w:r w:rsidRPr="00797D35">
        <w:t>.</w:t>
      </w:r>
    </w:p>
    <w:p w:rsidR="00797D35" w:rsidRPr="00797D35" w:rsidRDefault="00981AF0" w:rsidP="00421DFB">
      <w:pPr>
        <w:pStyle w:val="a9"/>
      </w:pPr>
      <w:r w:rsidRPr="00797D35">
        <w:t xml:space="preserve">К особым свойствам ТКО относится связность и слеживаемость отходов. ТКО обладают механической, структурной связностью за счет волокнистых фракций (текстиль, проволока и т.д.) и сцепления, обусловленного наличием влажных липких компонентов. </w:t>
      </w:r>
    </w:p>
    <w:p w:rsidR="00981AF0" w:rsidRPr="00797D35" w:rsidRDefault="00981AF0" w:rsidP="00421DFB">
      <w:pPr>
        <w:pStyle w:val="a9"/>
      </w:pPr>
      <w:r w:rsidRPr="00797D35">
        <w:t>Од</w:t>
      </w:r>
      <w:r w:rsidR="00FF0DD6">
        <w:t xml:space="preserve">нако данные, приведенные выше, </w:t>
      </w:r>
      <w:r w:rsidRPr="00797D35">
        <w:t>представляют собой морфологич</w:t>
      </w:r>
      <w:r w:rsidR="00FF0DD6">
        <w:t>е</w:t>
      </w:r>
      <w:r w:rsidRPr="00797D35">
        <w:t xml:space="preserve">ский состав, который будет получен при условии ведения селективного сбора отходов.  На территории </w:t>
      </w:r>
      <w:r w:rsidR="003D7610">
        <w:t xml:space="preserve">Чувашской </w:t>
      </w:r>
      <w:r w:rsidR="003D7610" w:rsidRPr="00421DFB">
        <w:t xml:space="preserve">Республики </w:t>
      </w:r>
      <w:r w:rsidRPr="00797D35">
        <w:t>имеет место традиционная (смешанная) система сбора отходов, при которой ТКО доставляется на сортировочные комплексы в мусоровозах, имеющих различные коэффициенты уплотнения. Уплотненная в мусоровозах масса ТКО имеет другие показатели, по возможности извлечения вторичных материальных ресурсов.</w:t>
      </w:r>
    </w:p>
    <w:p w:rsidR="00981AF0" w:rsidRPr="009755F9" w:rsidRDefault="00981AF0" w:rsidP="00421DFB">
      <w:pPr>
        <w:pStyle w:val="a9"/>
      </w:pPr>
      <w:r w:rsidRPr="00797D35">
        <w:t xml:space="preserve">По данным исследований, проведенных на 775,4 кг (4,9 куб.м.) ТКО, образованных в трех жилых многоэтажных домах, по четырем сезонам, отходы доставлены на сортировочную линию мусоровозом без применения уплотнения, </w:t>
      </w:r>
      <w:r w:rsidR="00FF0DD6" w:rsidRPr="00797D35">
        <w:t>получен</w:t>
      </w:r>
      <w:r w:rsidR="00FF0DD6">
        <w:t>н</w:t>
      </w:r>
      <w:r w:rsidR="00FF0DD6" w:rsidRPr="00797D35">
        <w:t>ы</w:t>
      </w:r>
      <w:r w:rsidR="00FF0DD6">
        <w:t>е</w:t>
      </w:r>
      <w:r w:rsidR="00FF0DD6" w:rsidRPr="00797D35">
        <w:t xml:space="preserve"> результаты,</w:t>
      </w:r>
      <w:r w:rsidRPr="00797D35">
        <w:t xml:space="preserve"> </w:t>
      </w:r>
      <w:r w:rsidRPr="009755F9">
        <w:t>представленные в таблице 4.</w:t>
      </w:r>
      <w:r w:rsidR="00797D35" w:rsidRPr="009755F9">
        <w:t>4</w:t>
      </w:r>
      <w:r w:rsidRPr="009755F9">
        <w:t>.</w:t>
      </w:r>
    </w:p>
    <w:p w:rsidR="00797D35" w:rsidRPr="009755F9" w:rsidRDefault="00797D35" w:rsidP="00981AF0">
      <w:pPr>
        <w:shd w:val="clear" w:color="auto" w:fill="FFFFFF"/>
        <w:ind w:right="-52"/>
        <w:rPr>
          <w:b/>
          <w:spacing w:val="-3"/>
        </w:rPr>
      </w:pPr>
    </w:p>
    <w:p w:rsidR="00981AF0" w:rsidRPr="007B60A5" w:rsidRDefault="00981AF0" w:rsidP="00AB2C48">
      <w:pPr>
        <w:pStyle w:val="ab"/>
        <w:rPr>
          <w:sz w:val="28"/>
          <w:szCs w:val="28"/>
        </w:rPr>
      </w:pPr>
      <w:r w:rsidRPr="007B60A5">
        <w:rPr>
          <w:sz w:val="28"/>
          <w:szCs w:val="28"/>
        </w:rPr>
        <w:t>Таблица 4.</w:t>
      </w:r>
      <w:r w:rsidR="005A4FF3" w:rsidRPr="007B60A5">
        <w:rPr>
          <w:sz w:val="28"/>
          <w:szCs w:val="28"/>
        </w:rPr>
        <w:t>4</w:t>
      </w:r>
      <w:r w:rsidRPr="007B60A5">
        <w:rPr>
          <w:sz w:val="28"/>
          <w:szCs w:val="28"/>
        </w:rPr>
        <w:t xml:space="preserve"> – Морфологические состав ТКО, полученный в результате сортировки отходов, собранных по смешанной системе.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6352"/>
        <w:gridCol w:w="2409"/>
      </w:tblGrid>
      <w:tr w:rsidR="00981AF0" w:rsidRPr="000B188B" w:rsidTr="009C4DAE">
        <w:trPr>
          <w:trHeight w:val="58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rPr>
                <w:color w:val="FF0000"/>
              </w:rPr>
              <w:t xml:space="preserve"> </w:t>
            </w:r>
            <w:r w:rsidRPr="00AB2C48">
              <w:rPr>
                <w:spacing w:val="-11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left="244" w:right="167"/>
              <w:jc w:val="center"/>
            </w:pPr>
            <w:r w:rsidRPr="00AB2C48">
              <w:rPr>
                <w:spacing w:val="-7"/>
              </w:rPr>
              <w:t>Компонент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101"/>
              <w:jc w:val="center"/>
            </w:pPr>
            <w:r w:rsidRPr="00AB2C48">
              <w:rPr>
                <w:spacing w:val="-1"/>
              </w:rPr>
              <w:t>Процентное содержание, % по массе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6"/>
              </w:rPr>
              <w:t>Бумага, картон</w:t>
            </w:r>
            <w:r w:rsidRPr="00AB2C48"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6,00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9"/>
              </w:rPr>
              <w:t>Дерево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4,12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3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2"/>
              </w:rPr>
              <w:t xml:space="preserve">Черный металлолом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2"/>
              </w:rPr>
              <w:t>0,74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4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2"/>
              </w:rPr>
              <w:t>Цветной металло</w:t>
            </w:r>
            <w:r w:rsidRPr="00AB2C48">
              <w:t xml:space="preserve">лом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0,52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5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2"/>
              </w:rPr>
              <w:t>Текстиль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2,21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6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t xml:space="preserve">ПЭТ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2,07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7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  <w:rPr>
                <w:spacing w:val="-8"/>
              </w:rPr>
            </w:pPr>
            <w:r w:rsidRPr="00AB2C48">
              <w:rPr>
                <w:spacing w:val="-8"/>
              </w:rPr>
              <w:t xml:space="preserve">Пластиковые пакеты и пленка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8"/>
              </w:rPr>
              <w:t>5,62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8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  <w:rPr>
                <w:spacing w:val="-8"/>
              </w:rPr>
            </w:pPr>
            <w:r w:rsidRPr="00AB2C48">
              <w:rPr>
                <w:spacing w:val="-8"/>
              </w:rPr>
              <w:t xml:space="preserve">Пластмасса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rPr>
                <w:spacing w:val="-8"/>
              </w:rPr>
              <w:t>4,00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9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10"/>
              </w:rPr>
              <w:t>Стекло</w:t>
            </w:r>
            <w:r w:rsidRPr="00AB2C4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6,45</w:t>
            </w:r>
          </w:p>
        </w:tc>
      </w:tr>
      <w:tr w:rsidR="00981AF0" w:rsidRPr="000B188B" w:rsidTr="009C4DAE">
        <w:trPr>
          <w:trHeight w:hRule="exact" w:val="30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/>
            </w:pPr>
            <w:r w:rsidRPr="00AB2C48">
              <w:t xml:space="preserve">  Биологические отходы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  <w:rPr>
                <w:spacing w:val="-7"/>
              </w:rPr>
            </w:pPr>
            <w:r w:rsidRPr="00AB2C48">
              <w:t>1,37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11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/>
            </w:pPr>
            <w:r w:rsidRPr="00AB2C48">
              <w:t xml:space="preserve">  Тетрапак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0,61</w:t>
            </w:r>
          </w:p>
        </w:tc>
      </w:tr>
      <w:tr w:rsidR="00981AF0" w:rsidRPr="000B188B" w:rsidTr="009C4DAE">
        <w:trPr>
          <w:trHeight w:hRule="exact" w:val="85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br w:type="page"/>
              <w:t>12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t xml:space="preserve">Опасные отходы (батарейки; аккумуляторы; тара от растворителей, красок, лаков; ртутные лампы; лекарства)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0,52</w:t>
            </w:r>
          </w:p>
        </w:tc>
      </w:tr>
      <w:tr w:rsidR="00981AF0" w:rsidRPr="000B188B" w:rsidTr="009C4DAE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hanging="40"/>
              <w:jc w:val="center"/>
            </w:pPr>
            <w:r w:rsidRPr="00AB2C48">
              <w:t>13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-52" w:firstLine="102"/>
            </w:pPr>
            <w:r w:rsidRPr="00AB2C48">
              <w:rPr>
                <w:spacing w:val="-7"/>
              </w:rPr>
              <w:t>Неделимая масса, основной состав - пищевые отходы</w:t>
            </w:r>
            <w:r w:rsidRPr="00AB2C48"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AB2C48" w:rsidRDefault="00981AF0" w:rsidP="009C4DAE">
            <w:pPr>
              <w:shd w:val="clear" w:color="auto" w:fill="FFFFFF"/>
              <w:ind w:right="57" w:firstLine="34"/>
              <w:jc w:val="right"/>
            </w:pPr>
            <w:r w:rsidRPr="00AB2C48">
              <w:t>65,77</w:t>
            </w:r>
          </w:p>
        </w:tc>
      </w:tr>
    </w:tbl>
    <w:p w:rsidR="00981AF0" w:rsidRDefault="00981AF0" w:rsidP="00981AF0">
      <w:pPr>
        <w:ind w:firstLine="567"/>
      </w:pPr>
      <w:bookmarkStart w:id="9" w:name="_Toc460877380"/>
      <w:bookmarkStart w:id="10" w:name="_Toc460963366"/>
      <w:bookmarkStart w:id="11" w:name="_Toc461018914"/>
      <w:bookmarkStart w:id="12" w:name="_Toc461054203"/>
    </w:p>
    <w:p w:rsidR="00981AF0" w:rsidRPr="00F442F1" w:rsidRDefault="00981AF0" w:rsidP="00421DFB">
      <w:pPr>
        <w:pStyle w:val="a9"/>
      </w:pPr>
      <w:r w:rsidRPr="00F442F1">
        <w:t>При указанном составе отходов на сортировочных станциях возможно выделение до 12 процентов полезных вторичных материальных ресурсов при смешанной системе сбора и до 40 процентов при раздельном сборе отходов. Выделение большей доли вторичных ресурсов возможно в результате внедрения раздельного сбора отходов.</w:t>
      </w:r>
      <w:bookmarkEnd w:id="9"/>
      <w:bookmarkEnd w:id="10"/>
      <w:bookmarkEnd w:id="11"/>
      <w:bookmarkEnd w:id="12"/>
    </w:p>
    <w:p w:rsidR="00797D35" w:rsidRPr="00AB2C48" w:rsidRDefault="00EE1690" w:rsidP="007B60A5">
      <w:pPr>
        <w:pStyle w:val="110"/>
        <w:ind w:firstLine="709"/>
      </w:pPr>
      <w:bookmarkStart w:id="13" w:name="_Toc528623147"/>
      <w:bookmarkStart w:id="14" w:name="_Toc8658827"/>
      <w:bookmarkStart w:id="15" w:name="_Toc21342770"/>
      <w:r w:rsidRPr="00AB2C48">
        <w:t>4.</w:t>
      </w:r>
      <w:r w:rsidR="009755F9" w:rsidRPr="00AB2C48">
        <w:t>3</w:t>
      </w:r>
      <w:r w:rsidR="00797D35" w:rsidRPr="00AB2C48">
        <w:t>. Нормативы накопления ТКО и расчет массы образуемых твердых коммунальных отходов</w:t>
      </w:r>
      <w:bookmarkEnd w:id="13"/>
      <w:bookmarkEnd w:id="14"/>
      <w:bookmarkEnd w:id="15"/>
    </w:p>
    <w:p w:rsidR="00797D35" w:rsidRPr="00797D35" w:rsidRDefault="00797D35" w:rsidP="00797D35"/>
    <w:p w:rsidR="005A4FF3" w:rsidRPr="005A4FF3" w:rsidRDefault="005A4FF3" w:rsidP="00421DFB">
      <w:pPr>
        <w:pStyle w:val="a9"/>
      </w:pPr>
      <w:r w:rsidRPr="005A4FF3">
        <w:t>Основными факторами, влияющими на количественные характеристики ТКО любого населенного пункта, являются условия образования отходов, к которым относятся:</w:t>
      </w:r>
    </w:p>
    <w:p w:rsidR="005A4FF3" w:rsidRPr="005A4FF3" w:rsidRDefault="005A4FF3" w:rsidP="00421DFB">
      <w:pPr>
        <w:pStyle w:val="a9"/>
      </w:pPr>
      <w:r w:rsidRPr="005A4FF3">
        <w:t>- численность и плотность населения;</w:t>
      </w:r>
    </w:p>
    <w:p w:rsidR="005A4FF3" w:rsidRPr="005A4FF3" w:rsidRDefault="005A4FF3" w:rsidP="00421DFB">
      <w:pPr>
        <w:pStyle w:val="a9"/>
      </w:pPr>
      <w:r w:rsidRPr="005A4FF3">
        <w:t>- уровень благоустройства жилищного фонда (наличие канализации, централизованного отопления и теплоснабжения, этажность и наличие мусоропровода);</w:t>
      </w:r>
    </w:p>
    <w:p w:rsidR="005A4FF3" w:rsidRPr="005A4FF3" w:rsidRDefault="005A4FF3" w:rsidP="00421DFB">
      <w:pPr>
        <w:pStyle w:val="a9"/>
      </w:pPr>
      <w:r w:rsidRPr="005A4FF3">
        <w:t>- климатические и другие природные условия;</w:t>
      </w:r>
    </w:p>
    <w:p w:rsidR="005A4FF3" w:rsidRPr="005A4FF3" w:rsidRDefault="005A4FF3" w:rsidP="00421DFB">
      <w:pPr>
        <w:pStyle w:val="a9"/>
      </w:pPr>
      <w:r w:rsidRPr="005A4FF3">
        <w:t>- качественные характеристики твердых коммунальных отходов;</w:t>
      </w:r>
    </w:p>
    <w:p w:rsidR="005A4FF3" w:rsidRPr="005A4FF3" w:rsidRDefault="005A4FF3" w:rsidP="00421DFB">
      <w:pPr>
        <w:pStyle w:val="a9"/>
      </w:pPr>
      <w:r w:rsidRPr="005A4FF3">
        <w:t>- архитектурно-планировочная композиция населенного пункта;</w:t>
      </w:r>
    </w:p>
    <w:p w:rsidR="005A4FF3" w:rsidRPr="005A4FF3" w:rsidRDefault="005A4FF3" w:rsidP="00421DFB">
      <w:pPr>
        <w:pStyle w:val="a9"/>
      </w:pPr>
      <w:r w:rsidRPr="005A4FF3">
        <w:t>- состояние и перспектива развития жилой застройки;</w:t>
      </w:r>
    </w:p>
    <w:p w:rsidR="005A4FF3" w:rsidRPr="005A4FF3" w:rsidRDefault="005A4FF3" w:rsidP="00421DFB">
      <w:pPr>
        <w:pStyle w:val="a9"/>
      </w:pPr>
      <w:r w:rsidRPr="005A4FF3">
        <w:t>- экономические возможности.</w:t>
      </w:r>
    </w:p>
    <w:p w:rsidR="005A4FF3" w:rsidRPr="005A4FF3" w:rsidRDefault="005A4FF3" w:rsidP="00421DFB">
      <w:pPr>
        <w:pStyle w:val="a9"/>
      </w:pPr>
      <w:r w:rsidRPr="005A4FF3">
        <w:t xml:space="preserve">Численность населения и нормативы накопления являются основными факторами, определяющими объем образования ТКО. </w:t>
      </w:r>
    </w:p>
    <w:p w:rsidR="005A4FF3" w:rsidRDefault="005A4FF3" w:rsidP="00421DFB">
      <w:pPr>
        <w:pStyle w:val="a9"/>
      </w:pPr>
      <w:r w:rsidRPr="005A4FF3">
        <w:t>Нормативы накопления твердых коммунальных отходов включают в себя данные о нормах накопления отходов с учетом их сезонных изменений.</w:t>
      </w:r>
    </w:p>
    <w:p w:rsidR="005A4FF3" w:rsidRPr="00AB2C48" w:rsidRDefault="005A4FF3" w:rsidP="00421DFB">
      <w:pPr>
        <w:pStyle w:val="a9"/>
        <w:rPr>
          <w:b/>
          <w:szCs w:val="28"/>
        </w:rPr>
      </w:pPr>
      <w:bookmarkStart w:id="16" w:name="_Toc8658828"/>
      <w:bookmarkStart w:id="17" w:name="_Toc8717315"/>
      <w:bookmarkStart w:id="18" w:name="_Toc8717698"/>
      <w:r w:rsidRPr="005A4FF3">
        <w:t xml:space="preserve">Нормативы накопления твёрдых коммунальных отходов </w:t>
      </w:r>
      <w:r w:rsidR="00EF3AD2">
        <w:t>на территории Чувашской Республики</w:t>
      </w:r>
      <w:r w:rsidRPr="00AB2C48">
        <w:rPr>
          <w:szCs w:val="28"/>
        </w:rPr>
        <w:t xml:space="preserve"> утверждены </w:t>
      </w:r>
      <w:hyperlink r:id="rId8" w:history="1">
        <w:r w:rsidR="00FF0DD6" w:rsidRPr="00AB2C48">
          <w:rPr>
            <w:rStyle w:val="a4"/>
            <w:color w:val="auto"/>
            <w:szCs w:val="28"/>
          </w:rPr>
          <w:t>Приказом Министерства</w:t>
        </w:r>
        <w:r w:rsidRPr="00AB2C48">
          <w:rPr>
            <w:rStyle w:val="a4"/>
            <w:color w:val="auto"/>
            <w:szCs w:val="28"/>
          </w:rPr>
          <w:t xml:space="preserve"> строительства, </w:t>
        </w:r>
        <w:r w:rsidR="00EF3AD2">
          <w:rPr>
            <w:rStyle w:val="a4"/>
            <w:color w:val="auto"/>
            <w:szCs w:val="28"/>
          </w:rPr>
          <w:t>архитектуры и жилищно-коммунального хозяйства Чувашской Республики от 14</w:t>
        </w:r>
        <w:r w:rsidRPr="00AB2C48">
          <w:rPr>
            <w:rStyle w:val="a4"/>
            <w:color w:val="auto"/>
            <w:szCs w:val="28"/>
          </w:rPr>
          <w:t xml:space="preserve"> </w:t>
        </w:r>
        <w:r w:rsidR="00EF3AD2">
          <w:rPr>
            <w:rStyle w:val="a4"/>
            <w:color w:val="auto"/>
            <w:szCs w:val="28"/>
          </w:rPr>
          <w:t>ноября</w:t>
        </w:r>
        <w:r w:rsidRPr="00AB2C48">
          <w:rPr>
            <w:rStyle w:val="a4"/>
            <w:color w:val="auto"/>
            <w:szCs w:val="28"/>
          </w:rPr>
          <w:t xml:space="preserve"> 201</w:t>
        </w:r>
        <w:r w:rsidR="00EF3AD2">
          <w:rPr>
            <w:rStyle w:val="a4"/>
            <w:color w:val="auto"/>
            <w:szCs w:val="28"/>
          </w:rPr>
          <w:t>7</w:t>
        </w:r>
        <w:r w:rsidRPr="00AB2C48">
          <w:rPr>
            <w:rStyle w:val="a4"/>
            <w:color w:val="auto"/>
            <w:szCs w:val="28"/>
          </w:rPr>
          <w:t> г. N </w:t>
        </w:r>
        <w:r w:rsidR="00EF3AD2">
          <w:rPr>
            <w:rStyle w:val="a4"/>
            <w:color w:val="auto"/>
            <w:szCs w:val="28"/>
          </w:rPr>
          <w:t>03/1-03/1012</w:t>
        </w:r>
        <w:r w:rsidRPr="00AB2C48">
          <w:rPr>
            <w:rStyle w:val="a4"/>
            <w:color w:val="auto"/>
            <w:szCs w:val="28"/>
          </w:rPr>
          <w:t xml:space="preserve"> "Об у</w:t>
        </w:r>
        <w:r w:rsidR="00EF3AD2">
          <w:rPr>
            <w:rStyle w:val="a4"/>
            <w:color w:val="auto"/>
            <w:szCs w:val="28"/>
          </w:rPr>
          <w:t>тверждении</w:t>
        </w:r>
        <w:r w:rsidRPr="00AB2C48">
          <w:rPr>
            <w:rStyle w:val="a4"/>
            <w:color w:val="auto"/>
            <w:szCs w:val="28"/>
          </w:rPr>
          <w:t xml:space="preserve"> нормативов накопления твёрдых коммунальных отходов на территории </w:t>
        </w:r>
        <w:r w:rsidR="00EF3AD2">
          <w:rPr>
            <w:rStyle w:val="a4"/>
            <w:color w:val="auto"/>
            <w:szCs w:val="28"/>
          </w:rPr>
          <w:t>Чувашской Республики</w:t>
        </w:r>
        <w:r w:rsidRPr="00AB2C48">
          <w:rPr>
            <w:rStyle w:val="a4"/>
            <w:color w:val="auto"/>
            <w:szCs w:val="28"/>
          </w:rPr>
          <w:t>"</w:t>
        </w:r>
      </w:hyperlink>
      <w:r w:rsidR="00BA5119" w:rsidRPr="00AB2C48">
        <w:rPr>
          <w:szCs w:val="28"/>
        </w:rPr>
        <w:t xml:space="preserve"> (Таблица 4.5.)</w:t>
      </w:r>
      <w:bookmarkEnd w:id="16"/>
      <w:bookmarkEnd w:id="17"/>
      <w:bookmarkEnd w:id="18"/>
    </w:p>
    <w:p w:rsidR="00FF0DD6" w:rsidRPr="00AB2C48" w:rsidRDefault="00FF0DD6" w:rsidP="00FF0DD6">
      <w:pPr>
        <w:rPr>
          <w:sz w:val="28"/>
          <w:szCs w:val="28"/>
        </w:rPr>
      </w:pPr>
    </w:p>
    <w:p w:rsidR="00BA5119" w:rsidRDefault="00BA5119" w:rsidP="00AB2C48">
      <w:pPr>
        <w:pStyle w:val="ab"/>
        <w:rPr>
          <w:sz w:val="28"/>
          <w:szCs w:val="28"/>
        </w:rPr>
      </w:pPr>
      <w:r w:rsidRPr="007B60A5">
        <w:rPr>
          <w:sz w:val="28"/>
          <w:szCs w:val="28"/>
        </w:rPr>
        <w:t>Таблица 4.5. Нормативы накопления ТКО</w:t>
      </w:r>
    </w:p>
    <w:p w:rsidR="00EF3AD2" w:rsidRDefault="00EF3AD2" w:rsidP="00AB2C48">
      <w:pPr>
        <w:pStyle w:val="ab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56"/>
        <w:gridCol w:w="1930"/>
        <w:gridCol w:w="1324"/>
        <w:gridCol w:w="1324"/>
        <w:gridCol w:w="1461"/>
      </w:tblGrid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N </w:t>
            </w:r>
          </w:p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п/п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Наименование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Единица измерения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Среднегодовая норма накопления твердых коммунальных отходов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Плотность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/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куб. 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кг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кг/куб. м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Административные здания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административные, офисное учреждение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0,072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13,78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192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банк, финансовое учреждение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0,084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15,10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181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почтовое отделение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0,015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2,76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187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Предприятия торговли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магазин по продаже продовольственных товаров, гастроном, минимаркет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0,760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111,35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147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магазин по продаже непродовольственных товаров, комиссионный магазин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0,310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44,02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142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универсальный магазин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0,520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76,94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148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торговый павильон, киоск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1,633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225,85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138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розничный рынок, ярмарка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торговой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0,491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114,23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233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супермаркет, торговый центр, торговый комплекс, гипермаркет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0,350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49,26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141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2.7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складские помещения и базы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0,150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40,32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269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Предприятия транспортной инфраструктуры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автомастерская, шиномонтажная мастерская, станция технического обслуживания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машино-место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0,099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14,67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148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автозаправочная станция, автомойка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машино-место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0,039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7,34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187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автостоянка и парковка, парковка закрытого типа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машино-место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0,040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7,34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184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3.4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гаражи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машино-место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7,34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105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3.5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железнодорожные и автовокзалы, аэропорты, речные порты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пассажира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0,330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46,11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140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Дошкольные и учебные заведения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дошкольное образовательное учреждение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ребенка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0,161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25,15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156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общеобразовательное учреждение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учащегося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0,159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25,15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158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учащегося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0,150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23,06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154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4.4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детский дом, интернат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ребенка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0,460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68,12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148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Культурно-развлекательные, спортивные учреждения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клуб, кинотеатр, концертный зал, театр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0,069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8,38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121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библиотека, архив, выставочный зал, музей, галерея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0,014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2,54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179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спортивная арена, стадион, каток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13,62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123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5.4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спортивный клуб, центр, комплекс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0,151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32,04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212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5.5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пансионат, дом отдыха, туристическая база, детский оздоровительный лагерь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1,511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267,00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177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Предприятия общественного питания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кафе, ресторан, бар, столовая, закусочная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посадочное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0,299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96,20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322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Предприятия службы быта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мастерская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0,031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5,24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170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швейная мастерская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6,15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205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химчистка и прачечная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6,29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79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7.4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парикмахерская, косметический салон, салон красоты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10,50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105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7.5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гостиница, хостел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0,461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60,80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132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7.6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баня, сауна, оздоровительный центр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0,152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32,04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211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Медицинские учреждения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8.1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аптека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0,179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14,67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82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8.2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больница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койко-место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1,561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241,04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154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8.3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поликлиника, диспансер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2,09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186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8.4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санаторий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место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0,409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53,45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131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Кладбище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захоронение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0,029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6,01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206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Садоводческий кооператив, садово-огородное товарищество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 участник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0,070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7,34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105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Прочие организации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кв. м общей площади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0,610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115,30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189 </w:t>
            </w:r>
          </w:p>
        </w:tc>
      </w:tr>
      <w:tr w:rsidR="00EF3AD2" w:rsidRPr="00660E49" w:rsidTr="00DC57B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</w:pPr>
            <w:r w:rsidRPr="00660E49">
              <w:t xml:space="preserve">Жилые здания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на 1 проживающего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2,020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215,84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3AD2" w:rsidRPr="00660E49" w:rsidRDefault="00EF3AD2" w:rsidP="00DC57B7">
            <w:pPr>
              <w:spacing w:before="100" w:beforeAutospacing="1" w:after="100" w:afterAutospacing="1"/>
              <w:jc w:val="center"/>
            </w:pPr>
            <w:r w:rsidRPr="00660E49">
              <w:t xml:space="preserve">107 </w:t>
            </w:r>
          </w:p>
        </w:tc>
      </w:tr>
    </w:tbl>
    <w:p w:rsidR="00EF3AD2" w:rsidRPr="007B60A5" w:rsidRDefault="00EF3AD2" w:rsidP="00AB2C48">
      <w:pPr>
        <w:pStyle w:val="ab"/>
        <w:rPr>
          <w:sz w:val="28"/>
          <w:szCs w:val="28"/>
        </w:rPr>
      </w:pPr>
    </w:p>
    <w:p w:rsidR="00BA5119" w:rsidRPr="00BA5119" w:rsidRDefault="00BA5119" w:rsidP="00BA5119"/>
    <w:p w:rsidR="001B371F" w:rsidRPr="001B371F" w:rsidRDefault="005A4FF3" w:rsidP="00421DFB">
      <w:pPr>
        <w:pStyle w:val="a9"/>
      </w:pPr>
      <w:r w:rsidRPr="00F442F1">
        <w:t xml:space="preserve">Численность населения </w:t>
      </w:r>
      <w:r w:rsidR="003D7610">
        <w:t xml:space="preserve">Чувашской </w:t>
      </w:r>
      <w:r w:rsidR="003D7610" w:rsidRPr="00421DFB">
        <w:t xml:space="preserve">Республики </w:t>
      </w:r>
      <w:r w:rsidRPr="00F442F1">
        <w:t>принята п</w:t>
      </w:r>
      <w:r w:rsidR="00E62E46">
        <w:t xml:space="preserve">о состоянию на </w:t>
      </w:r>
      <w:r w:rsidR="00126FC6">
        <w:t>01.01.201</w:t>
      </w:r>
      <w:r w:rsidR="003D7610">
        <w:t>9</w:t>
      </w:r>
      <w:r w:rsidR="00126FC6">
        <w:t xml:space="preserve"> года. </w:t>
      </w:r>
      <w:r w:rsidRPr="00F442F1">
        <w:t xml:space="preserve">Распределение </w:t>
      </w:r>
      <w:r w:rsidRPr="00F442F1">
        <w:rPr>
          <w:iCs/>
        </w:rPr>
        <w:t xml:space="preserve">нормообразующих показателей по источникам образования твердых коммунальных отходов при применении расчетных данных осуществлялось пропорционально численности населения муниципального образования, в равных долях по всем </w:t>
      </w:r>
      <w:r w:rsidR="001B371F">
        <w:rPr>
          <w:iCs/>
        </w:rPr>
        <w:t xml:space="preserve">объектам общественного назначения - </w:t>
      </w:r>
      <w:r w:rsidRPr="00F442F1">
        <w:rPr>
          <w:iCs/>
        </w:rPr>
        <w:t xml:space="preserve">источникам образования твердых коммунальных отходов. </w:t>
      </w:r>
      <w:r w:rsidR="001B371F" w:rsidRPr="001B371F">
        <w:t xml:space="preserve">Количество ТКО от объектов </w:t>
      </w:r>
      <w:r w:rsidR="001B371F">
        <w:t>общественного назначения принято от 10 до 40</w:t>
      </w:r>
      <w:r w:rsidR="001B371F" w:rsidRPr="001B371F">
        <w:t xml:space="preserve"> </w:t>
      </w:r>
      <w:r w:rsidR="001B371F">
        <w:t>%</w:t>
      </w:r>
      <w:r w:rsidR="001B371F" w:rsidRPr="001B371F">
        <w:t xml:space="preserve"> от </w:t>
      </w:r>
      <w:r w:rsidR="001B371F">
        <w:t xml:space="preserve">общего количества </w:t>
      </w:r>
      <w:r w:rsidR="001B371F" w:rsidRPr="001B371F">
        <w:t>ТКО.</w:t>
      </w:r>
    </w:p>
    <w:p w:rsidR="001B371F" w:rsidRPr="001B371F" w:rsidRDefault="001B371F" w:rsidP="00421DFB">
      <w:pPr>
        <w:pStyle w:val="a9"/>
      </w:pPr>
      <w:r w:rsidRPr="001B371F">
        <w:t>Для РФ доля Т</w:t>
      </w:r>
      <w:r w:rsidR="00D64DCA">
        <w:t>К</w:t>
      </w:r>
      <w:r w:rsidRPr="001B371F">
        <w:t>О, образующихся в жилом секторе составляет 60-80% от общего количества городских отходов в зависимости от размера населенного пункта и уровня развития его инфраструктуры (Управление отходами. Полигоны захоронения твердых бытовых отходов /Я.И. Вайсман и др. – Пермь: Издательство Пермского государственного технического университета 2007</w:t>
      </w:r>
      <w:r w:rsidR="00D8510C">
        <w:t xml:space="preserve"> </w:t>
      </w:r>
      <w:r w:rsidRPr="001B371F">
        <w:t>г.)</w:t>
      </w:r>
    </w:p>
    <w:p w:rsidR="005A4FF3" w:rsidRPr="00EF3AD2" w:rsidRDefault="005A4FF3" w:rsidP="00421DFB">
      <w:pPr>
        <w:pStyle w:val="a9"/>
        <w:rPr>
          <w:iCs/>
        </w:rPr>
      </w:pPr>
      <w:r w:rsidRPr="00EF3AD2">
        <w:t xml:space="preserve">Сводные результаты расчета количества и объема образующихся твердых коммунальных отходов по муниципальным образованиям приведены в </w:t>
      </w:r>
      <w:r w:rsidR="001B371F" w:rsidRPr="00EF3AD2">
        <w:t>Приложени</w:t>
      </w:r>
      <w:r w:rsidR="00D8510C">
        <w:t>и</w:t>
      </w:r>
      <w:r w:rsidR="001B371F" w:rsidRPr="00EF3AD2">
        <w:t xml:space="preserve"> 4.3.</w:t>
      </w:r>
      <w:r w:rsidRPr="00EF3AD2">
        <w:t xml:space="preserve"> Результаты расчета количества твердых </w:t>
      </w:r>
      <w:r w:rsidRPr="00EF3AD2">
        <w:rPr>
          <w:iCs/>
        </w:rPr>
        <w:t xml:space="preserve">коммунальных отходов, образующихся на территории </w:t>
      </w:r>
      <w:r w:rsidR="003D7610" w:rsidRPr="00EF3AD2">
        <w:t xml:space="preserve">Чувашской Республики </w:t>
      </w:r>
      <w:r w:rsidR="001B371F" w:rsidRPr="00EF3AD2">
        <w:rPr>
          <w:iCs/>
        </w:rPr>
        <w:t>по морфологическому составу представлены в приложении 4.4.</w:t>
      </w:r>
    </w:p>
    <w:p w:rsidR="007F36B8" w:rsidRDefault="005A4FF3" w:rsidP="00421DFB">
      <w:pPr>
        <w:pStyle w:val="a9"/>
      </w:pPr>
      <w:r w:rsidRPr="00F442F1">
        <w:t xml:space="preserve">Общее расчетное количество твердых коммунальных отходов, образующихся на территории </w:t>
      </w:r>
      <w:r w:rsidR="001B371F">
        <w:t>Республики Карели</w:t>
      </w:r>
      <w:bookmarkStart w:id="19" w:name="_GoBack"/>
      <w:bookmarkEnd w:id="19"/>
      <w:r w:rsidR="001B371F">
        <w:t xml:space="preserve">я </w:t>
      </w:r>
      <w:r w:rsidRPr="00F442F1">
        <w:t xml:space="preserve">в течение года, составляет </w:t>
      </w:r>
      <w:r w:rsidR="00D8510C" w:rsidRPr="00D8510C">
        <w:rPr>
          <w:b/>
        </w:rPr>
        <w:t>345024</w:t>
      </w:r>
      <w:r w:rsidR="001B371F" w:rsidRPr="001B371F">
        <w:rPr>
          <w:b/>
        </w:rPr>
        <w:t>,</w:t>
      </w:r>
      <w:r w:rsidR="00D8510C">
        <w:rPr>
          <w:b/>
        </w:rPr>
        <w:t>98</w:t>
      </w:r>
      <w:r w:rsidR="001B371F">
        <w:rPr>
          <w:b/>
        </w:rPr>
        <w:t xml:space="preserve"> </w:t>
      </w:r>
      <w:r w:rsidRPr="00F442F1">
        <w:t>тонн.</w:t>
      </w:r>
      <w:bookmarkStart w:id="20" w:name="_Toc8658839"/>
    </w:p>
    <w:bookmarkEnd w:id="20"/>
    <w:sectPr w:rsidR="007F36B8" w:rsidSect="00763421">
      <w:foot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E2" w:rsidRDefault="009E20E2" w:rsidP="001B7298">
      <w:r>
        <w:separator/>
      </w:r>
    </w:p>
  </w:endnote>
  <w:endnote w:type="continuationSeparator" w:id="0">
    <w:p w:rsidR="009E20E2" w:rsidRDefault="009E20E2" w:rsidP="001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20672205"/>
      <w:docPartObj>
        <w:docPartGallery w:val="Page Numbers (Bottom of Page)"/>
        <w:docPartUnique/>
      </w:docPartObj>
    </w:sdtPr>
    <w:sdtEndPr/>
    <w:sdtContent>
      <w:p w:rsidR="003D7610" w:rsidRPr="005370A5" w:rsidRDefault="003D7610">
        <w:pPr>
          <w:pStyle w:val="af0"/>
          <w:jc w:val="center"/>
          <w:rPr>
            <w:rFonts w:ascii="Times New Roman" w:hAnsi="Times New Roman" w:cs="Times New Roman"/>
          </w:rPr>
        </w:pPr>
        <w:r w:rsidRPr="005370A5">
          <w:rPr>
            <w:rFonts w:ascii="Times New Roman" w:hAnsi="Times New Roman" w:cs="Times New Roman"/>
          </w:rPr>
          <w:fldChar w:fldCharType="begin"/>
        </w:r>
        <w:r w:rsidRPr="005370A5">
          <w:rPr>
            <w:rFonts w:ascii="Times New Roman" w:hAnsi="Times New Roman" w:cs="Times New Roman"/>
          </w:rPr>
          <w:instrText>PAGE   \* MERGEFORMAT</w:instrText>
        </w:r>
        <w:r w:rsidRPr="005370A5">
          <w:rPr>
            <w:rFonts w:ascii="Times New Roman" w:hAnsi="Times New Roman" w:cs="Times New Roman"/>
          </w:rPr>
          <w:fldChar w:fldCharType="separate"/>
        </w:r>
        <w:r w:rsidR="004174E1">
          <w:rPr>
            <w:rFonts w:ascii="Times New Roman" w:hAnsi="Times New Roman" w:cs="Times New Roman"/>
            <w:noProof/>
          </w:rPr>
          <w:t>12</w:t>
        </w:r>
        <w:r w:rsidRPr="005370A5">
          <w:rPr>
            <w:rFonts w:ascii="Times New Roman" w:hAnsi="Times New Roman" w:cs="Times New Roman"/>
          </w:rPr>
          <w:fldChar w:fldCharType="end"/>
        </w:r>
      </w:p>
    </w:sdtContent>
  </w:sdt>
  <w:p w:rsidR="003D7610" w:rsidRPr="005370A5" w:rsidRDefault="003D7610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E2" w:rsidRDefault="009E20E2" w:rsidP="001B7298">
      <w:r>
        <w:separator/>
      </w:r>
    </w:p>
  </w:footnote>
  <w:footnote w:type="continuationSeparator" w:id="0">
    <w:p w:rsidR="009E20E2" w:rsidRDefault="009E20E2" w:rsidP="001B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85EAF"/>
    <w:multiLevelType w:val="hybridMultilevel"/>
    <w:tmpl w:val="E2F44D30"/>
    <w:lvl w:ilvl="0" w:tplc="20EA2BB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CE5633"/>
    <w:multiLevelType w:val="hybridMultilevel"/>
    <w:tmpl w:val="4CC8FEC2"/>
    <w:lvl w:ilvl="0" w:tplc="FFFFFFFF">
      <w:start w:val="1"/>
      <w:numFmt w:val="bullet"/>
      <w:lvlText w:val=""/>
      <w:lvlJc w:val="left"/>
      <w:pPr>
        <w:tabs>
          <w:tab w:val="num" w:pos="1647"/>
        </w:tabs>
        <w:ind w:left="1590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851223"/>
    <w:multiLevelType w:val="multilevel"/>
    <w:tmpl w:val="0CDCA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CF82B18"/>
    <w:multiLevelType w:val="multilevel"/>
    <w:tmpl w:val="4C4A1DA0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36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isLgl/>
      <w:lvlText w:val="Таблица %1.%5 - "/>
      <w:lvlJc w:val="left"/>
      <w:pPr>
        <w:ind w:left="164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abstractNum w:abstractNumId="4" w15:restartNumberingAfterBreak="0">
    <w:nsid w:val="7FBD55DD"/>
    <w:multiLevelType w:val="hybridMultilevel"/>
    <w:tmpl w:val="21EE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C4B"/>
    <w:rsid w:val="0002580F"/>
    <w:rsid w:val="00076588"/>
    <w:rsid w:val="000B188B"/>
    <w:rsid w:val="000E174A"/>
    <w:rsid w:val="001129C0"/>
    <w:rsid w:val="00126FC6"/>
    <w:rsid w:val="00131144"/>
    <w:rsid w:val="00191865"/>
    <w:rsid w:val="00193734"/>
    <w:rsid w:val="001B371F"/>
    <w:rsid w:val="001B4DCD"/>
    <w:rsid w:val="001B7298"/>
    <w:rsid w:val="0022166A"/>
    <w:rsid w:val="002472AA"/>
    <w:rsid w:val="00272DFC"/>
    <w:rsid w:val="00316A2C"/>
    <w:rsid w:val="0032040F"/>
    <w:rsid w:val="00344617"/>
    <w:rsid w:val="00387BD9"/>
    <w:rsid w:val="003D7610"/>
    <w:rsid w:val="004174E1"/>
    <w:rsid w:val="00421DFB"/>
    <w:rsid w:val="00425D94"/>
    <w:rsid w:val="00460682"/>
    <w:rsid w:val="004B3A15"/>
    <w:rsid w:val="0053063F"/>
    <w:rsid w:val="005370A5"/>
    <w:rsid w:val="00565D56"/>
    <w:rsid w:val="005A4FF3"/>
    <w:rsid w:val="005C1314"/>
    <w:rsid w:val="005D43B9"/>
    <w:rsid w:val="006264D3"/>
    <w:rsid w:val="006540BD"/>
    <w:rsid w:val="006641DA"/>
    <w:rsid w:val="006B0C6C"/>
    <w:rsid w:val="00740EA9"/>
    <w:rsid w:val="00763421"/>
    <w:rsid w:val="00792519"/>
    <w:rsid w:val="00795A59"/>
    <w:rsid w:val="00797D35"/>
    <w:rsid w:val="007B60A5"/>
    <w:rsid w:val="007F36B8"/>
    <w:rsid w:val="008354F7"/>
    <w:rsid w:val="0088613E"/>
    <w:rsid w:val="00896B2C"/>
    <w:rsid w:val="008B230A"/>
    <w:rsid w:val="009160B4"/>
    <w:rsid w:val="00922A95"/>
    <w:rsid w:val="00965884"/>
    <w:rsid w:val="009755F9"/>
    <w:rsid w:val="00981AF0"/>
    <w:rsid w:val="009844C1"/>
    <w:rsid w:val="009C4DAE"/>
    <w:rsid w:val="009E20E2"/>
    <w:rsid w:val="00A466C0"/>
    <w:rsid w:val="00A55B59"/>
    <w:rsid w:val="00A7646F"/>
    <w:rsid w:val="00A82145"/>
    <w:rsid w:val="00AA4C4B"/>
    <w:rsid w:val="00AB2C48"/>
    <w:rsid w:val="00AB6DDC"/>
    <w:rsid w:val="00AC7DAB"/>
    <w:rsid w:val="00B03FA9"/>
    <w:rsid w:val="00B26585"/>
    <w:rsid w:val="00B42CD8"/>
    <w:rsid w:val="00BA1D03"/>
    <w:rsid w:val="00BA5119"/>
    <w:rsid w:val="00BC5FAE"/>
    <w:rsid w:val="00BC6E40"/>
    <w:rsid w:val="00BD3E54"/>
    <w:rsid w:val="00C07EC2"/>
    <w:rsid w:val="00C1061A"/>
    <w:rsid w:val="00C4011B"/>
    <w:rsid w:val="00C461D6"/>
    <w:rsid w:val="00C569A0"/>
    <w:rsid w:val="00C61C3E"/>
    <w:rsid w:val="00C82BF8"/>
    <w:rsid w:val="00CC5391"/>
    <w:rsid w:val="00CE0FFC"/>
    <w:rsid w:val="00D02EE7"/>
    <w:rsid w:val="00D11020"/>
    <w:rsid w:val="00D54E28"/>
    <w:rsid w:val="00D64DCA"/>
    <w:rsid w:val="00D8510C"/>
    <w:rsid w:val="00D90121"/>
    <w:rsid w:val="00E62E46"/>
    <w:rsid w:val="00EB2BD2"/>
    <w:rsid w:val="00EB567C"/>
    <w:rsid w:val="00EE1690"/>
    <w:rsid w:val="00EF3AD2"/>
    <w:rsid w:val="00F4039A"/>
    <w:rsid w:val="00F546D6"/>
    <w:rsid w:val="00FA7949"/>
    <w:rsid w:val="00FC6099"/>
    <w:rsid w:val="00FD3762"/>
    <w:rsid w:val="00FE60E9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8643F2-3156-41DB-A9AA-EFCE534C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AA4C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B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1B7298"/>
    <w:pPr>
      <w:keepNext w:val="0"/>
      <w:keepLines w:val="0"/>
      <w:spacing w:before="0" w:after="240"/>
      <w:contextualSpacing/>
      <w:outlineLvl w:val="2"/>
    </w:pPr>
    <w:rPr>
      <w:rFonts w:ascii="Times New Roman" w:eastAsia="Calibri" w:hAnsi="Times New Roman" w:cstheme="minorBidi"/>
      <w:bCs w:val="0"/>
      <w:color w:val="auto"/>
      <w:sz w:val="24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B7298"/>
    <w:pPr>
      <w:keepNext/>
      <w:keepLines/>
      <w:spacing w:before="40" w:line="259" w:lineRule="auto"/>
      <w:ind w:firstLine="708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4C4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A4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C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AA4C4B"/>
    <w:rPr>
      <w:b/>
      <w:bCs/>
      <w:color w:val="008000"/>
    </w:rPr>
  </w:style>
  <w:style w:type="paragraph" w:styleId="a5">
    <w:name w:val="Balloon Text"/>
    <w:basedOn w:val="a0"/>
    <w:link w:val="a6"/>
    <w:uiPriority w:val="99"/>
    <w:semiHidden/>
    <w:unhideWhenUsed/>
    <w:rsid w:val="00AA4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D3762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D3762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D3762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D3762"/>
    <w:rPr>
      <w:rFonts w:cs="Helios"/>
      <w:color w:val="000000"/>
      <w:sz w:val="17"/>
      <w:szCs w:val="17"/>
    </w:rPr>
  </w:style>
  <w:style w:type="character" w:customStyle="1" w:styleId="A12">
    <w:name w:val="A12"/>
    <w:uiPriority w:val="99"/>
    <w:rsid w:val="00FD3762"/>
    <w:rPr>
      <w:rFonts w:cs="Helios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table" w:styleId="a7">
    <w:name w:val="Table Grid"/>
    <w:basedOn w:val="a2"/>
    <w:uiPriority w:val="59"/>
    <w:rsid w:val="00FD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1."/>
    <w:basedOn w:val="a8"/>
    <w:qFormat/>
    <w:rsid w:val="00FD3762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10">
    <w:name w:val="_1.1."/>
    <w:basedOn w:val="2"/>
    <w:qFormat/>
    <w:rsid w:val="001129C0"/>
    <w:pPr>
      <w:spacing w:before="320" w:after="120" w:line="276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_Абзац"/>
    <w:basedOn w:val="a0"/>
    <w:link w:val="aa"/>
    <w:qFormat/>
    <w:rsid w:val="00AB2C48"/>
    <w:pPr>
      <w:spacing w:line="360" w:lineRule="auto"/>
      <w:ind w:firstLine="709"/>
      <w:jc w:val="both"/>
    </w:pPr>
    <w:rPr>
      <w:sz w:val="28"/>
      <w:szCs w:val="26"/>
    </w:rPr>
  </w:style>
  <w:style w:type="paragraph" w:customStyle="1" w:styleId="111">
    <w:name w:val="_1.1.1."/>
    <w:basedOn w:val="a8"/>
    <w:link w:val="1110"/>
    <w:qFormat/>
    <w:rsid w:val="00FD3762"/>
    <w:pPr>
      <w:keepNext/>
      <w:numPr>
        <w:ilvl w:val="2"/>
        <w:numId w:val="2"/>
      </w:numPr>
      <w:spacing w:after="160"/>
      <w:outlineLvl w:val="2"/>
    </w:pPr>
    <w:rPr>
      <w:rFonts w:eastAsiaTheme="minorHAnsi"/>
      <w:b/>
      <w:sz w:val="26"/>
      <w:szCs w:val="26"/>
      <w:lang w:eastAsia="en-US"/>
    </w:rPr>
  </w:style>
  <w:style w:type="character" w:customStyle="1" w:styleId="aa">
    <w:name w:val="_Абзац Знак"/>
    <w:basedOn w:val="a1"/>
    <w:link w:val="a9"/>
    <w:rsid w:val="00AB2C4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110">
    <w:name w:val="_1.1.1. Знак"/>
    <w:basedOn w:val="a1"/>
    <w:link w:val="111"/>
    <w:rsid w:val="00FD3762"/>
    <w:rPr>
      <w:rFonts w:ascii="Times New Roman" w:hAnsi="Times New Roman" w:cs="Times New Roman"/>
      <w:b/>
      <w:sz w:val="26"/>
      <w:szCs w:val="26"/>
    </w:rPr>
  </w:style>
  <w:style w:type="paragraph" w:customStyle="1" w:styleId="a">
    <w:name w:val="_Рисунок"/>
    <w:basedOn w:val="1"/>
    <w:qFormat/>
    <w:rsid w:val="00FD3762"/>
    <w:pPr>
      <w:keepNext w:val="0"/>
      <w:numPr>
        <w:ilvl w:val="3"/>
      </w:numPr>
      <w:outlineLvl w:val="9"/>
    </w:pPr>
    <w:rPr>
      <w:b w:val="0"/>
    </w:rPr>
  </w:style>
  <w:style w:type="paragraph" w:customStyle="1" w:styleId="ab">
    <w:name w:val="_Таблица"/>
    <w:basedOn w:val="Pa10"/>
    <w:qFormat/>
    <w:rsid w:val="00AB2C48"/>
    <w:pPr>
      <w:spacing w:after="100"/>
      <w:jc w:val="both"/>
    </w:pPr>
    <w:rPr>
      <w:rFonts w:ascii="Times New Roman" w:hAnsi="Times New Roman" w:cs="Times New Roman"/>
      <w:iCs/>
      <w:color w:val="000000"/>
    </w:rPr>
  </w:style>
  <w:style w:type="paragraph" w:styleId="a8">
    <w:name w:val="List Paragraph"/>
    <w:aliases w:val="it_List1,Ненумерованный список,List Paragraph"/>
    <w:basedOn w:val="a0"/>
    <w:link w:val="ac"/>
    <w:uiPriority w:val="34"/>
    <w:qFormat/>
    <w:rsid w:val="00FD376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B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B7298"/>
    <w:rPr>
      <w:rFonts w:ascii="Times New Roman" w:eastAsia="Calibri" w:hAnsi="Times New Roman"/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1B729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d">
    <w:name w:val="No Spacing"/>
    <w:uiPriority w:val="1"/>
    <w:qFormat/>
    <w:rsid w:val="001B7298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Title"/>
    <w:basedOn w:val="10"/>
    <w:next w:val="a0"/>
    <w:link w:val="12"/>
    <w:uiPriority w:val="10"/>
    <w:qFormat/>
    <w:rsid w:val="001B7298"/>
    <w:pPr>
      <w:keepNext w:val="0"/>
      <w:spacing w:before="0" w:after="160" w:line="276" w:lineRule="auto"/>
      <w:contextualSpacing/>
    </w:pPr>
    <w:rPr>
      <w:rFonts w:ascii="Times New Roman" w:eastAsiaTheme="minorHAnsi" w:hAnsi="Times New Roman" w:cstheme="minorBidi"/>
      <w:bCs w:val="0"/>
      <w:caps/>
      <w:kern w:val="0"/>
      <w:sz w:val="24"/>
      <w:szCs w:val="22"/>
      <w:lang w:eastAsia="en-US"/>
    </w:rPr>
  </w:style>
  <w:style w:type="character" w:customStyle="1" w:styleId="af">
    <w:name w:val="Название Знак"/>
    <w:basedOn w:val="a1"/>
    <w:uiPriority w:val="10"/>
    <w:rsid w:val="001B7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1"/>
    <w:link w:val="ae"/>
    <w:uiPriority w:val="10"/>
    <w:rsid w:val="001B7298"/>
    <w:rPr>
      <w:rFonts w:ascii="Times New Roman" w:hAnsi="Times New Roman"/>
      <w:b/>
      <w:caps/>
      <w:sz w:val="24"/>
    </w:rPr>
  </w:style>
  <w:style w:type="paragraph" w:styleId="af0">
    <w:name w:val="footer"/>
    <w:basedOn w:val="a0"/>
    <w:link w:val="13"/>
    <w:uiPriority w:val="99"/>
    <w:rsid w:val="001B7298"/>
    <w:pPr>
      <w:suppressLineNumbers/>
      <w:tabs>
        <w:tab w:val="center" w:pos="4677"/>
        <w:tab w:val="right" w:pos="9355"/>
      </w:tabs>
      <w:suppressAutoHyphens/>
      <w:spacing w:line="100" w:lineRule="atLeast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1">
    <w:name w:val="Нижний колонтитул Знак"/>
    <w:basedOn w:val="a1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link w:val="af0"/>
    <w:uiPriority w:val="99"/>
    <w:rsid w:val="001B7298"/>
    <w:rPr>
      <w:rFonts w:ascii="Calibri" w:eastAsia="SimSun" w:hAnsi="Calibri" w:cs="Calibri"/>
      <w:kern w:val="1"/>
      <w:lang w:eastAsia="ar-SA"/>
    </w:rPr>
  </w:style>
  <w:style w:type="character" w:styleId="af2">
    <w:name w:val="page number"/>
    <w:basedOn w:val="a1"/>
    <w:rsid w:val="001B7298"/>
  </w:style>
  <w:style w:type="paragraph" w:styleId="af3">
    <w:name w:val="header"/>
    <w:aliases w:val="ВерхКолонтитул,ВерхКолонтитул Знак,ВерхКолонтитул Знак Знак Знак Знак Знак,ВерхКолонтитул Знак Знак Знак Знак"/>
    <w:basedOn w:val="a0"/>
    <w:link w:val="af4"/>
    <w:uiPriority w:val="99"/>
    <w:rsid w:val="001B7298"/>
    <w:pPr>
      <w:widowControl w:val="0"/>
      <w:tabs>
        <w:tab w:val="center" w:pos="4677"/>
        <w:tab w:val="right" w:pos="9355"/>
      </w:tabs>
      <w:jc w:val="both"/>
    </w:pPr>
  </w:style>
  <w:style w:type="character" w:customStyle="1" w:styleId="af4">
    <w:name w:val="Верхний колонтитул Знак"/>
    <w:aliases w:val="ВерхКолонтитул Знак1,ВерхКолонтитул Знак Знак,ВерхКолонтитул Знак Знак Знак Знак Знак Знак,ВерхКолонтитул Знак Знак Знак Знак Знак1"/>
    <w:basedOn w:val="a1"/>
    <w:link w:val="af3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0"/>
    <w:next w:val="a0"/>
    <w:link w:val="af6"/>
    <w:unhideWhenUsed/>
    <w:qFormat/>
    <w:rsid w:val="001B7298"/>
    <w:pPr>
      <w:spacing w:after="200"/>
      <w:ind w:firstLine="708"/>
      <w:jc w:val="right"/>
    </w:pPr>
    <w:rPr>
      <w:i/>
      <w:iCs/>
      <w:szCs w:val="20"/>
      <w:lang w:eastAsia="en-US"/>
    </w:rPr>
  </w:style>
  <w:style w:type="paragraph" w:customStyle="1" w:styleId="120">
    <w:name w:val="Стиль Название объекта + 12 пт По правому краю"/>
    <w:basedOn w:val="af5"/>
    <w:qFormat/>
    <w:rsid w:val="001B7298"/>
  </w:style>
  <w:style w:type="paragraph" w:styleId="af7">
    <w:name w:val="footnote text"/>
    <w:basedOn w:val="a0"/>
    <w:link w:val="af8"/>
    <w:semiHidden/>
    <w:unhideWhenUsed/>
    <w:rsid w:val="001B7298"/>
    <w:pPr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semiHidden/>
    <w:rsid w:val="001B729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nhideWhenUsed/>
    <w:rsid w:val="001B7298"/>
    <w:rPr>
      <w:vertAlign w:val="superscript"/>
    </w:rPr>
  </w:style>
  <w:style w:type="character" w:styleId="afa">
    <w:name w:val="Hyperlink"/>
    <w:basedOn w:val="a1"/>
    <w:uiPriority w:val="99"/>
    <w:unhideWhenUsed/>
    <w:rsid w:val="001B7298"/>
    <w:rPr>
      <w:color w:val="0000FF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1B7298"/>
    <w:rPr>
      <w:color w:val="800080"/>
      <w:u w:val="single"/>
    </w:rPr>
  </w:style>
  <w:style w:type="paragraph" w:customStyle="1" w:styleId="msonormal0">
    <w:name w:val="msonormal"/>
    <w:basedOn w:val="a0"/>
    <w:rsid w:val="001B7298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B7298"/>
    <w:pPr>
      <w:spacing w:before="100" w:beforeAutospacing="1" w:after="100" w:afterAutospacing="1"/>
    </w:pPr>
  </w:style>
  <w:style w:type="paragraph" w:customStyle="1" w:styleId="21">
    <w:name w:val="2 уровень"/>
    <w:basedOn w:val="3"/>
    <w:link w:val="22"/>
    <w:rsid w:val="001B7298"/>
    <w:pPr>
      <w:suppressAutoHyphens/>
    </w:pPr>
    <w:rPr>
      <w:b w:val="0"/>
      <w:bCs/>
      <w:kern w:val="1"/>
      <w:lang w:eastAsia="ar-SA"/>
    </w:rPr>
  </w:style>
  <w:style w:type="character" w:customStyle="1" w:styleId="22">
    <w:name w:val="2 уровень Знак"/>
    <w:basedOn w:val="a1"/>
    <w:link w:val="21"/>
    <w:rsid w:val="001B7298"/>
    <w:rPr>
      <w:rFonts w:ascii="Times New Roman" w:eastAsia="Calibri" w:hAnsi="Times New Roman"/>
      <w:bCs/>
      <w:kern w:val="1"/>
      <w:sz w:val="24"/>
      <w:lang w:eastAsia="ar-SA"/>
    </w:rPr>
  </w:style>
  <w:style w:type="paragraph" w:customStyle="1" w:styleId="xl65">
    <w:name w:val="xl65"/>
    <w:basedOn w:val="a0"/>
    <w:rsid w:val="001B7298"/>
    <w:pPr>
      <w:spacing w:before="100" w:beforeAutospacing="1" w:after="100" w:afterAutospacing="1"/>
    </w:pPr>
  </w:style>
  <w:style w:type="paragraph" w:customStyle="1" w:styleId="xl66">
    <w:name w:val="xl66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c">
    <w:name w:val="Strong"/>
    <w:basedOn w:val="a1"/>
    <w:uiPriority w:val="22"/>
    <w:qFormat/>
    <w:rsid w:val="001B7298"/>
    <w:rPr>
      <w:b/>
      <w:bCs/>
    </w:rPr>
  </w:style>
  <w:style w:type="paragraph" w:styleId="afd">
    <w:name w:val="Normal (Web)"/>
    <w:aliases w:val="Обычный (Web)"/>
    <w:basedOn w:val="a0"/>
    <w:link w:val="afe"/>
    <w:uiPriority w:val="99"/>
    <w:unhideWhenUsed/>
    <w:qFormat/>
    <w:rsid w:val="001B7298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customStyle="1" w:styleId="afe">
    <w:name w:val="Обычный (веб) Знак"/>
    <w:aliases w:val="Обычный (Web) Знак"/>
    <w:basedOn w:val="a1"/>
    <w:link w:val="afd"/>
    <w:uiPriority w:val="99"/>
    <w:rsid w:val="001B72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ГОСТ"/>
    <w:basedOn w:val="a0"/>
    <w:link w:val="aff0"/>
    <w:qFormat/>
    <w:rsid w:val="001B7298"/>
    <w:pPr>
      <w:suppressAutoHyphens/>
      <w:spacing w:line="360" w:lineRule="auto"/>
      <w:ind w:firstLine="709"/>
      <w:jc w:val="both"/>
    </w:pPr>
    <w:rPr>
      <w:rFonts w:eastAsia="SimSun"/>
      <w:color w:val="000000"/>
      <w:kern w:val="1"/>
      <w:lang w:eastAsia="ar-SA"/>
    </w:rPr>
  </w:style>
  <w:style w:type="character" w:customStyle="1" w:styleId="aff0">
    <w:name w:val="ГОСТ Знак"/>
    <w:basedOn w:val="a1"/>
    <w:link w:val="aff"/>
    <w:rsid w:val="001B7298"/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c">
    <w:name w:val="Абзац списка Знак"/>
    <w:aliases w:val="it_List1 Знак,Ненумерованный список Знак,List Paragraph Знак"/>
    <w:link w:val="a8"/>
    <w:uiPriority w:val="34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0"/>
    <w:link w:val="aff2"/>
    <w:qFormat/>
    <w:rsid w:val="001B7298"/>
    <w:pPr>
      <w:suppressAutoHyphens/>
      <w:spacing w:after="120" w:line="276" w:lineRule="auto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f2">
    <w:name w:val="Основной текст Знак"/>
    <w:basedOn w:val="a1"/>
    <w:link w:val="aff1"/>
    <w:rsid w:val="001B7298"/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rsid w:val="001B7298"/>
  </w:style>
  <w:style w:type="paragraph" w:customStyle="1" w:styleId="14">
    <w:name w:val="1 уровень"/>
    <w:basedOn w:val="10"/>
    <w:next w:val="a0"/>
    <w:link w:val="15"/>
    <w:rsid w:val="001B7298"/>
    <w:pPr>
      <w:keepNext w:val="0"/>
      <w:keepLines/>
      <w:suppressAutoHyphens/>
      <w:spacing w:before="0" w:after="240"/>
      <w:contextualSpacing/>
    </w:pPr>
    <w:rPr>
      <w:rFonts w:ascii="Times New Roman" w:eastAsia="SimSun" w:hAnsi="Times New Roman"/>
      <w:bCs w:val="0"/>
      <w:caps/>
      <w:kern w:val="24"/>
      <w:sz w:val="24"/>
      <w:szCs w:val="24"/>
      <w:lang w:eastAsia="ar-SA"/>
    </w:rPr>
  </w:style>
  <w:style w:type="character" w:customStyle="1" w:styleId="15">
    <w:name w:val="1 уровень Знак"/>
    <w:basedOn w:val="a1"/>
    <w:link w:val="14"/>
    <w:rsid w:val="001B7298"/>
    <w:rPr>
      <w:rFonts w:ascii="Times New Roman" w:eastAsia="SimSun" w:hAnsi="Times New Roman" w:cs="Times New Roman"/>
      <w:b/>
      <w:caps/>
      <w:kern w:val="24"/>
      <w:sz w:val="24"/>
      <w:szCs w:val="24"/>
      <w:lang w:eastAsia="ar-SA"/>
    </w:rPr>
  </w:style>
  <w:style w:type="character" w:customStyle="1" w:styleId="af6">
    <w:name w:val="Название объекта Знак"/>
    <w:aliases w:val="Таблица название Знак,Название объекта Знак1 Знак1,Название объекта Знак Знак Знак2,Название объекта Знак Знак Знак Знак1,Название таблицы Знак1,рисунка Знак1,Таблица_номер_справа_12 Знак1"/>
    <w:basedOn w:val="a1"/>
    <w:link w:val="af5"/>
    <w:rsid w:val="001B7298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ff3">
    <w:name w:val="Текст таблицы"/>
    <w:basedOn w:val="a0"/>
    <w:link w:val="aff4"/>
    <w:uiPriority w:val="99"/>
    <w:rsid w:val="001B7298"/>
    <w:pPr>
      <w:jc w:val="both"/>
      <w:textAlignment w:val="baseline"/>
    </w:pPr>
    <w:rPr>
      <w:rFonts w:eastAsia="Calibri"/>
      <w:lang w:eastAsia="en-US"/>
    </w:rPr>
  </w:style>
  <w:style w:type="character" w:customStyle="1" w:styleId="aff4">
    <w:name w:val="Текст таблицы Знак"/>
    <w:link w:val="aff3"/>
    <w:uiPriority w:val="99"/>
    <w:locked/>
    <w:rsid w:val="001B7298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3  уровень"/>
    <w:basedOn w:val="a0"/>
    <w:link w:val="32"/>
    <w:qFormat/>
    <w:rsid w:val="001B7298"/>
    <w:pPr>
      <w:jc w:val="both"/>
    </w:pPr>
    <w:rPr>
      <w:u w:val="single"/>
    </w:rPr>
  </w:style>
  <w:style w:type="character" w:customStyle="1" w:styleId="32">
    <w:name w:val="3  уровень Знак"/>
    <w:basedOn w:val="a1"/>
    <w:link w:val="31"/>
    <w:rsid w:val="001B729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6">
    <w:name w:val="Неразрешенное упоминание1"/>
    <w:basedOn w:val="a1"/>
    <w:semiHidden/>
    <w:unhideWhenUsed/>
    <w:rsid w:val="001B7298"/>
    <w:rPr>
      <w:color w:val="808080"/>
      <w:shd w:val="clear" w:color="auto" w:fill="E6E6E6"/>
    </w:rPr>
  </w:style>
  <w:style w:type="character" w:styleId="aff5">
    <w:name w:val="annotation reference"/>
    <w:basedOn w:val="a1"/>
    <w:uiPriority w:val="99"/>
    <w:semiHidden/>
    <w:unhideWhenUsed/>
    <w:rsid w:val="001B729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B7298"/>
    <w:pPr>
      <w:spacing w:after="160"/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1B7298"/>
    <w:rPr>
      <w:rFonts w:ascii="Times New Roman" w:hAnsi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B729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B7298"/>
    <w:rPr>
      <w:rFonts w:ascii="Times New Roman" w:hAnsi="Times New Roman"/>
      <w:b/>
      <w:bCs/>
      <w:sz w:val="20"/>
      <w:szCs w:val="20"/>
    </w:rPr>
  </w:style>
  <w:style w:type="paragraph" w:styleId="affa">
    <w:name w:val="TOC Heading"/>
    <w:basedOn w:val="10"/>
    <w:next w:val="a0"/>
    <w:uiPriority w:val="39"/>
    <w:unhideWhenUsed/>
    <w:qFormat/>
    <w:rsid w:val="001B7298"/>
    <w:pPr>
      <w:keepNext w:val="0"/>
      <w:keepLines/>
      <w:spacing w:after="240" w:line="259" w:lineRule="auto"/>
      <w:contextualSpacing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0"/>
    <w:next w:val="a0"/>
    <w:autoRedefine/>
    <w:uiPriority w:val="39"/>
    <w:unhideWhenUsed/>
    <w:rsid w:val="001B7298"/>
    <w:pPr>
      <w:tabs>
        <w:tab w:val="right" w:leader="dot" w:pos="10456"/>
      </w:tabs>
      <w:spacing w:before="120" w:after="120" w:line="259" w:lineRule="auto"/>
      <w:ind w:firstLine="708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numbering" w:customStyle="1" w:styleId="18">
    <w:name w:val="Нет списка1"/>
    <w:next w:val="a3"/>
    <w:semiHidden/>
    <w:rsid w:val="001B7298"/>
  </w:style>
  <w:style w:type="paragraph" w:customStyle="1" w:styleId="19">
    <w:name w:val="Без интервала1"/>
    <w:rsid w:val="001B729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1a">
    <w:name w:val="Сетка таблицы1"/>
    <w:basedOn w:val="a2"/>
    <w:next w:val="a7"/>
    <w:rsid w:val="001B72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t_List1 Char,Ненумерованный список Char"/>
    <w:locked/>
    <w:rsid w:val="001B7298"/>
    <w:rPr>
      <w:sz w:val="24"/>
      <w:lang w:val="ru-RU" w:eastAsia="ru-RU" w:bidi="ar-SA"/>
    </w:rPr>
  </w:style>
  <w:style w:type="paragraph" w:customStyle="1" w:styleId="1b">
    <w:name w:val="Заголовок оглавления1"/>
    <w:basedOn w:val="10"/>
    <w:next w:val="a0"/>
    <w:rsid w:val="001B7298"/>
    <w:pPr>
      <w:keepNext w:val="0"/>
      <w:keepLines/>
      <w:spacing w:after="240" w:line="259" w:lineRule="auto"/>
      <w:contextualSpacing/>
      <w:outlineLvl w:val="9"/>
    </w:pPr>
    <w:rPr>
      <w:rFonts w:ascii="Calibri Light" w:eastAsia="Calibri" w:hAnsi="Calibri Light"/>
      <w:b w:val="0"/>
      <w:bCs w:val="0"/>
      <w:color w:val="2F5496"/>
      <w:kern w:val="0"/>
    </w:rPr>
  </w:style>
  <w:style w:type="paragraph" w:styleId="affb">
    <w:name w:val="Document Map"/>
    <w:basedOn w:val="a0"/>
    <w:link w:val="affc"/>
    <w:uiPriority w:val="99"/>
    <w:rsid w:val="001B7298"/>
    <w:pPr>
      <w:spacing w:after="160" w:line="259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Схема документа Знак"/>
    <w:basedOn w:val="a1"/>
    <w:link w:val="affb"/>
    <w:uiPriority w:val="99"/>
    <w:rsid w:val="001B7298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3"/>
    <w:semiHidden/>
    <w:rsid w:val="001B7298"/>
  </w:style>
  <w:style w:type="table" w:customStyle="1" w:styleId="24">
    <w:name w:val="Сетка таблицы2"/>
    <w:basedOn w:val="a2"/>
    <w:next w:val="a7"/>
    <w:locked/>
    <w:rsid w:val="001B7298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semiHidden/>
    <w:rsid w:val="001B7298"/>
  </w:style>
  <w:style w:type="paragraph" w:styleId="affd">
    <w:name w:val="Revision"/>
    <w:hidden/>
    <w:uiPriority w:val="99"/>
    <w:semiHidden/>
    <w:rsid w:val="001B7298"/>
    <w:pPr>
      <w:spacing w:after="0" w:line="240" w:lineRule="auto"/>
    </w:pPr>
    <w:rPr>
      <w:rFonts w:ascii="Times New Roman" w:hAnsi="Times New Roman"/>
      <w:sz w:val="24"/>
    </w:rPr>
  </w:style>
  <w:style w:type="character" w:styleId="affe">
    <w:name w:val="Emphasis"/>
    <w:basedOn w:val="a1"/>
    <w:uiPriority w:val="20"/>
    <w:qFormat/>
    <w:rsid w:val="001B7298"/>
    <w:rPr>
      <w:i/>
      <w:iCs/>
    </w:rPr>
  </w:style>
  <w:style w:type="character" w:customStyle="1" w:styleId="docaccesstitle">
    <w:name w:val="docaccess_title"/>
    <w:basedOn w:val="a1"/>
    <w:rsid w:val="001B7298"/>
  </w:style>
  <w:style w:type="character" w:customStyle="1" w:styleId="docaccessactnever">
    <w:name w:val="docaccess_act_never"/>
    <w:basedOn w:val="a1"/>
    <w:rsid w:val="001B7298"/>
  </w:style>
  <w:style w:type="character" w:customStyle="1" w:styleId="docaccessbase">
    <w:name w:val="docaccess_base"/>
    <w:basedOn w:val="a1"/>
    <w:rsid w:val="001B7298"/>
  </w:style>
  <w:style w:type="character" w:styleId="afff">
    <w:name w:val="Subtle Reference"/>
    <w:uiPriority w:val="31"/>
    <w:qFormat/>
    <w:rsid w:val="001B7298"/>
    <w:rPr>
      <w:smallCaps/>
      <w:color w:val="ED7D31"/>
      <w:u w:val="single"/>
    </w:rPr>
  </w:style>
  <w:style w:type="character" w:customStyle="1" w:styleId="25">
    <w:name w:val="Основной текст (2)_"/>
    <w:link w:val="26"/>
    <w:rsid w:val="001B7298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1B72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Cell">
    <w:name w:val="ConsPlusCell"/>
    <w:rsid w:val="001B7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7">
    <w:name w:val="Название объекта Знак2"/>
    <w:aliases w:val="Название объекта Знак1 Знак,Название объекта Знак Знак Знак1,Название объекта Знак Знак Знак Знак,Название объекта Знак Знак1,Название таблицы Знак,рисунка Знак,Таблица_номер_справа_12 Знак"/>
    <w:rsid w:val="001B7298"/>
    <w:rPr>
      <w:rFonts w:ascii="Times New Roman" w:eastAsia="Times New Roman" w:hAnsi="Times New Roman"/>
      <w:i/>
      <w:iCs/>
      <w:sz w:val="24"/>
      <w:lang w:eastAsia="en-US"/>
    </w:rPr>
  </w:style>
  <w:style w:type="character" w:customStyle="1" w:styleId="user-maps-list-viewname">
    <w:name w:val="user-maps-list-view__name"/>
    <w:rsid w:val="001B7298"/>
  </w:style>
  <w:style w:type="character" w:customStyle="1" w:styleId="user-maps-list-viewicon">
    <w:name w:val="user-maps-list-view__icon"/>
    <w:rsid w:val="001B7298"/>
  </w:style>
  <w:style w:type="paragraph" w:styleId="28">
    <w:name w:val="toc 2"/>
    <w:basedOn w:val="a0"/>
    <w:next w:val="a0"/>
    <w:autoRedefine/>
    <w:uiPriority w:val="39"/>
    <w:unhideWhenUsed/>
    <w:rsid w:val="009755F9"/>
    <w:pPr>
      <w:tabs>
        <w:tab w:val="right" w:leader="dot" w:pos="10456"/>
      </w:tabs>
      <w:spacing w:line="259" w:lineRule="auto"/>
      <w:ind w:right="-1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B7298"/>
    <w:pPr>
      <w:spacing w:line="259" w:lineRule="auto"/>
      <w:ind w:left="480" w:firstLine="708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B7298"/>
    <w:pPr>
      <w:spacing w:line="259" w:lineRule="auto"/>
      <w:ind w:left="7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1B7298"/>
    <w:pPr>
      <w:spacing w:line="259" w:lineRule="auto"/>
      <w:ind w:left="96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6">
    <w:name w:val="toc 6"/>
    <w:basedOn w:val="a0"/>
    <w:next w:val="a0"/>
    <w:autoRedefine/>
    <w:uiPriority w:val="39"/>
    <w:unhideWhenUsed/>
    <w:rsid w:val="001B7298"/>
    <w:pPr>
      <w:spacing w:line="259" w:lineRule="auto"/>
      <w:ind w:left="120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7">
    <w:name w:val="toc 7"/>
    <w:basedOn w:val="a0"/>
    <w:next w:val="a0"/>
    <w:autoRedefine/>
    <w:uiPriority w:val="39"/>
    <w:unhideWhenUsed/>
    <w:rsid w:val="001B7298"/>
    <w:pPr>
      <w:spacing w:line="259" w:lineRule="auto"/>
      <w:ind w:left="144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8">
    <w:name w:val="toc 8"/>
    <w:basedOn w:val="a0"/>
    <w:next w:val="a0"/>
    <w:autoRedefine/>
    <w:uiPriority w:val="39"/>
    <w:unhideWhenUsed/>
    <w:rsid w:val="001B7298"/>
    <w:pPr>
      <w:spacing w:line="259" w:lineRule="auto"/>
      <w:ind w:left="168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9">
    <w:name w:val="toc 9"/>
    <w:basedOn w:val="a0"/>
    <w:next w:val="a0"/>
    <w:autoRedefine/>
    <w:uiPriority w:val="39"/>
    <w:unhideWhenUsed/>
    <w:rsid w:val="001B7298"/>
    <w:pPr>
      <w:spacing w:line="259" w:lineRule="auto"/>
      <w:ind w:left="19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character" w:styleId="afff0">
    <w:name w:val="Placeholder Text"/>
    <w:basedOn w:val="a1"/>
    <w:uiPriority w:val="99"/>
    <w:semiHidden/>
    <w:rsid w:val="001B7298"/>
    <w:rPr>
      <w:color w:val="808080"/>
    </w:rPr>
  </w:style>
  <w:style w:type="paragraph" w:customStyle="1" w:styleId="xl64">
    <w:name w:val="xl64"/>
    <w:basedOn w:val="a0"/>
    <w:rsid w:val="001B7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afff1">
    <w:name w:val="рис номер"/>
    <w:basedOn w:val="a0"/>
    <w:next w:val="a0"/>
    <w:qFormat/>
    <w:rsid w:val="001B7298"/>
    <w:pPr>
      <w:spacing w:before="120" w:after="120"/>
      <w:ind w:left="709" w:hanging="709"/>
      <w:jc w:val="center"/>
    </w:pPr>
    <w:rPr>
      <w:rFonts w:eastAsiaTheme="minorHAnsi" w:cstheme="minorBidi"/>
      <w:szCs w:val="22"/>
      <w:lang w:eastAsia="en-US"/>
    </w:rPr>
  </w:style>
  <w:style w:type="paragraph" w:customStyle="1" w:styleId="100">
    <w:name w:val="список 10"/>
    <w:basedOn w:val="a8"/>
    <w:qFormat/>
    <w:rsid w:val="001B7298"/>
    <w:pPr>
      <w:tabs>
        <w:tab w:val="num" w:pos="360"/>
        <w:tab w:val="left" w:pos="993"/>
      </w:tabs>
      <w:ind w:left="1920" w:hanging="360"/>
    </w:pPr>
    <w:rPr>
      <w:rFonts w:eastAsiaTheme="minorHAnsi" w:cstheme="minorBidi"/>
      <w:sz w:val="20"/>
      <w:szCs w:val="20"/>
    </w:rPr>
  </w:style>
  <w:style w:type="character" w:customStyle="1" w:styleId="124">
    <w:name w:val="Основной текст124"/>
    <w:rsid w:val="001B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formattext">
    <w:name w:val="formattext"/>
    <w:basedOn w:val="a0"/>
    <w:rsid w:val="001B7298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1"/>
    <w:uiPriority w:val="99"/>
    <w:semiHidden/>
    <w:unhideWhenUsed/>
    <w:rsid w:val="001B7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1B7298"/>
    <w:rPr>
      <w:rFonts w:cs="Times New Roman"/>
    </w:rPr>
  </w:style>
  <w:style w:type="paragraph" w:styleId="afff2">
    <w:name w:val="Body Text Indent"/>
    <w:basedOn w:val="a0"/>
    <w:link w:val="afff3"/>
    <w:uiPriority w:val="99"/>
    <w:semiHidden/>
    <w:unhideWhenUsed/>
    <w:rsid w:val="001B7298"/>
    <w:pPr>
      <w:spacing w:after="120" w:line="259" w:lineRule="auto"/>
      <w:ind w:left="283" w:firstLine="708"/>
      <w:jc w:val="both"/>
    </w:pPr>
    <w:rPr>
      <w:rFonts w:eastAsiaTheme="minorHAnsi" w:cstheme="minorBidi"/>
      <w:szCs w:val="22"/>
      <w:lang w:eastAsia="en-US"/>
    </w:r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1B7298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1B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72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0"/>
    <w:rsid w:val="001B7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0"/>
    <w:rsid w:val="004B3A1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5">
    <w:name w:val="xl75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1">
    <w:name w:val="xl81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82">
    <w:name w:val="xl82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660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232F-56F6-427D-B5F7-BBAF1AE3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Елена Исхакова</cp:lastModifiedBy>
  <cp:revision>6</cp:revision>
  <dcterms:created xsi:type="dcterms:W3CDTF">2019-10-05T01:06:00Z</dcterms:created>
  <dcterms:modified xsi:type="dcterms:W3CDTF">2019-10-07T10:05:00Z</dcterms:modified>
</cp:coreProperties>
</file>