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9B" w:rsidRPr="006E059B" w:rsidRDefault="006E059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E059B">
        <w:rPr>
          <w:rFonts w:ascii="Times New Roman" w:hAnsi="Times New Roman" w:cs="Times New Roman"/>
          <w:sz w:val="24"/>
          <w:szCs w:val="24"/>
        </w:rPr>
        <w:br/>
      </w:r>
    </w:p>
    <w:p w:rsidR="006E059B" w:rsidRPr="006E059B" w:rsidRDefault="006E05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Зарегистрировано в Минюсте России 24 апреля 2013 г. N 28269</w:t>
      </w:r>
    </w:p>
    <w:p w:rsidR="006E059B" w:rsidRPr="006E059B" w:rsidRDefault="006E05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МИНИСТЕРСТВО ЭНЕРГЕТИКИ РОССИЙСКОЙ ФЕДЕРАЦИИ</w:t>
      </w:r>
    </w:p>
    <w:p w:rsidR="006E059B" w:rsidRPr="006E059B" w:rsidRDefault="006E0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ПРИКАЗ</w:t>
      </w:r>
    </w:p>
    <w:p w:rsidR="006E059B" w:rsidRPr="006E059B" w:rsidRDefault="006E0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от 12 марта 2013 г. N 103</w:t>
      </w:r>
    </w:p>
    <w:p w:rsidR="006E059B" w:rsidRPr="006E059B" w:rsidRDefault="006E0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6E059B" w:rsidRPr="006E059B" w:rsidRDefault="006E0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ОЦЕНКИ ГОТОВНОСТИ К ОТОПИТЕЛЬНОМУ ПЕРИОДУ</w:t>
      </w:r>
    </w:p>
    <w:p w:rsidR="006E059B" w:rsidRPr="006E059B" w:rsidRDefault="006E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5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 статьи 4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 официальный интернет-портал правовой информации http://www.pravo.gov.ru, 31.12.2012, N 0001201212310042) и </w:t>
      </w:r>
      <w:hyperlink r:id="rId7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пунктом 4.2.14.6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2009, N 3, ст. 378; N 6, ст. 738; N 33, ст. 4088; N 52 (ч. II), ст. 6586; 2010, N 9, ст. 960; N 26, ст. 3350; N 31, ст. 4251; N 47, ст. 6128; 2011, N 6, ст. 888; N 14, ст. 1935; N 44, ст. 6269; 2012, N 11, ст. 1293;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N 15, ст. 1779; N 31, ст. 4386; N 37, ст. 5001; N 40, ст. 5449), приказываю:</w:t>
      </w:r>
      <w:proofErr w:type="gramEnd"/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6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оценки готовности к отопительному периоду.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Министр</w:t>
      </w:r>
    </w:p>
    <w:p w:rsidR="006E059B" w:rsidRPr="006E059B" w:rsidRDefault="006E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А.В.НОВАК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Утверждены</w:t>
      </w:r>
    </w:p>
    <w:p w:rsidR="006E059B" w:rsidRPr="006E059B" w:rsidRDefault="006E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приказом Минэнерго России</w:t>
      </w:r>
    </w:p>
    <w:p w:rsidR="006E059B" w:rsidRPr="006E059B" w:rsidRDefault="006E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от 12.03.2013 N 103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6E059B">
        <w:rPr>
          <w:rFonts w:ascii="Times New Roman" w:hAnsi="Times New Roman" w:cs="Times New Roman"/>
          <w:sz w:val="24"/>
          <w:szCs w:val="24"/>
        </w:rPr>
        <w:t>ПРАВИЛА ОЦЕНКИ ГОТОВНОСТИ К ОТОПИТЕЛЬНОМУ ПЕРИОДУ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</w:t>
      </w:r>
      <w:hyperlink r:id="rId8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http://www.pravo.gov.ru, 31.12.2012, N 0001201212310042) (далее - Закон о теплоснабжении)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к </w:t>
      </w:r>
      <w:r w:rsidRPr="006E059B">
        <w:rPr>
          <w:rFonts w:ascii="Times New Roman" w:hAnsi="Times New Roman" w:cs="Times New Roman"/>
          <w:sz w:val="24"/>
          <w:szCs w:val="24"/>
        </w:rPr>
        <w:lastRenderedPageBreak/>
        <w:t>системе теплоснабжения (далее - проверка).</w:t>
      </w:r>
      <w:proofErr w:type="gramEnd"/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2.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к отопительному периоду осуществляется органами местного самоуправления поселений, городских округов (далее - уполномоченные органы).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4. В отношении многоквартирных домов проверка осуществляется путем определения соответствия требованиям настоящих Правил: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лиц, осуществляющих в соответствии с жилищным </w:t>
      </w:r>
      <w:hyperlink r:id="rId9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II. Порядок проведения проверки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5. Проверка осуществляется комиссиями, которые образовываются Федеральной службой по экологическому, технологическому и атомному надзору или органами местного самоуправления поселений, городских округов (далее - комиссия).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Работа комиссии осуществляется в соответствии с программой проведения проверки готовности к отопительному периоду (далее - программа), утверждаемой руководителем (заместителем руководителя) уполномоченного органа,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 которой указываются: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объекты, подлежащие проверке;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документы, проверяемые в ходе проведения проверки.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уполномоченного органа, образовавшего комиссию.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установки потребителей тепловой </w:t>
      </w:r>
      <w:r w:rsidRPr="006E059B">
        <w:rPr>
          <w:rFonts w:ascii="Times New Roman" w:hAnsi="Times New Roman" w:cs="Times New Roman"/>
          <w:sz w:val="24"/>
          <w:szCs w:val="24"/>
        </w:rPr>
        <w:lastRenderedPageBreak/>
        <w:t>энергии.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В целях проведения проверки теплоснабжающих 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6. При проверке комиссиями проверяется выполнение требований, установленных </w:t>
      </w:r>
      <w:hyperlink w:anchor="P61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главами III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настоящих Правил (далее - требования по готовности). Проверка выполнения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7.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P137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P213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 Перечнем.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6E059B">
        <w:rPr>
          <w:rFonts w:ascii="Times New Roman" w:hAnsi="Times New Roman" w:cs="Times New Roman"/>
          <w:sz w:val="24"/>
          <w:szCs w:val="24"/>
        </w:rPr>
        <w:t xml:space="preserve">10.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11. В случае устранения указанных в Перечне замечаний к выполнению (невыполнению) требований по готовности в сроки, установленные в </w:t>
      </w:r>
      <w:hyperlink w:anchor="P57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настоящих Правил, комиссией проводится повторная проверка, по результатам которой </w:t>
      </w:r>
      <w:r w:rsidRPr="006E059B">
        <w:rPr>
          <w:rFonts w:ascii="Times New Roman" w:hAnsi="Times New Roman" w:cs="Times New Roman"/>
          <w:sz w:val="24"/>
          <w:szCs w:val="24"/>
        </w:rPr>
        <w:lastRenderedPageBreak/>
        <w:t>составляется новый акт.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12. Организация, не получившая по объектам проверки паспорт готовности до даты, установленной </w:t>
      </w:r>
      <w:hyperlink w:anchor="P57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6E059B">
        <w:rPr>
          <w:rFonts w:ascii="Times New Roman" w:hAnsi="Times New Roman" w:cs="Times New Roman"/>
          <w:sz w:val="24"/>
          <w:szCs w:val="24"/>
        </w:rPr>
        <w:t>III. Требования по готовности к отопительному периоду</w:t>
      </w:r>
    </w:p>
    <w:p w:rsidR="006E059B" w:rsidRPr="006E059B" w:rsidRDefault="006E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для теплоснабжающих 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организаций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13. В целях оценки готовности теплоснабжающих 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6E059B">
        <w:rPr>
          <w:rFonts w:ascii="Times New Roman" w:hAnsi="Times New Roman" w:cs="Times New Roman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о теплоснабжении;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4) наличие нормативных запасов топлива на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 тепловой энергии;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укомплектованность указанных служб персоналом;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6E059B">
        <w:rPr>
          <w:rFonts w:ascii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6E059B">
        <w:rPr>
          <w:rFonts w:ascii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6E059B">
        <w:rPr>
          <w:rFonts w:ascii="Times New Roman" w:hAnsi="Times New Roman" w:cs="Times New Roman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1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о теплоснабжении;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систем приема и разгрузки топлива,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топливоприготовления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и топливоподачи;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соблюдение водно-химического режима;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>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, электро-, топливо- 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проведение гидравлических и тепловых испытаний тепловых сетей;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15. К обстоятельствам, при несоблюдении которых в отношении теплоснабжающих 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65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10 пункта 13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IV. Требования по готовности к отопительному периоду</w:t>
      </w:r>
    </w:p>
    <w:p w:rsidR="006E059B" w:rsidRPr="006E059B" w:rsidRDefault="006E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lastRenderedPageBreak/>
        <w:t>для потребителей тепловой энергии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16.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End w:id="7"/>
      <w:r w:rsidRPr="006E059B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0"/>
      <w:bookmarkEnd w:id="8"/>
      <w:r w:rsidRPr="006E059B">
        <w:rPr>
          <w:rFonts w:ascii="Times New Roman" w:hAnsi="Times New Roman" w:cs="Times New Roman"/>
          <w:sz w:val="24"/>
          <w:szCs w:val="24"/>
        </w:rPr>
        <w:t xml:space="preserve">13) наличие пломб на расчетных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шайбах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 и соплах элеваторов;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proofErr w:type="gramStart"/>
      <w:r w:rsidRPr="006E059B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4"/>
      <w:bookmarkEnd w:id="10"/>
      <w:r w:rsidRPr="006E059B">
        <w:rPr>
          <w:rFonts w:ascii="Times New Roman" w:hAnsi="Times New Roman" w:cs="Times New Roman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248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17.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P105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подпунктах 8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1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17 пункта 16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17"/>
      <w:bookmarkEnd w:id="11"/>
      <w:r w:rsidRPr="006E059B">
        <w:rPr>
          <w:rFonts w:ascii="Times New Roman" w:hAnsi="Times New Roman" w:cs="Times New Roman"/>
          <w:sz w:val="24"/>
          <w:szCs w:val="24"/>
        </w:rPr>
        <w:t>V. Требования по готовности к отопительному периоду</w:t>
      </w:r>
    </w:p>
    <w:p w:rsidR="006E059B" w:rsidRPr="006E059B" w:rsidRDefault="006E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для муниципальных образований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18. В целях оценки готовности муниципальных образований к отопительному периоду уполномоченным органом должны быть проверены: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1"/>
      <w:bookmarkEnd w:id="12"/>
      <w:proofErr w:type="gramStart"/>
      <w:r w:rsidRPr="006E059B">
        <w:rPr>
          <w:rFonts w:ascii="Times New Roman" w:hAnsi="Times New Roman" w:cs="Times New Roman"/>
          <w:sz w:val="24"/>
          <w:szCs w:val="24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  <w:proofErr w:type="gramEnd"/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2) наличие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системы мониторинга состояния системы теплоснабжения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>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3) наличие механизма оперативно-диспетчерского управления в системе теплоснабжения;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4) выполнение требований настоящих Правил по оценке готовности к отопительному периоду теплоснабжающих и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организаций, а также потребителей тепловой энергии.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19. К обстоятельствам, при несоблюдении которых в отношении муниципальных образований 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hyperlink w:anchor="P121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18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E059B" w:rsidRPr="006E059B" w:rsidRDefault="006E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6E059B" w:rsidRPr="006E059B" w:rsidRDefault="006E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7"/>
      <w:bookmarkEnd w:id="13"/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проверки готовности к отопительному периоду ____/____ гг.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__________________________               "__" _________________ 20__ г.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(дата составления акта)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образована комиссия)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с  "__" _____________ 20__ г. по "__" ____________ 20__ г. в соответствии с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2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E059B">
        <w:rPr>
          <w:rFonts w:ascii="Times New Roman" w:hAnsi="Times New Roman" w:cs="Times New Roman"/>
          <w:sz w:val="24"/>
          <w:szCs w:val="24"/>
        </w:rPr>
        <w:t xml:space="preserve">   от   27  июля  2010 г. N 190-ФЗ  "О  теплоснабжении"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5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........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01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_________________________________________________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(его уполномоченного представителя)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муниципального образования,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теплоснабжающей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организации,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потребителя тепловой энергии, в отношении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    к отопительному периоду)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1"/>
      <w:bookmarkEnd w:id="14"/>
      <w:r w:rsidRPr="006E059B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E059B" w:rsidRPr="006E059B" w:rsidRDefault="006E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6E059B" w:rsidRPr="006E059B" w:rsidRDefault="006E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3"/>
      <w:bookmarkEnd w:id="15"/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готовности к отопительному периоду ____/____ гг.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6E059B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6E059B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E059B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........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6E059B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6E059B" w:rsidRPr="006E059B" w:rsidRDefault="006E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E059B" w:rsidRPr="006E059B" w:rsidRDefault="006E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6E059B" w:rsidRPr="006E059B" w:rsidRDefault="006E05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48"/>
      <w:bookmarkEnd w:id="16"/>
      <w:r w:rsidRPr="006E059B">
        <w:rPr>
          <w:rFonts w:ascii="Times New Roman" w:hAnsi="Times New Roman" w:cs="Times New Roman"/>
          <w:sz w:val="24"/>
          <w:szCs w:val="24"/>
        </w:rPr>
        <w:t>КРИТЕРИИ</w:t>
      </w:r>
    </w:p>
    <w:p w:rsidR="006E059B" w:rsidRPr="006E059B" w:rsidRDefault="006E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НАДЕЖНОСТИ ТЕПЛОСНАБЖЕНИЯ ПОТРЕБИТЕЛЕЙ ТЕПЛОВОЙ ЭНЕРГИИ</w:t>
      </w:r>
    </w:p>
    <w:p w:rsidR="006E059B" w:rsidRPr="006E059B" w:rsidRDefault="006E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С УЧЕТОМ КЛИМАТИЧЕСКИХ УСЛОВИЙ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1. Потребители тепловой энергии по надежности теплоснабжения делятся на три категории: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lastRenderedPageBreak/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жилых и общественных зданий до 12 °C;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промышленных зданий до 8 °C;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третья категория - остальные потребители.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265" w:history="1">
        <w:r w:rsidRPr="006E059B">
          <w:rPr>
            <w:rFonts w:ascii="Times New Roman" w:hAnsi="Times New Roman" w:cs="Times New Roman"/>
            <w:color w:val="0000FF"/>
            <w:sz w:val="24"/>
            <w:szCs w:val="24"/>
          </w:rPr>
          <w:t>таблице N 1</w:t>
        </w:r>
      </w:hyperlink>
      <w:r w:rsidRPr="006E059B">
        <w:rPr>
          <w:rFonts w:ascii="Times New Roman" w:hAnsi="Times New Roman" w:cs="Times New Roman"/>
          <w:sz w:val="24"/>
          <w:szCs w:val="24"/>
        </w:rPr>
        <w:t>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6E059B" w:rsidRPr="006E059B" w:rsidRDefault="006E0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59B">
        <w:rPr>
          <w:rFonts w:ascii="Times New Roman" w:hAnsi="Times New Roman" w:cs="Times New Roman"/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265"/>
      <w:bookmarkEnd w:id="17"/>
      <w:r w:rsidRPr="006E059B">
        <w:rPr>
          <w:rFonts w:ascii="Times New Roman" w:hAnsi="Times New Roman" w:cs="Times New Roman"/>
          <w:sz w:val="24"/>
          <w:szCs w:val="24"/>
        </w:rPr>
        <w:t>Таблица N 1</w:t>
      </w:r>
    </w:p>
    <w:p w:rsidR="006E059B" w:rsidRPr="006E059B" w:rsidRDefault="006E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rPr>
          <w:rFonts w:ascii="Times New Roman" w:hAnsi="Times New Roman" w:cs="Times New Roman"/>
          <w:sz w:val="24"/>
          <w:szCs w:val="24"/>
        </w:rPr>
        <w:sectPr w:rsidR="006E059B" w:rsidRPr="006E059B" w:rsidSect="00C67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620"/>
        <w:gridCol w:w="1440"/>
        <w:gridCol w:w="1440"/>
        <w:gridCol w:w="1440"/>
        <w:gridCol w:w="1440"/>
      </w:tblGrid>
      <w:tr w:rsidR="006E059B" w:rsidRPr="006E059B">
        <w:tc>
          <w:tcPr>
            <w:tcW w:w="2402" w:type="dxa"/>
            <w:vMerge w:val="restart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380" w:type="dxa"/>
            <w:gridSpan w:val="5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6E059B" w:rsidRPr="006E059B">
        <w:tc>
          <w:tcPr>
            <w:tcW w:w="2402" w:type="dxa"/>
            <w:vMerge/>
          </w:tcPr>
          <w:p w:rsidR="006E059B" w:rsidRPr="006E059B" w:rsidRDefault="006E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минус 10</w:t>
            </w:r>
          </w:p>
        </w:tc>
        <w:tc>
          <w:tcPr>
            <w:tcW w:w="1440" w:type="dxa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  <w:tc>
          <w:tcPr>
            <w:tcW w:w="1440" w:type="dxa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минус 30</w:t>
            </w:r>
          </w:p>
        </w:tc>
        <w:tc>
          <w:tcPr>
            <w:tcW w:w="1440" w:type="dxa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</w:tc>
        <w:tc>
          <w:tcPr>
            <w:tcW w:w="1440" w:type="dxa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минус 50</w:t>
            </w:r>
          </w:p>
        </w:tc>
      </w:tr>
      <w:tr w:rsidR="006E059B" w:rsidRPr="006E059B">
        <w:tc>
          <w:tcPr>
            <w:tcW w:w="2402" w:type="dxa"/>
          </w:tcPr>
          <w:p w:rsidR="006E059B" w:rsidRPr="006E059B" w:rsidRDefault="006E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снижение подачи тепловой энергии, %, </w:t>
            </w:r>
            <w:proofErr w:type="gramStart"/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0" w:type="dxa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</w:tcPr>
          <w:p w:rsidR="006E059B" w:rsidRPr="006E059B" w:rsidRDefault="006E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9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9B" w:rsidRPr="006E059B" w:rsidRDefault="006E05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11641" w:rsidRPr="006E059B" w:rsidRDefault="00A11641">
      <w:pPr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sectPr w:rsidR="00A11641" w:rsidRPr="006E059B" w:rsidSect="002773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9B"/>
    <w:rsid w:val="006E059B"/>
    <w:rsid w:val="00A1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393C046BE20750539F0AB4146F232B9F9340CD8AE0946FB29253F0B27564E43F576A1352D29654884747C78EB71CLEe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393C046BE20750519901B1116F232B9F9340CD8AE0946FB29253F1B9213DA0610E395419DF9D4994474FLDe0K" TargetMode="External"/><Relationship Id="rId12" Type="http://schemas.openxmlformats.org/officeDocument/2006/relationships/hyperlink" Target="consultantplus://offline/ref=CB6BC0F00D3E247771D7393C046BE20750539F0AB4146F232B9F9340CD8AE0947DB2CA5FF2B16B6CED2A013B56L0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BC0F00D3E247771D7393C046BE20750539F0AB4146F232B9F9340CD8AE0946FB29253F0B27564E43F576A1352D29654884747C78EB71CLEeCK" TargetMode="External"/><Relationship Id="rId11" Type="http://schemas.openxmlformats.org/officeDocument/2006/relationships/hyperlink" Target="consultantplus://offline/ref=CB6BC0F00D3E247771D7393C046BE20750539F0AB4146F232B9F9340CD8AE0947DB2CA5FF2B16B6CED2A013B56L0eE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B6BC0F00D3E247771D7393C046BE20750539F0AB4146F232B9F9340CD8AE0946FB29253F0B27765E73F576A1352D29654884747C78EB71CLE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BC0F00D3E247771D7393C046BE20750509D02B31C6F232B9F9340CD8AE0946FB29253F0B27C6AED3F576A1352D29654884747C78EB71CLEe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25. Лидия Зибарева</dc:creator>
  <cp:lastModifiedBy>Минстрой 25. Лидия Зибарева</cp:lastModifiedBy>
  <cp:revision>1</cp:revision>
  <dcterms:created xsi:type="dcterms:W3CDTF">2019-09-23T10:30:00Z</dcterms:created>
  <dcterms:modified xsi:type="dcterms:W3CDTF">2019-09-23T10:31:00Z</dcterms:modified>
</cp:coreProperties>
</file>