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Таблица1"/>
        <w:tabOrder w:val="0"/>
        <w:jc w:val="left"/>
        <w:tblInd w:w="-108" w:type="dxa"/>
        <w:tblW w:w="9574" w:type="dxa"/>
      </w:tblPr>
      <w:tblGrid>
        <w:gridCol w:w="4915"/>
        <w:gridCol w:w="4659"/>
      </w:tblGrid>
      <w:tr>
        <w:trPr>
          <w:trHeight w:val="3828" w:hRule="atLeast"/>
        </w:trPr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7843030" protected="0"/>
          </w:tcPr>
          <w:p>
            <w:pPr>
              <w:spacing w:line="276" w:lineRule="auto"/>
              <w:jc w:val="both"/>
              <w:widowControl w:val="0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7843030" protected="0"/>
          </w:tcPr>
          <w:p>
            <w:pPr>
              <w:ind w:left="-108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УТВЕРЖДАЮ</w:t>
            </w:r>
          </w:p>
          <w:p>
            <w:pPr>
              <w:ind w:left="-108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Министр строительства, архитектуры </w:t>
            </w:r>
          </w:p>
          <w:p>
            <w:pPr>
              <w:ind w:left="-108"/>
              <w:spacing w:line="276" w:lineRule="auto"/>
              <w:jc w:val="both"/>
              <w:rPr>
                <w:rFonts w:eastAsia="Calibri"/>
                <w:szCs w:val="26"/>
              </w:rPr>
            </w:pPr>
            <w:r>
              <w:rPr>
                <w:szCs w:val="26"/>
              </w:rPr>
              <w:t xml:space="preserve">и жилищно-коммунального хозяйства </w:t>
            </w:r>
            <w:r>
              <w:rPr>
                <w:rFonts w:eastAsia="Calibri"/>
                <w:szCs w:val="26"/>
              </w:rPr>
            </w:r>
          </w:p>
          <w:p>
            <w:pPr>
              <w:ind w:left="-108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Чувашской Республики </w:t>
            </w:r>
          </w:p>
          <w:p>
            <w:pPr>
              <w:ind w:left="-108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ind w:left="-108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ind w:left="-108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_______________    А.А. Грищенко</w:t>
            </w:r>
          </w:p>
          <w:p>
            <w:pPr>
              <w:ind w:left="-108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__ ___________ 2019 г.</w:t>
            </w:r>
          </w:p>
          <w:p>
            <w:pPr>
              <w:spacing w:line="276" w:lineRule="auto"/>
              <w:jc w:val="both"/>
              <w:widowControl w:val="0"/>
              <w:rPr>
                <w:szCs w:val="26"/>
              </w:rPr>
            </w:pPr>
            <w:r>
              <w:rPr>
                <w:szCs w:val="26"/>
              </w:rPr>
            </w:r>
          </w:p>
        </w:tc>
      </w:tr>
    </w:tbl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ДОЛЖНОСТНОЙ РЕГЛАМЕНТ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государственного гражданского служащего Чувашской Республики,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замещающего должность</w:t>
      </w:r>
      <w:r>
        <w:rPr>
          <w:szCs w:val="26"/>
        </w:rPr>
        <w:t xml:space="preserve"> </w:t>
      </w:r>
      <w:r>
        <w:rPr>
          <w:b/>
          <w:szCs w:val="26"/>
        </w:rPr>
        <w:t xml:space="preserve">государственной гражданской службы </w:t>
      </w: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Чувашской Республики старшей группы должностей</w:t>
      </w:r>
    </w:p>
    <w:p>
      <w:pPr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главного специалиста-эксперта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отдела строительства и реализации программы переселения граждан из аварийного жилищного фонда</w:t>
      </w:r>
      <w:r>
        <w:t xml:space="preserve"> </w:t>
      </w:r>
      <w:r>
        <w:rPr>
          <w:b/>
          <w:szCs w:val="26"/>
        </w:rPr>
      </w:r>
      <w:r>
        <w:br w:type="page"/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I. Общие положения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right="-5" w:firstLine="708"/>
        <w:spacing/>
        <w:jc w:val="both"/>
        <w:rPr>
          <w:szCs w:val="26"/>
        </w:rPr>
      </w:pPr>
      <w:r>
        <w:rPr>
          <w:szCs w:val="26"/>
        </w:rPr>
        <w:t>1.1. Должность государственной гражданской службы Чувашской Республики – главного специалиста-эксперта отдела строительства и реализации программы переселения граждан из аварийного жилищного фонда (далее – главный специалист-эксперт) учреждается в 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строительства и реализации программы переселения граждан из аварийного жилищного фонда Министерства строительства, архитектуры и жилищно-коммунального хозяйства Чувашской Республики (далее – отдел) в соответствии с Положением об отделе.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жилищно-коммунального хозяйства и строительства.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1.4. Вид профессиональной служебной деятельности гражданского служащего: регулирование в сфере развития жилищно-коммунальной инфраструктуры.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1.5. Главный специалист-эксперт назначается на должность и освобождается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 строительства и программы переселения граждан из аварийного жилищного фонда Министерства строительства, архитектуры и жилищно-коммунального хозяйства Чувашской Республики (далее – начальник отдела).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1.6. В период отсутствия главного специалиста-эксперта его обязанности распределяются начальником отдела между работниками структурного подразделения.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II. Квалификационные требования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К должности главного специалиста-эксперта устанавливаются следующие квалификационные требования: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2.1. Базовые квалификационные требования: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szCs w:val="26"/>
        </w:rPr>
        <w:t xml:space="preserve">2.1.1 </w:t>
      </w:r>
      <w:r>
        <w:rPr>
          <w:rFonts w:eastAsia="Calibri"/>
          <w:szCs w:val="26"/>
        </w:rPr>
        <w:t>Гражданский служащий, замещающий должность главного специалиста-эксперта, должен иметь высшее образование.</w:t>
      </w:r>
      <w:r>
        <w:rPr>
          <w:rFonts w:eastAsia="Calibri"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2.1.2. Для должности главного специалиста-эксперта требования к стажу </w:t>
      </w:r>
    </w:p>
    <w:p>
      <w:pPr>
        <w:spacing/>
        <w:jc w:val="both"/>
        <w:rPr>
          <w:szCs w:val="26"/>
        </w:rPr>
      </w:pPr>
      <w:r>
        <w:rPr>
          <w:szCs w:val="26"/>
        </w:rPr>
        <w:t>гражданской службы или работы по специальности, направлению подготовки не устанавливаются.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2.1.3. Главный специалист-эксперт должен обладать следующими базовыми знаниями и умениями: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1) знанием государственного языка Российской Федерации (русского языка);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2) знаниями основ: 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Конституции Российской Федерации; 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3) знаниями и умениями в области информационно-коммуникационных технологий: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знание основ информационной безопасности и защиты информации;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знание основных положений законодательства о персональных данных;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знание общих принципов функционирования системы электронного документооборота;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знания и умения по применению персонального компьютера.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2.1.4. Умения гражданского служащего, замещающего должность главного специалиста-эксперта, должны включать: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1) общие умения: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умение достигать результата;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умение мыслить системно (стратегически);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умение планировать и рационально использовать служебное время и достигать результата;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коммуникативные умения;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 xml:space="preserve">умение управлять изменениями; 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2) управленческие умения: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умение эффективно планировать, организовывать работу и контролировать ее выполнение;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оперативно принимать и реализовывать управленческие решения.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2.2. Профессионально-функциональные квалификационные требования:</w:t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szCs w:val="26"/>
        </w:rPr>
        <w:t xml:space="preserve">2.2.1. Гражданский служащий, замещающий должность главного специалиста-эксперта, должен иметь высшее образование по специальности(ям), направлению(ям) подготовки «Техника и технологии строительства» и (или) «Экономика», </w:t>
      </w:r>
      <w:r>
        <w:rPr>
          <w:rFonts w:eastAsia="Calibri"/>
          <w:szCs w:val="26"/>
        </w:rPr>
        <w:t xml:space="preserve">и «Юриспруденция»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 </w:t>
      </w:r>
      <w:r>
        <w:rPr>
          <w:rFonts w:eastAsia="Calibri"/>
          <w:szCs w:val="26"/>
        </w:rPr>
      </w:r>
    </w:p>
    <w:p>
      <w:pPr>
        <w:ind w:firstLine="709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2.2.2. Гражданский служащий, замещающий должность </w:t>
      </w:r>
      <w:r>
        <w:rPr>
          <w:szCs w:val="26"/>
        </w:rPr>
        <w:t>главного специалиста-эксперта</w:t>
      </w:r>
      <w:r>
        <w:rPr>
          <w:rFonts w:eastAsia="Calibri"/>
          <w:szCs w:val="26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  <w:r>
        <w:rPr>
          <w:rFonts w:eastAsia="Calibri"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Градостроительный кодекс Российской Федерации от 29 декабря 2004 г. № 190-ФЗ;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Федеральный закон «О порядке рассмотрения обращений граждан» от 2.05.2006 № 59-ФЗ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Закон Чувашской Республики от 23 июля 2001 № 36 «О регулировании бюджетных правоотношений в Чувашской Республике»;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Постановление Кабинета Министров Чувашской Республики от 9 декабря 2010 г.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 Постановление Кабинета Министров Чувашской Республики от 29 декабря 2010 г. № 517 «Об утверждении правил предоставления субсидий из республиканского бюджета Чувашской Республики бюджетам муниципальных районов и бюджетам городских округов в рамках реализации республиканской адресной инвестиционной программы»;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6) Указ Президента Чувашской Республики от 7 июня 2011 г. № 45 «Об утверждении Порядка подготовки и внесения проектов указов и распоряжений Главы Чувашской Республики»;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7) Постановление Кабинета Министров Чувашской Республики от 17 января 2006 г. № 8 «О порядке подготовки и внесения изменения проектов постановлений и распоряжений Кабинета Министров Чувашской Республики.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2.2.3. Иные профессиональные знания гражданского служащего, замещающего должность главного специалиста-эксперта должны включать: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знание порядка и условий финансирования объектов строительства за счет средств республиканского бюджета Чувашской Республики;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знание порядка оформления документов, разрабатываемых отделом по курируемым направлениям;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3) </w:t>
      </w:r>
      <w:r/>
      <w:bookmarkStart w:id="0" w:name="OLE_LINK1"/>
      <w:bookmarkEnd w:id="0"/>
      <w:r/>
      <w:r>
        <w:rPr>
          <w:szCs w:val="26"/>
        </w:rPr>
        <w:t>знания порядка подготовки и согласования проектов нормативных правовых актов, государственных программ (подпрограмм);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4) </w:t>
      </w:r>
      <w:r/>
      <w:bookmarkStart w:id="1" w:name="_1548320871"/>
      <w:bookmarkEnd w:id="1"/>
      <w:r/>
      <w:r>
        <w:rPr>
          <w:szCs w:val="26"/>
        </w:rPr>
        <w:t>знания порядка подготовки и согласования проектов соглашений с федеральными органами власти.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проводить анализ реализации курируемых государственных программ (подпрограмм), мероприятий государственных программ (подпрограмм);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формирование предложений по финансированию объектов капитального строительства в курируемой сфере;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исполнение бюджета при реализации курируемых государственных программ (подпрограмм), мероприятий государственных программ (подпрограмм);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подготовка проектов нормативных правовых актов Чувашской Республики;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 подготовка проектов соглашений с федеральными органами власти;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понятие нормы права, нормативного правового акта, правоотношений и их признаки;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понятие проекта нормативного правового акта, инструменты и этапы его разработки;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понятие, структура, особенности формирования государственных программ (подпрограмм);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понятие, структура, особенности бюджетных правоотношений, порядок и методы взаимодействия субъектов бюджетных правоотношений;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 процедура и особенности рассмотрения обращений граждан;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разработка проектов нормативных правовых актов, соглашений и других документов;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подготовка аналитических, информационных и других материалов;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подготовка писем и ответов на входящие обращения.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III. Должностные обязанности</w:t>
      </w:r>
    </w:p>
    <w:p>
      <w:pPr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3.1 Главный специалист-эксперт должен:</w:t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3.2. Кроме того, исходя из задач и функций министерства главный специалист-эксперт: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3.2.1. подготавливает либо участвует в подготовке проектов законов Чувашской Республики, а также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касающихся вопросов развития коммунальной и социальной инфраструктуры (далее - инфраструктура),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3.2.2. разрабатывает предложения к проектам республиканского бюджета по направлениям деятельности отдела на очередной финансовый год и внесению изменений в законы о республиканском бюджете на текущий финансовый год по вопросам развития  инфраструктуры;</w:t>
      </w:r>
    </w:p>
    <w:p>
      <w:pPr>
        <w:ind w:firstLine="709"/>
        <w:spacing/>
        <w:jc w:val="both"/>
        <w:rPr>
          <w:color w:val="000000"/>
          <w:szCs w:val="26"/>
        </w:rPr>
      </w:pPr>
      <w:r>
        <w:rPr>
          <w:color w:val="000000"/>
          <w:szCs w:val="26"/>
        </w:rPr>
        <w:t>3.2.3. обеспечивает организацию и мониторинг строительства объектов инженерной и социальной инфраструктуры, в том числе объектов водоснабжения, водоотведения, газоснабжения, реализуемых в рамках государственных программ (подпрограмм), курируемых отделом;</w:t>
      </w:r>
    </w:p>
    <w:p>
      <w:pPr>
        <w:ind w:firstLine="709"/>
        <w:spacing/>
        <w:jc w:val="both"/>
        <w:rPr>
          <w:color w:val="000000"/>
          <w:szCs w:val="26"/>
        </w:rPr>
      </w:pPr>
      <w:r>
        <w:rPr>
          <w:color w:val="000000"/>
          <w:szCs w:val="26"/>
        </w:rPr>
        <w:t>3.2.4. обеспечивает реализацию на территории Чувашской Республики проектов развития общественной инфраструктуры, основанных на местных инициативах;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3.2.5. подготавливает в установленные сроки в органы исполнительной власти информацию о реализации государственных программ (подпрограмм), мероприятий государственных программ (подпрограмм);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3.2.6. контролирует с участием органов исполнительной власти Чувашской Республики на основании анализа представленных документов правильность расходования бюджетных средств по курируемым направлениям;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3.2.7. готовит</w:t>
      </w:r>
      <w:r>
        <w:rPr>
          <w:color w:val="000000"/>
          <w:szCs w:val="26"/>
        </w:rPr>
        <w:t xml:space="preserve"> отчеты и информацию о ходе строительства объектов</w:t>
      </w:r>
      <w:r>
        <w:rPr>
          <w:szCs w:val="26"/>
        </w:rPr>
        <w:t>,</w:t>
      </w:r>
      <w:r>
        <w:rPr>
          <w:color w:val="000000"/>
          <w:szCs w:val="26"/>
        </w:rPr>
        <w:t xml:space="preserve"> курируемых отделом</w:t>
      </w:r>
      <w:r>
        <w:rPr>
          <w:szCs w:val="26"/>
        </w:rPr>
        <w:t>;</w:t>
      </w:r>
    </w:p>
    <w:p>
      <w:pPr>
        <w:ind w:firstLine="709"/>
        <w:spacing/>
        <w:jc w:val="both"/>
        <w:widowControl w:val="0"/>
        <w:rPr>
          <w:rFonts w:eastAsia="Calibri"/>
          <w:color w:val="000000"/>
          <w:szCs w:val="26"/>
        </w:rPr>
      </w:pPr>
      <w:r>
        <w:rPr>
          <w:szCs w:val="26"/>
        </w:rPr>
        <w:t xml:space="preserve">3.2.8. Готовит материалы и документы, необходимые для осуществления министерством функций государственного заказчика по строительству </w:t>
      </w:r>
      <w:r>
        <w:rPr>
          <w:color w:val="000000"/>
          <w:szCs w:val="26"/>
        </w:rPr>
        <w:t>объектов</w:t>
      </w:r>
      <w:r>
        <w:rPr>
          <w:color w:val="000000"/>
          <w:sz w:val="24"/>
          <w:szCs w:val="26"/>
        </w:rPr>
        <w:t xml:space="preserve"> </w:t>
      </w:r>
      <w:r>
        <w:rPr>
          <w:szCs w:val="26"/>
        </w:rPr>
        <w:t>инженерной инфраструктуры</w:t>
      </w:r>
      <w:r>
        <w:rPr>
          <w:color w:val="000000"/>
          <w:sz w:val="24"/>
          <w:szCs w:val="26"/>
        </w:rPr>
        <w:t xml:space="preserve">, </w:t>
      </w:r>
      <w:r>
        <w:rPr>
          <w:szCs w:val="26"/>
        </w:rPr>
        <w:t>в том числе объектов водоснабжения, водоотведения и газоснабжения, включенных в РАИП;</w:t>
      </w:r>
      <w:r>
        <w:rPr>
          <w:rFonts w:eastAsia="Calibri"/>
          <w:color w:val="000000"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3.2.9. участвует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3.2.10. готовит материалы по вопросам, отнесенным к компетенции отдела, для размещения на сайте министерства в информационно-телекоммуникационной сети «Интернет»;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3.2.11. по мере необходимости готовит аналитический материал по курируемым направлениям;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3.2.12. готовит ответы на поступившие на исполнение в отдел обращения и письма граждан, органов местного самоуправления и организаций по курируемым вопросам;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3.2.13</w:t>
      </w:r>
      <w:r/>
      <w:bookmarkStart w:id="2" w:name="_GoBack"/>
      <w:bookmarkEnd w:id="2"/>
      <w:r/>
      <w:r>
        <w:rPr>
          <w:szCs w:val="26"/>
        </w:rPr>
        <w:t>. поддерживает уровень квалификации, достаточный для исполнения должностных обязанностей.</w:t>
      </w:r>
      <w:r>
        <w:rPr>
          <w:szCs w:val="26"/>
        </w:rPr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 В целях соблюдения Порядка осуществления министерством внутреннего финансового контроля и внутреннего финансового аудита, главный специалист-эксперт обязан осуществлять: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3.3.1. составление и представление предложений (документов), необходимых для составления и рассмотрения проекта республиканского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3.3.2. составление и представление предложений (документов), необходимых для составления и ведения кассового плана по расходам республиканского бюджета Чувашской Республики;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3.3.3. исполнение бюджетной сметы;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3.3.4. принятие и исполнение бюджетных обязательств;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3.3.5. учет и контроль за правильностью исчисления, полнотой и своевременностью осуществления платежей (поступления источников финансирования дефицита бюджета) в республиканский бюджет Чувашской Республики, пеней и штрафов по ним;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3.3.6. принятие к учету первичных учетных документов;</w:t>
      </w:r>
    </w:p>
    <w:p>
      <w:pPr>
        <w:ind w:firstLine="709"/>
        <w:spacing/>
        <w:jc w:val="both"/>
        <w:widowControl w:val="0"/>
        <w:rPr>
          <w:szCs w:val="26"/>
        </w:rPr>
      </w:pPr>
      <w:r>
        <w:rPr>
          <w:szCs w:val="26"/>
        </w:rPr>
        <w:t>3.3.7. исполнение судебных актов по искам к Чувашской Республике, а также судебных актов, предусматривающих обращение взыскания на средства республиканского бюджета Чувашской Республики по денежным обязательствам казенных учреждений Чувашской Республики.</w:t>
      </w:r>
    </w:p>
    <w:p>
      <w:pPr>
        <w:ind w:firstLine="709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IV. Права</w:t>
      </w:r>
    </w:p>
    <w:p>
      <w:pPr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Федерации».</w:t>
      </w:r>
    </w:p>
    <w:p>
      <w:pPr>
        <w:ind w:firstLine="709"/>
        <w:rPr>
          <w:szCs w:val="26"/>
        </w:rPr>
      </w:pPr>
      <w:r>
        <w:rPr>
          <w:szCs w:val="26"/>
        </w:rPr>
        <w:t xml:space="preserve">4.2. Кроме того, главный специалист-эксперт имеет право: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4.2.1. запрашивать от структурных подразделений министерства необходимые документы, сведения, информацию в пределах вопросов, курируемых отделом;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4.2.2. запрашивать в установленном порядке от организаций и граждан информацию, необходимую для исполнения должностных обязанностей;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4.2.3. докладывать начальнику отдела обо всех выявленных недостатках в работе в пределах своей компетенции;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4.2.4. в пределах установленных должностных обязанностей и по поручению начальника отдела представлять интересы отдела и министерства в других органах исполнительной власти, организациях и учреждениях по вопросам, относящимся к компетенции отдела;</w:t>
      </w:r>
    </w:p>
    <w:p>
      <w:pPr>
        <w:ind w:right="30" w:firstLine="709"/>
        <w:spacing/>
        <w:jc w:val="both"/>
        <w:tabs>
          <w:tab w:val="center" w:pos="0" w:leader="none"/>
        </w:tabs>
        <w:rPr>
          <w:szCs w:val="26"/>
        </w:rPr>
      </w:pPr>
      <w:r>
        <w:rPr>
          <w:szCs w:val="26"/>
        </w:rPr>
        <w:t>4.2.5. получать от сотрудников министерства информацию и материалы  для исполнения должностных обязанностей;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4.2.6. доступа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4.2.7. получать информацию от исполнителей о ходе выполнения распорядительных документов Государственного Совета, Кабинета Министров Чувашской Республики, поручений министра и запрашивать от отделов необходимые документы, сведения.</w:t>
      </w:r>
    </w:p>
    <w:p>
      <w:pPr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V. Ответственность гражданского служащего за неисполнение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(ненадлежащее исполнение) должностных обязанностей</w:t>
      </w:r>
    </w:p>
    <w:p>
      <w:pPr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5.1. Главный специалист-эксперт несет предусмотренную законодательством Российской Федерации ответственность за: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неисполнение либо ненадлежащее исполнение должностных обязанностей;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6.1. Вопросы, по которым главный специалист-эксперт вправе самостоятельно принимать управленческие и иные решения: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выполнение срочных поручений начальника отдела по вопросам, входящим в компетенцию сектора;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о полноте, правильности и соответствии утвержденным формам представляемой органами местного самоуправления отчетности.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6.2. Вопросы, по которым главный специалист-эксперт обязан самостоятельно принимать управленческие и иные решения: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по исполнению нормативных правовых и иных актов, поручений Главы Чувашской Республики, председателя Кабинета Министров Чувашской Республики, Администрации Главы Чувашской Республики;</w:t>
      </w:r>
    </w:p>
    <w:p>
      <w:pPr>
        <w:pStyle w:val="para4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поручения заместителя министра в период отсутствия начальника отдела;</w:t>
      </w:r>
    </w:p>
    <w:p>
      <w:pPr>
        <w:pStyle w:val="para5"/>
        <w:ind w:firstLine="708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визирование документов в пределах своей компетенции.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VII. Перечень вопросов, по которым гражданский служащий</w:t>
      </w: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7.1. Главный специалист-эксперт </w:t>
      </w:r>
      <w:r>
        <w:rPr>
          <w:rFonts w:eastAsia="Calibri"/>
          <w:kern w:val="1"/>
          <w:szCs w:val="26"/>
        </w:rPr>
        <w:t>вправе участвовать в подготовке: проектов нормативных правовых актов Чувашской Республики по вопросам, входящим в компетенцию отдела.</w:t>
      </w:r>
      <w:r>
        <w:rPr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7.2. Главный специалист-эксперт обязан участвовать в подготовке: проектов нормативных правовых актов Чувашской Республики, нормативных актов министерства, возложенных на него в соответствии с настоящим должностным регламентом.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VIII. Сроки и процедуры подготовки, рассмотрения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проектов управленческих и иных решений, порядок согласования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и принятия данных решений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color w:val="000000"/>
          <w:szCs w:val="26"/>
        </w:rPr>
        <w:t xml:space="preserve">Главный специалист-эксперт осуществляет подготовку и рассмотрение </w:t>
      </w:r>
      <w:r>
        <w:rPr>
          <w:szCs w:val="26"/>
        </w:rPr>
        <w:t>документов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утвержденной приказом министерства от 17 апреля 2013 г. № 03/1-03/119.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IX. Порядок служебного взаимодействия гражданского служащего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в связи с исполнением им должностных обязанностей с гражданскими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служащими того же государственного органа, гражданскими служащими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 иных государственных органов, другими гражданами, </w:t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а также с организациями</w:t>
      </w:r>
      <w:r>
        <w:rPr>
          <w:szCs w:val="26"/>
        </w:rPr>
      </w:r>
    </w:p>
    <w:p>
      <w:pPr>
        <w:spacing/>
        <w:jc w:val="center"/>
        <w:rPr>
          <w:szCs w:val="26"/>
        </w:rPr>
      </w:pPr>
      <w:r>
        <w:rPr>
          <w:szCs w:val="26"/>
        </w:rPr>
      </w:r>
    </w:p>
    <w:p>
      <w:pPr>
        <w:ind w:firstLine="720"/>
        <w:spacing/>
        <w:jc w:val="both"/>
        <w:tabs>
          <w:tab w:val="left" w:pos="540" w:leader="none"/>
        </w:tabs>
        <w:rPr>
          <w:szCs w:val="26"/>
        </w:rPr>
      </w:pPr>
      <w:r>
        <w:rPr>
          <w:szCs w:val="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</w:t>
      </w:r>
    </w:p>
    <w:p>
      <w:pPr>
        <w:ind w:firstLine="720"/>
        <w:spacing/>
        <w:jc w:val="both"/>
        <w:tabs>
          <w:tab w:val="left" w:pos="540" w:leader="none"/>
        </w:tabs>
        <w:rPr>
          <w:szCs w:val="26"/>
        </w:rPr>
      </w:pPr>
      <w:r>
        <w:rPr>
          <w:szCs w:val="26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>
      <w:pPr>
        <w:ind w:firstLine="720"/>
        <w:spacing/>
        <w:jc w:val="both"/>
        <w:rPr>
          <w:szCs w:val="26"/>
        </w:rPr>
      </w:pPr>
      <w:r>
        <w:rPr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дачи разъяснений по вопросам, входящим в компетенцию главного специалиста-эксперта.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X. Показатели эффективности и результативности профессиональной служебной деятельности гражданского служащего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20"/>
        <w:spacing/>
        <w:jc w:val="both"/>
        <w:rPr>
          <w:szCs w:val="26"/>
        </w:rPr>
      </w:pPr>
      <w:r>
        <w:rPr>
          <w:szCs w:val="26"/>
        </w:rPr>
        <w:t>Эффективность и результативность профессиональной служебной деятельности главного специалиста -эксперта оценивается на основании приказа Министерства от 25.07.2013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</w:p>
    <w:p>
      <w:pPr>
        <w:ind w:firstLine="720"/>
        <w:spacing/>
        <w:jc w:val="both"/>
        <w:rPr>
          <w:rFonts w:eastAsia="Calibri"/>
          <w:szCs w:val="26"/>
        </w:rPr>
      </w:pPr>
      <w:r>
        <w:rPr>
          <w:rFonts w:eastAsia="Calibri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nextPage"/>
      <w:pgSz w:h="16838" w:w="11906"/>
      <w:pgMar w:left="1701" w:top="1134" w:right="850" w:bottom="1134" w:header="708"/>
      <w:paperSrc w:first="0" w:other="0"/>
      <w:pgNumType w:fmt="decimal"/>
      <w:titlePg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cc"/>
    <w:family w:val="swiss"/>
    <w:pitch w:val="default"/>
  </w:font>
  <w:font w:name="TimesET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8"/>
      <w:spacing/>
      <w:jc w:val="center"/>
      <w:rPr>
        <w:sz w:val="22"/>
        <w:szCs w:val="22"/>
      </w:rPr>
    </w:pPr>
    <w:r>
      <w:rPr>
        <w:sz w:val="22"/>
        <w:szCs w:val="22"/>
      </w:rPr>
      <w:fldChar w:fldCharType="begin"/>
      <w:instrText xml:space="preserve"> PAGE </w:instrText>
      <w:fldChar w:fldCharType="separate"/>
      <w:t>6</w:t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7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7843030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sz w:val="26"/>
      <w:szCs w:val="24"/>
    </w:rPr>
  </w:style>
  <w:style w:type="paragraph" w:styleId="para1">
    <w:name w:val="heading 1"/>
    <w:qFormat/>
    <w:basedOn w:val="para0"/>
    <w:next w:val="para0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paragraph" w:styleId="para2">
    <w:name w:val="Footnote Text"/>
    <w:qFormat/>
    <w:basedOn w:val="para0"/>
    <w:rPr>
      <w:sz w:val="20"/>
      <w:szCs w:val="20"/>
    </w:rPr>
  </w:style>
  <w:style w:type="paragraph" w:styleId="para3" w:customStyle="1">
    <w:name w:val="Знак Знак"/>
    <w:qFormat/>
    <w:basedOn w:val="para0"/>
    <w:rPr>
      <w:rFonts w:ascii="Verdana" w:hAnsi="Verdana" w:cs="Verdana"/>
      <w:sz w:val="20"/>
      <w:szCs w:val="20"/>
      <w:lang w:val="en-us"/>
    </w:rPr>
  </w:style>
  <w:style w:type="paragraph" w:styleId="para4">
    <w:name w:val="Body Text Indent"/>
    <w:qFormat/>
    <w:basedOn w:val="para0"/>
    <w:pPr>
      <w:ind w:firstLine="720"/>
      <w:spacing/>
      <w:jc w:val="both"/>
    </w:pPr>
    <w:rPr>
      <w:rFonts w:ascii="TimesET" w:hAnsi="TimesET"/>
      <w:sz w:val="24"/>
    </w:rPr>
  </w:style>
  <w:style w:type="paragraph" w:styleId="para5" w:customStyle="1">
    <w:name w:val="ConsNormal"/>
    <w:qFormat/>
    <w:pPr>
      <w:ind w:firstLine="720"/>
      <w:widowControl w:val="0"/>
    </w:pPr>
    <w:rPr>
      <w:rFonts w:ascii="Arial" w:hAnsi="Arial" w:cs="Arial"/>
    </w:rPr>
  </w:style>
  <w:style w:type="paragraph" w:styleId="para6">
    <w:name w:val="Body Text Indent 2"/>
    <w:qFormat/>
    <w:basedOn w:val="para0"/>
    <w:pPr>
      <w:ind w:left="283"/>
      <w:spacing w:after="120" w:line="480" w:lineRule="auto"/>
    </w:pPr>
  </w:style>
  <w:style w:type="paragraph" w:styleId="para7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8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9" w:customStyle="1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para10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сноски Знак"/>
    <w:rPr>
      <w:lang w:val="ru-ru" w:bidi="ar-sa"/>
    </w:rPr>
  </w:style>
  <w:style w:type="character" w:styleId="char2">
    <w:name w:val="Footnote Reference"/>
    <w:rPr>
      <w:vertAlign w:val="superscript"/>
    </w:rPr>
  </w:style>
  <w:style w:type="character" w:styleId="char3" w:customStyle="1">
    <w:name w:val="Гипертекстовая ссылка"/>
    <w:rPr>
      <w:rFonts w:cs="Times New Roman"/>
      <w:color w:val="007f00"/>
    </w:rPr>
  </w:style>
  <w:style w:type="character" w:styleId="char4" w:customStyle="1">
    <w:name w:val="Footnote Text Char"/>
    <w:rPr>
      <w:rFonts w:ascii="Times New Roman" w:hAnsi="Times New Roman" w:cs="Times New Roman"/>
      <w:sz w:val="20"/>
      <w:szCs w:val="20"/>
      <w:lang w:val="ru-ru"/>
    </w:rPr>
  </w:style>
  <w:style w:type="character" w:styleId="char5" w:customStyle="1">
    <w:name w:val="Основной текст с отступом Знак"/>
    <w:rPr>
      <w:rFonts w:ascii="TimesET" w:hAnsi="TimesET"/>
      <w:sz w:val="24"/>
      <w:szCs w:val="24"/>
      <w:lang w:val="ru-ru" w:bidi="ar-sa"/>
    </w:rPr>
  </w:style>
  <w:style w:type="character" w:styleId="char6">
    <w:name w:val="Page Number"/>
  </w:style>
  <w:style w:type="character" w:styleId="char7" w:customStyle="1">
    <w:name w:val="Текст выноски Знак"/>
    <w:rPr>
      <w:rFonts w:ascii="Tahoma" w:hAnsi="Tahoma" w:cs="Tahoma"/>
      <w:sz w:val="16"/>
      <w:szCs w:val="16"/>
    </w:rPr>
  </w:style>
  <w:style w:type="character" w:styleId="char8" w:customStyle="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styleId="char9" w:customStyle="1">
    <w:name w:val="Верхний колонтитул Знак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sz w:val="26"/>
      <w:szCs w:val="24"/>
    </w:rPr>
  </w:style>
  <w:style w:type="paragraph" w:styleId="para1">
    <w:name w:val="heading 1"/>
    <w:qFormat/>
    <w:basedOn w:val="para0"/>
    <w:next w:val="para0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paragraph" w:styleId="para2">
    <w:name w:val="Footnote Text"/>
    <w:qFormat/>
    <w:basedOn w:val="para0"/>
    <w:rPr>
      <w:sz w:val="20"/>
      <w:szCs w:val="20"/>
    </w:rPr>
  </w:style>
  <w:style w:type="paragraph" w:styleId="para3" w:customStyle="1">
    <w:name w:val="Знак Знак"/>
    <w:qFormat/>
    <w:basedOn w:val="para0"/>
    <w:rPr>
      <w:rFonts w:ascii="Verdana" w:hAnsi="Verdana" w:cs="Verdana"/>
      <w:sz w:val="20"/>
      <w:szCs w:val="20"/>
      <w:lang w:val="en-us"/>
    </w:rPr>
  </w:style>
  <w:style w:type="paragraph" w:styleId="para4">
    <w:name w:val="Body Text Indent"/>
    <w:qFormat/>
    <w:basedOn w:val="para0"/>
    <w:pPr>
      <w:ind w:firstLine="720"/>
      <w:spacing/>
      <w:jc w:val="both"/>
    </w:pPr>
    <w:rPr>
      <w:rFonts w:ascii="TimesET" w:hAnsi="TimesET"/>
      <w:sz w:val="24"/>
    </w:rPr>
  </w:style>
  <w:style w:type="paragraph" w:styleId="para5" w:customStyle="1">
    <w:name w:val="ConsNormal"/>
    <w:qFormat/>
    <w:pPr>
      <w:ind w:firstLine="720"/>
      <w:widowControl w:val="0"/>
    </w:pPr>
    <w:rPr>
      <w:rFonts w:ascii="Arial" w:hAnsi="Arial" w:cs="Arial"/>
    </w:rPr>
  </w:style>
  <w:style w:type="paragraph" w:styleId="para6">
    <w:name w:val="Body Text Indent 2"/>
    <w:qFormat/>
    <w:basedOn w:val="para0"/>
    <w:pPr>
      <w:ind w:left="283"/>
      <w:spacing w:after="120" w:line="480" w:lineRule="auto"/>
    </w:pPr>
  </w:style>
  <w:style w:type="paragraph" w:styleId="para7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8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9" w:customStyle="1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para10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сноски Знак"/>
    <w:rPr>
      <w:lang w:val="ru-ru" w:bidi="ar-sa"/>
    </w:rPr>
  </w:style>
  <w:style w:type="character" w:styleId="char2">
    <w:name w:val="Footnote Reference"/>
    <w:rPr>
      <w:vertAlign w:val="superscript"/>
    </w:rPr>
  </w:style>
  <w:style w:type="character" w:styleId="char3" w:customStyle="1">
    <w:name w:val="Гипертекстовая ссылка"/>
    <w:rPr>
      <w:rFonts w:cs="Times New Roman"/>
      <w:color w:val="007f00"/>
    </w:rPr>
  </w:style>
  <w:style w:type="character" w:styleId="char4" w:customStyle="1">
    <w:name w:val="Footnote Text Char"/>
    <w:rPr>
      <w:rFonts w:ascii="Times New Roman" w:hAnsi="Times New Roman" w:cs="Times New Roman"/>
      <w:sz w:val="20"/>
      <w:szCs w:val="20"/>
      <w:lang w:val="ru-ru"/>
    </w:rPr>
  </w:style>
  <w:style w:type="character" w:styleId="char5" w:customStyle="1">
    <w:name w:val="Основной текст с отступом Знак"/>
    <w:rPr>
      <w:rFonts w:ascii="TimesET" w:hAnsi="TimesET"/>
      <w:sz w:val="24"/>
      <w:szCs w:val="24"/>
      <w:lang w:val="ru-ru" w:bidi="ar-sa"/>
    </w:rPr>
  </w:style>
  <w:style w:type="character" w:styleId="char6">
    <w:name w:val="Page Number"/>
  </w:style>
  <w:style w:type="character" w:styleId="char7" w:customStyle="1">
    <w:name w:val="Текст выноски Знак"/>
    <w:rPr>
      <w:rFonts w:ascii="Tahoma" w:hAnsi="Tahoma" w:cs="Tahoma"/>
      <w:sz w:val="16"/>
      <w:szCs w:val="16"/>
    </w:rPr>
  </w:style>
  <w:style w:type="character" w:styleId="char8" w:customStyle="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styleId="char9" w:customStyle="1">
    <w:name w:val="Верхний колонтитул Знак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construc81</dc:creator>
  <cp:keywords/>
  <dc:description/>
  <cp:lastModifiedBy>Маринкина</cp:lastModifiedBy>
  <cp:revision>4</cp:revision>
  <cp:lastPrinted>2019-05-14T14:17:21Z</cp:lastPrinted>
  <dcterms:created xsi:type="dcterms:W3CDTF">2019-05-14T09:51:00Z</dcterms:created>
  <dcterms:modified xsi:type="dcterms:W3CDTF">2019-05-14T14:10:30Z</dcterms:modified>
</cp:coreProperties>
</file>