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D2" w:rsidRDefault="00F535D2" w:rsidP="00F535D2">
      <w:pPr>
        <w:jc w:val="center"/>
        <w:rPr>
          <w:b/>
          <w:sz w:val="28"/>
          <w:lang w:eastAsia="x-none"/>
        </w:rPr>
      </w:pPr>
      <w:bookmarkStart w:id="0" w:name="_GoBack"/>
      <w:bookmarkEnd w:id="0"/>
      <w:r>
        <w:rPr>
          <w:b/>
          <w:sz w:val="28"/>
          <w:lang w:eastAsia="x-none"/>
        </w:rPr>
        <w:t>Внешнеэкономическая деятельность</w:t>
      </w:r>
    </w:p>
    <w:p w:rsidR="00F535D2" w:rsidRDefault="00F535D2" w:rsidP="00F535D2">
      <w:pPr>
        <w:ind w:right="57" w:firstLine="709"/>
        <w:jc w:val="center"/>
        <w:rPr>
          <w:b/>
          <w:lang w:eastAsia="x-none"/>
        </w:rPr>
      </w:pPr>
    </w:p>
    <w:p w:rsidR="00F535D2" w:rsidRDefault="00F535D2" w:rsidP="00F535D2">
      <w:pPr>
        <w:ind w:firstLine="709"/>
        <w:jc w:val="both"/>
      </w:pPr>
      <w:r>
        <w:t>Несмотря на напряженную ситуацию на мировых рынках, вызванную продолжением действия экономических санкций против России, предприятия Чувашской Республики продолжают наращивать объемы внешней торговли.</w:t>
      </w:r>
    </w:p>
    <w:p w:rsidR="00F535D2" w:rsidRDefault="00F535D2" w:rsidP="00F535D2">
      <w:pPr>
        <w:ind w:firstLine="709"/>
        <w:jc w:val="both"/>
      </w:pPr>
      <w:r>
        <w:t xml:space="preserve">Внешнеторговый оборот Чувашской Республики по данным Приволжского таможенного управления в </w:t>
      </w:r>
      <w:r w:rsidR="009F7A60">
        <w:t>2018 году</w:t>
      </w:r>
      <w:r>
        <w:t xml:space="preserve"> составил </w:t>
      </w:r>
      <w:r w:rsidR="009F7A60">
        <w:t>565,5</w:t>
      </w:r>
      <w:r>
        <w:t xml:space="preserve"> млн. долл. США (</w:t>
      </w:r>
      <w:r w:rsidR="009F7A60">
        <w:t>114,1</w:t>
      </w:r>
      <w:r>
        <w:t xml:space="preserve">% к соответствующему периоду предыдущего года), в том числе экспорт – </w:t>
      </w:r>
      <w:r w:rsidR="009F7A60">
        <w:t>207,5</w:t>
      </w:r>
      <w:r>
        <w:t xml:space="preserve"> млн. долл. США (</w:t>
      </w:r>
      <w:r w:rsidR="009F7A60">
        <w:t>119,5</w:t>
      </w:r>
      <w:r>
        <w:t xml:space="preserve">%), импорт – </w:t>
      </w:r>
      <w:r w:rsidR="009F7A60">
        <w:t>358,0</w:t>
      </w:r>
      <w:r>
        <w:t xml:space="preserve"> млн. долл. США (</w:t>
      </w:r>
      <w:r w:rsidR="009F7A60">
        <w:t>111,2</w:t>
      </w:r>
      <w:r>
        <w:t xml:space="preserve">%). </w:t>
      </w:r>
    </w:p>
    <w:p w:rsidR="00F535D2" w:rsidRPr="00592680" w:rsidRDefault="00F535D2" w:rsidP="00F535D2">
      <w:pPr>
        <w:ind w:firstLine="709"/>
        <w:jc w:val="both"/>
        <w:rPr>
          <w:color w:val="FF0000"/>
        </w:rPr>
      </w:pPr>
      <w:r w:rsidRPr="00BA03F4">
        <w:t xml:space="preserve">Основными торговыми партнерами были страны дальнего зарубежья. Их доля в товарообороте составила </w:t>
      </w:r>
      <w:r w:rsidR="009F7A60">
        <w:t>65,6</w:t>
      </w:r>
      <w:r w:rsidRPr="00BA03F4">
        <w:t xml:space="preserve">%, в том числе в экспорте – </w:t>
      </w:r>
      <w:r w:rsidR="009F7A60">
        <w:t>36,2</w:t>
      </w:r>
      <w:r w:rsidRPr="00BA03F4">
        <w:t xml:space="preserve">%, в импорте – </w:t>
      </w:r>
      <w:r w:rsidR="009F7A60">
        <w:t>82,7</w:t>
      </w:r>
      <w:r w:rsidRPr="00BA03F4">
        <w:t xml:space="preserve">%. </w:t>
      </w:r>
    </w:p>
    <w:p w:rsidR="00924850" w:rsidRPr="00592680" w:rsidRDefault="00924850" w:rsidP="00F535D2">
      <w:pPr>
        <w:ind w:right="57"/>
        <w:jc w:val="center"/>
        <w:rPr>
          <w:b/>
          <w:color w:val="FF0000"/>
          <w:sz w:val="22"/>
          <w:szCs w:val="22"/>
        </w:rPr>
      </w:pPr>
    </w:p>
    <w:p w:rsidR="00F535D2" w:rsidRPr="009F7A60" w:rsidRDefault="00F535D2" w:rsidP="00F535D2">
      <w:pPr>
        <w:ind w:right="57"/>
        <w:jc w:val="center"/>
        <w:rPr>
          <w:b/>
          <w:sz w:val="22"/>
          <w:szCs w:val="22"/>
        </w:rPr>
      </w:pPr>
      <w:r w:rsidRPr="009F7A60">
        <w:rPr>
          <w:b/>
          <w:sz w:val="22"/>
          <w:szCs w:val="22"/>
        </w:rPr>
        <w:t>Динамика внешнеторгового оборота Чувашской Республики,</w:t>
      </w:r>
    </w:p>
    <w:p w:rsidR="00F535D2" w:rsidRDefault="00F535D2" w:rsidP="00F535D2">
      <w:pPr>
        <w:ind w:right="57"/>
        <w:jc w:val="center"/>
        <w:rPr>
          <w:b/>
          <w:sz w:val="22"/>
          <w:szCs w:val="22"/>
        </w:rPr>
      </w:pPr>
      <w:r w:rsidRPr="009F7A60">
        <w:rPr>
          <w:b/>
          <w:sz w:val="22"/>
          <w:szCs w:val="22"/>
        </w:rPr>
        <w:t>млн. долларов США за 2018 г.</w:t>
      </w:r>
    </w:p>
    <w:p w:rsidR="00937955" w:rsidRPr="009F7A60" w:rsidRDefault="00937955" w:rsidP="00F535D2">
      <w:pPr>
        <w:ind w:right="57"/>
        <w:jc w:val="center"/>
        <w:rPr>
          <w:b/>
          <w:sz w:val="22"/>
          <w:szCs w:val="22"/>
        </w:rPr>
      </w:pPr>
    </w:p>
    <w:p w:rsidR="00F535D2" w:rsidRDefault="00F535D2" w:rsidP="00F535D2">
      <w:pPr>
        <w:ind w:right="57"/>
        <w:jc w:val="both"/>
        <w:rPr>
          <w:noProof/>
          <w:color w:val="FF0000"/>
          <w:sz w:val="20"/>
          <w:szCs w:val="20"/>
        </w:rPr>
      </w:pPr>
    </w:p>
    <w:p w:rsidR="009F7A60" w:rsidRDefault="009F7A60" w:rsidP="00F535D2">
      <w:pPr>
        <w:ind w:right="57"/>
        <w:jc w:val="both"/>
        <w:rPr>
          <w:noProof/>
          <w:color w:val="FF0000"/>
          <w:sz w:val="20"/>
          <w:szCs w:val="20"/>
        </w:rPr>
      </w:pPr>
    </w:p>
    <w:p w:rsidR="009F7A60" w:rsidRDefault="009F7A60" w:rsidP="00F535D2">
      <w:pPr>
        <w:ind w:right="57"/>
        <w:jc w:val="both"/>
        <w:rPr>
          <w:noProof/>
          <w:color w:val="FF0000"/>
          <w:sz w:val="20"/>
          <w:szCs w:val="20"/>
        </w:rPr>
      </w:pPr>
      <w:r>
        <w:rPr>
          <w:noProof/>
          <w:sz w:val="20"/>
          <w:szCs w:val="20"/>
        </w:rPr>
        <w:drawing>
          <wp:inline distT="0" distB="0" distL="0" distR="0" wp14:anchorId="44FE3D96" wp14:editId="688D7383">
            <wp:extent cx="5353050" cy="2120900"/>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F7A60" w:rsidRDefault="009F7A60" w:rsidP="00F535D2">
      <w:pPr>
        <w:ind w:right="57"/>
        <w:jc w:val="both"/>
        <w:rPr>
          <w:noProof/>
          <w:color w:val="FF0000"/>
          <w:sz w:val="20"/>
          <w:szCs w:val="20"/>
        </w:rPr>
      </w:pPr>
    </w:p>
    <w:p w:rsidR="009F7A60" w:rsidRDefault="009F7A60" w:rsidP="00F535D2">
      <w:pPr>
        <w:ind w:right="57"/>
        <w:jc w:val="both"/>
        <w:rPr>
          <w:noProof/>
          <w:color w:val="FF0000"/>
          <w:sz w:val="20"/>
          <w:szCs w:val="20"/>
        </w:rPr>
      </w:pPr>
    </w:p>
    <w:p w:rsidR="009F7A60" w:rsidRPr="009F7A60" w:rsidRDefault="009F7A60" w:rsidP="009F7A60">
      <w:pPr>
        <w:ind w:firstLine="709"/>
        <w:jc w:val="both"/>
      </w:pPr>
      <w:r w:rsidRPr="009F7A60">
        <w:t xml:space="preserve">В 2018 году </w:t>
      </w:r>
      <w:proofErr w:type="gramStart"/>
      <w:r w:rsidRPr="009F7A60">
        <w:t>проведены</w:t>
      </w:r>
      <w:proofErr w:type="gramEnd"/>
      <w:r w:rsidRPr="009F7A60">
        <w:t xml:space="preserve"> более 100 мероприятий межрегионального и международного уровня.</w:t>
      </w:r>
    </w:p>
    <w:p w:rsidR="009F7A60" w:rsidRPr="009F7A60" w:rsidRDefault="009F7A60" w:rsidP="009F7A60">
      <w:pPr>
        <w:ind w:firstLine="709"/>
        <w:jc w:val="both"/>
      </w:pPr>
      <w:proofErr w:type="gramStart"/>
      <w:r w:rsidRPr="009F7A60">
        <w:t xml:space="preserve">Чувашию посетило более 40 зарубежных делегаций, в том числе 20 делегаций с участием дипломатов из различных стран (Ливан, Туркменистан, Казахстан, Япония, Палестина, Китай, Судан, Белоруссия, Ангола). </w:t>
      </w:r>
      <w:proofErr w:type="gramEnd"/>
    </w:p>
    <w:p w:rsidR="009F7A60" w:rsidRPr="009F7A60" w:rsidRDefault="009F7A60" w:rsidP="009F7A60">
      <w:pPr>
        <w:ind w:firstLine="709"/>
        <w:jc w:val="both"/>
      </w:pPr>
      <w:r w:rsidRPr="009F7A60">
        <w:t xml:space="preserve">Было организовано 6 визитов делегаций Чувашской Республики в иностранные государства. </w:t>
      </w:r>
    </w:p>
    <w:p w:rsidR="009F7A60" w:rsidRPr="009F7A60" w:rsidRDefault="009F7A60" w:rsidP="009F7A60">
      <w:pPr>
        <w:ind w:firstLine="709"/>
        <w:jc w:val="both"/>
      </w:pPr>
      <w:r w:rsidRPr="009F7A60">
        <w:t xml:space="preserve">2018 год можно охарактеризовать как период последовательного развития двусторонних связей Чувашии с Японией. Чувашскую Республику посетило 5  японских делегаций, в том числе Чувашскую Республику с официальным визитом посетил Чрезвычайный и Полномочный Посол Японии в Российской Федерации </w:t>
      </w:r>
      <w:proofErr w:type="spellStart"/>
      <w:r w:rsidRPr="009F7A60">
        <w:t>Тоехиса</w:t>
      </w:r>
      <w:proofErr w:type="spellEnd"/>
      <w:r w:rsidRPr="009F7A60">
        <w:t xml:space="preserve"> </w:t>
      </w:r>
      <w:proofErr w:type="spellStart"/>
      <w:r w:rsidRPr="009F7A60">
        <w:t>Кодзуки</w:t>
      </w:r>
      <w:proofErr w:type="spellEnd"/>
      <w:r w:rsidRPr="009F7A60">
        <w:t>, в рамках визита которого были обсуждены возможности для расширения торгово-экономического сотрудничества.</w:t>
      </w:r>
    </w:p>
    <w:p w:rsidR="009F7A60" w:rsidRPr="009F7A60" w:rsidRDefault="009F7A60" w:rsidP="009F7A60">
      <w:pPr>
        <w:ind w:firstLine="709"/>
        <w:jc w:val="both"/>
      </w:pPr>
      <w:r w:rsidRPr="009F7A60">
        <w:t>Не прекращаются связи с Китайской Народной Республикой. Развитию разноплановых контактов способствовали соглашения, подписанные в рамках взаимодействия регионов Приволжского федерального округа Российской Федерации и Верхнего, Среднего течения реки Янцзы Китайской Народной Республики в формате «Волга-Янцзы». За отчетный период Чувашскую Республику посетило 10 китайских делегаций, в том числе в апреле состоялся визит Генерального консула Китайской Народной Республики в Казани</w:t>
      </w:r>
      <w:proofErr w:type="gramStart"/>
      <w:r w:rsidRPr="009F7A60">
        <w:t xml:space="preserve"> У</w:t>
      </w:r>
      <w:proofErr w:type="gramEnd"/>
      <w:r w:rsidRPr="009F7A60">
        <w:t xml:space="preserve"> </w:t>
      </w:r>
      <w:proofErr w:type="spellStart"/>
      <w:r w:rsidRPr="009F7A60">
        <w:t>Инцинь</w:t>
      </w:r>
      <w:proofErr w:type="spellEnd"/>
      <w:r w:rsidRPr="009F7A60">
        <w:t xml:space="preserve">. Особое место в развитии двусторонних связей занимает реализация инвестиционного проекта создания </w:t>
      </w:r>
      <w:proofErr w:type="spellStart"/>
      <w:r w:rsidRPr="009F7A60">
        <w:t>агропарка</w:t>
      </w:r>
      <w:proofErr w:type="spellEnd"/>
      <w:r w:rsidRPr="009F7A60">
        <w:t xml:space="preserve"> «Чувашия – Сычуань» с привлечением китайских инвестиций. </w:t>
      </w:r>
    </w:p>
    <w:p w:rsidR="009F7A60" w:rsidRPr="009F7A60" w:rsidRDefault="009F7A60" w:rsidP="009F7A60">
      <w:pPr>
        <w:ind w:firstLine="709"/>
        <w:jc w:val="both"/>
      </w:pPr>
      <w:r w:rsidRPr="009F7A60">
        <w:lastRenderedPageBreak/>
        <w:t>Традиционно ведется активная работа по укреплению и расширению международных связей в области культуры. За отчетный период творческие коллективы Чувашской Республики с гастролями посетили ведущие учреждения культуры Белоруссии, Таиланда, Германии. Вместе с тем Чувашскую Республику посетили творческие коллективы Франции, Мексики, Италии, Ливана, КНР, Азербайджана, Болгарии, Чехии.</w:t>
      </w:r>
    </w:p>
    <w:p w:rsidR="009F7A60" w:rsidRPr="009F7A60" w:rsidRDefault="009F7A60" w:rsidP="009F7A60">
      <w:pPr>
        <w:ind w:firstLine="709"/>
        <w:jc w:val="both"/>
      </w:pPr>
      <w:r w:rsidRPr="009F7A60">
        <w:t>Продолжена работа по укреплению международных экономических связей со странами СНГ (Казахстан, Белоруссия). Данное направление является одним из приоритетных для внешнеэкономического сотрудничества республики в связи с относительной географической близостью стран Содружества, а также существующими традиционными историческими связями.</w:t>
      </w:r>
    </w:p>
    <w:p w:rsidR="009F7A60" w:rsidRPr="009F7A60" w:rsidRDefault="009F7A60" w:rsidP="009F7A60">
      <w:pPr>
        <w:ind w:firstLine="709"/>
        <w:jc w:val="both"/>
      </w:pPr>
      <w:r w:rsidRPr="009F7A60">
        <w:t xml:space="preserve">В ноябре 2018 года в г. Чебоксары состоялось XI заседание рабочей группы по расширению научно-технических, торгово-экономических и культурных связей между Республикой Белоруссия и Чувашской Республикой, проведение встреч с представителями органов исполнительной власти Чувашской Республики по вопросам развития взаимовыгодного сотрудничества. С предложениями по расширению торгово-экономических связей выступили представители </w:t>
      </w:r>
      <w:proofErr w:type="gramStart"/>
      <w:r w:rsidRPr="009F7A60">
        <w:t>бизнес-кругов</w:t>
      </w:r>
      <w:proofErr w:type="gramEnd"/>
      <w:r w:rsidRPr="009F7A60">
        <w:t xml:space="preserve"> двух республик. Взаимный интерес представляет дальнейшее перевооружение сельхозпроизводителей Чувашии, а также обновление парка городского транспорта белорусской техникой. Перспективы сотрудничества чувашская сторона также видит в расширении линейки поставок продукции агропромышленного комплекса, совместной работе над развитием хмелеводства, использовании наработок в области релестроения, химической отрасли, в том числе лакокрасочной промышленности.</w:t>
      </w:r>
    </w:p>
    <w:p w:rsidR="009F7A60" w:rsidRPr="009F7A60" w:rsidRDefault="009F7A60" w:rsidP="009F7A60">
      <w:pPr>
        <w:ind w:firstLine="709"/>
        <w:jc w:val="both"/>
      </w:pPr>
      <w:r w:rsidRPr="009F7A60">
        <w:t>Заседание завершилось подписанием Протокола XI заседания рабочей группы. Обе стороны признали успешной реализацию Плана мероприятий по реализации Соглашения между Кабинетом Министров Чувашской Республики и Правительством Республики Беларусь по итогам 2017-2018 годов. Следующее заседание рабочей группы планируется провести в Минске.</w:t>
      </w:r>
    </w:p>
    <w:p w:rsidR="009F7A60" w:rsidRPr="009F7A60" w:rsidRDefault="009F7A60" w:rsidP="009F7A60">
      <w:pPr>
        <w:ind w:firstLine="709"/>
        <w:jc w:val="both"/>
      </w:pPr>
      <w:r w:rsidRPr="009F7A60">
        <w:t xml:space="preserve">Особое внимание уделяется сотрудничеству с партнерами из Казахстана. </w:t>
      </w:r>
    </w:p>
    <w:p w:rsidR="009F7A60" w:rsidRPr="009F7A60" w:rsidRDefault="009F7A60" w:rsidP="009F7A60">
      <w:pPr>
        <w:ind w:firstLine="709"/>
        <w:jc w:val="both"/>
      </w:pPr>
      <w:r w:rsidRPr="009F7A60">
        <w:t xml:space="preserve">Особо следует отметить проведение в октябре 2018 г. в г. Чебоксары Конгресса местных властей Евразии «На пути к реализации целей устойчивого развития». Организаторами мероприятия выступили Евразийское отделение Всемирной организации «Объединенные Города и Местные Власти» (ОГМВ) в партнерстве с Организацией Объединенных Наций и Администрацией города Чебоксары. </w:t>
      </w:r>
      <w:proofErr w:type="gramStart"/>
      <w:r w:rsidRPr="009F7A60">
        <w:t xml:space="preserve">В работе Конгресса приняли участие Президент Всемирной организации «Объединенные Города и Местные Власти» </w:t>
      </w:r>
      <w:proofErr w:type="spellStart"/>
      <w:r w:rsidRPr="009F7A60">
        <w:t>Мфо</w:t>
      </w:r>
      <w:proofErr w:type="spellEnd"/>
      <w:r w:rsidRPr="009F7A60">
        <w:t xml:space="preserve"> </w:t>
      </w:r>
      <w:proofErr w:type="spellStart"/>
      <w:r w:rsidRPr="009F7A60">
        <w:t>Паркс</w:t>
      </w:r>
      <w:proofErr w:type="spellEnd"/>
      <w:r w:rsidRPr="009F7A60">
        <w:t xml:space="preserve"> Тау, представители Казахстана, Монголии, Турции, ЮАР, Испании, Армении, Таджикистана, Киргизии, Абхазии, Украины. </w:t>
      </w:r>
      <w:proofErr w:type="gramEnd"/>
    </w:p>
    <w:p w:rsidR="009F7A60" w:rsidRPr="009F7A60" w:rsidRDefault="009F7A60" w:rsidP="009F7A60">
      <w:pPr>
        <w:ind w:firstLine="709"/>
        <w:jc w:val="both"/>
      </w:pPr>
      <w:r w:rsidRPr="009F7A60">
        <w:t>Осуществлялись взаимодействие со странами африканского континента. За отчетный период Чувашию посетили Послы Судана и Анголы, в ходе визита которых стороны обсудили возможности для восстановления  двусторонних отношений.</w:t>
      </w:r>
    </w:p>
    <w:p w:rsidR="009F7A60" w:rsidRPr="009F7A60" w:rsidRDefault="009F7A60" w:rsidP="009F7A60">
      <w:pPr>
        <w:ind w:firstLine="709"/>
        <w:jc w:val="both"/>
      </w:pPr>
      <w:r w:rsidRPr="009F7A60">
        <w:t>В целях продвижения интересов организаций в Чувашской Республике подписаны:</w:t>
      </w:r>
    </w:p>
    <w:p w:rsidR="009F7A60" w:rsidRPr="009F7A60" w:rsidRDefault="009F7A60" w:rsidP="009F7A60">
      <w:pPr>
        <w:ind w:firstLine="709"/>
        <w:jc w:val="both"/>
      </w:pPr>
      <w:r w:rsidRPr="009F7A60">
        <w:t>15 февраля – Соглашение о сотрудничестве между Кабинетом Министров Чувашской Республики и ОАО «Минский тракторный завод» (г. Сочи);</w:t>
      </w:r>
    </w:p>
    <w:p w:rsidR="009F7A60" w:rsidRPr="009F7A60" w:rsidRDefault="009F7A60" w:rsidP="009F7A60">
      <w:pPr>
        <w:ind w:firstLine="709"/>
        <w:jc w:val="both"/>
      </w:pPr>
      <w:r w:rsidRPr="009F7A60">
        <w:t>15 февраля – План мероприятий по реализации Соглашения между Кабинетом Министров Чувашской Республики и Советом министров Республики Крым о торгово-экономическом, научно-техническом, социальном и культурном сотрудничестве на 2018-2020 годы (г. Сочи);</w:t>
      </w:r>
    </w:p>
    <w:p w:rsidR="009F7A60" w:rsidRPr="009F7A60" w:rsidRDefault="009F7A60" w:rsidP="009F7A60">
      <w:pPr>
        <w:ind w:firstLine="709"/>
        <w:jc w:val="both"/>
      </w:pPr>
      <w:r w:rsidRPr="009F7A60">
        <w:t>15 февраля – Соглашение между Правительством Кабардино-Балкарской Республики и Кабинетом Министров Чувашской Республики о торгово-экономическом, научно-техническом и культурном сотрудничестве (г. Сочи);</w:t>
      </w:r>
    </w:p>
    <w:p w:rsidR="009F7A60" w:rsidRPr="009F7A60" w:rsidRDefault="009F7A60" w:rsidP="009F7A60">
      <w:pPr>
        <w:ind w:firstLine="709"/>
        <w:jc w:val="both"/>
      </w:pPr>
      <w:r w:rsidRPr="009F7A60">
        <w:lastRenderedPageBreak/>
        <w:t>18 апреля – Соглашение о сотрудничестве в области архивного дела между Государственным комитетом Республики Татарстан по архивному делу и Министерством культуры, по делам национальностей и архивного дела Чувашской Республики;</w:t>
      </w:r>
    </w:p>
    <w:p w:rsidR="009F7A60" w:rsidRPr="009F7A60" w:rsidRDefault="009F7A60" w:rsidP="009F7A60">
      <w:pPr>
        <w:ind w:firstLine="709"/>
        <w:jc w:val="both"/>
      </w:pPr>
      <w:r w:rsidRPr="009F7A60">
        <w:t>24 мая – Соглашение о совместной реализации программы экспортных семинаров «Жизненный цикл экспортных проектов» автономной некоммерческой организации дополнительного профессионального образования «Школа экспорта Акционерного общества «Российский экспортный центр» для экспортно-ориентированных организаций в Чувашской Республике;</w:t>
      </w:r>
    </w:p>
    <w:p w:rsidR="009F7A60" w:rsidRPr="009F7A60" w:rsidRDefault="009F7A60" w:rsidP="009F7A60">
      <w:pPr>
        <w:ind w:firstLine="709"/>
        <w:jc w:val="both"/>
      </w:pPr>
      <w:r w:rsidRPr="009F7A60">
        <w:t>в ходе пребывания белорусской делегации в г. Чебоксары подписаны соглашения о сотрудничестве:</w:t>
      </w:r>
    </w:p>
    <w:p w:rsidR="009F7A60" w:rsidRPr="009F7A60" w:rsidRDefault="009F7A60" w:rsidP="009F7A60">
      <w:pPr>
        <w:ind w:firstLine="709"/>
        <w:jc w:val="both"/>
      </w:pPr>
      <w:r w:rsidRPr="009F7A60">
        <w:t xml:space="preserve">27 ноября – между Кабинетом Министров Чувашской Республики, ООО «Торгово-производственная компания МТЗ-Татарстан», ФГБОУ </w:t>
      </w:r>
      <w:proofErr w:type="gramStart"/>
      <w:r w:rsidRPr="009F7A60">
        <w:t>ВО</w:t>
      </w:r>
      <w:proofErr w:type="gramEnd"/>
      <w:r w:rsidRPr="009F7A60">
        <w:t xml:space="preserve"> «Чувашская государственная сельскохозяйственная академия»; </w:t>
      </w:r>
    </w:p>
    <w:p w:rsidR="009F7A60" w:rsidRPr="009F7A60" w:rsidRDefault="009F7A60" w:rsidP="009F7A60">
      <w:pPr>
        <w:ind w:firstLine="709"/>
        <w:jc w:val="both"/>
      </w:pPr>
      <w:r w:rsidRPr="009F7A60">
        <w:t>между Кабинетом Министров Чувашской Республикой, ОАО «</w:t>
      </w:r>
      <w:proofErr w:type="spellStart"/>
      <w:r w:rsidRPr="009F7A60">
        <w:t>Гомсельмаш</w:t>
      </w:r>
      <w:proofErr w:type="spellEnd"/>
      <w:r w:rsidRPr="009F7A60">
        <w:t xml:space="preserve">» и ФГБОУ </w:t>
      </w:r>
      <w:proofErr w:type="gramStart"/>
      <w:r w:rsidRPr="009F7A60">
        <w:t>ВО</w:t>
      </w:r>
      <w:proofErr w:type="gramEnd"/>
      <w:r w:rsidRPr="009F7A60">
        <w:t xml:space="preserve"> «Чувашская государственная сельскохозяйственная академия»; </w:t>
      </w:r>
    </w:p>
    <w:p w:rsidR="009F7A60" w:rsidRPr="009F7A60" w:rsidRDefault="009F7A60" w:rsidP="009F7A60">
      <w:pPr>
        <w:ind w:firstLine="709"/>
        <w:jc w:val="both"/>
      </w:pPr>
      <w:r w:rsidRPr="009F7A60">
        <w:t>28 ноября – Протокол XI заседания Рабочей группы по расширению научно-технических, торгово-экономических и культурных связей между Чувашской Республикой Российской Федерации и Республикой Беларусь.</w:t>
      </w:r>
    </w:p>
    <w:p w:rsidR="009F7A60" w:rsidRPr="009F7A60" w:rsidRDefault="009F7A60" w:rsidP="00122CF8">
      <w:pPr>
        <w:ind w:firstLine="709"/>
        <w:jc w:val="both"/>
      </w:pPr>
      <w:r w:rsidRPr="009F7A60">
        <w:t>Оценивая международную и внешнеэкономическую деятельность Чувашской Республики в 2018 году, следует отметить, ее активизацию, направленную на укрепление благоприятного имиджа республики.</w:t>
      </w:r>
    </w:p>
    <w:p w:rsidR="009F7A60" w:rsidRPr="00592680" w:rsidRDefault="009F7A60" w:rsidP="00122CF8">
      <w:pPr>
        <w:ind w:right="57"/>
        <w:jc w:val="both"/>
        <w:rPr>
          <w:i/>
          <w:iCs/>
          <w:color w:val="FF0000"/>
        </w:rPr>
      </w:pPr>
    </w:p>
    <w:sectPr w:rsidR="009F7A60" w:rsidRPr="00592680" w:rsidSect="009943D0">
      <w:headerReference w:type="default" r:id="rId9"/>
      <w:pgSz w:w="11906" w:h="16838"/>
      <w:pgMar w:top="1134" w:right="850" w:bottom="1134" w:left="1701" w:header="708" w:footer="708"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A60" w:rsidRDefault="009F7A60" w:rsidP="00F535D2">
      <w:r>
        <w:separator/>
      </w:r>
    </w:p>
  </w:endnote>
  <w:endnote w:type="continuationSeparator" w:id="0">
    <w:p w:rsidR="009F7A60" w:rsidRDefault="009F7A60" w:rsidP="00F5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A60" w:rsidRDefault="009F7A60" w:rsidP="00F535D2">
      <w:r>
        <w:separator/>
      </w:r>
    </w:p>
  </w:footnote>
  <w:footnote w:type="continuationSeparator" w:id="0">
    <w:p w:rsidR="009F7A60" w:rsidRDefault="009F7A60" w:rsidP="00F5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779923"/>
      <w:docPartObj>
        <w:docPartGallery w:val="Page Numbers (Top of Page)"/>
        <w:docPartUnique/>
      </w:docPartObj>
    </w:sdtPr>
    <w:sdtEndPr/>
    <w:sdtContent>
      <w:p w:rsidR="009F7A60" w:rsidRDefault="009F7A60">
        <w:pPr>
          <w:pStyle w:val="aa"/>
          <w:jc w:val="center"/>
        </w:pPr>
        <w:r>
          <w:fldChar w:fldCharType="begin"/>
        </w:r>
        <w:r>
          <w:instrText>PAGE   \* MERGEFORMAT</w:instrText>
        </w:r>
        <w:r>
          <w:fldChar w:fldCharType="separate"/>
        </w:r>
        <w:r w:rsidR="009943D0">
          <w:rPr>
            <w:noProof/>
          </w:rPr>
          <w:t>24</w:t>
        </w:r>
        <w:r>
          <w:fldChar w:fldCharType="end"/>
        </w:r>
      </w:p>
    </w:sdtContent>
  </w:sdt>
  <w:p w:rsidR="009F7A60" w:rsidRDefault="009F7A6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D2"/>
    <w:rsid w:val="000C014B"/>
    <w:rsid w:val="00122CF8"/>
    <w:rsid w:val="002D49B3"/>
    <w:rsid w:val="00357096"/>
    <w:rsid w:val="00531306"/>
    <w:rsid w:val="00592680"/>
    <w:rsid w:val="005D02DF"/>
    <w:rsid w:val="0086161A"/>
    <w:rsid w:val="00893BB7"/>
    <w:rsid w:val="00924850"/>
    <w:rsid w:val="00937955"/>
    <w:rsid w:val="009943D0"/>
    <w:rsid w:val="009F7A60"/>
    <w:rsid w:val="00A920A4"/>
    <w:rsid w:val="00BA03F4"/>
    <w:rsid w:val="00C77035"/>
    <w:rsid w:val="00C9441D"/>
    <w:rsid w:val="00CD12BC"/>
    <w:rsid w:val="00D34A21"/>
    <w:rsid w:val="00F5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D2"/>
    <w:rPr>
      <w:sz w:val="24"/>
      <w:szCs w:val="24"/>
      <w:lang w:eastAsia="ru-RU"/>
    </w:rPr>
  </w:style>
  <w:style w:type="paragraph" w:styleId="1">
    <w:name w:val="heading 1"/>
    <w:basedOn w:val="a"/>
    <w:next w:val="a"/>
    <w:link w:val="10"/>
    <w:qFormat/>
    <w:rsid w:val="00CD12BC"/>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маркированный,Обычный Перечисление по ГОСТу,Абзац списка2"/>
    <w:basedOn w:val="a"/>
    <w:link w:val="a3"/>
    <w:qFormat/>
    <w:rsid w:val="00CD12BC"/>
    <w:pPr>
      <w:spacing w:after="200" w:line="276" w:lineRule="auto"/>
      <w:ind w:left="720"/>
      <w:contextualSpacing/>
    </w:pPr>
    <w:rPr>
      <w:rFonts w:ascii="Calibri" w:eastAsia="Calibri" w:hAnsi="Calibri"/>
      <w:sz w:val="22"/>
      <w:szCs w:val="22"/>
      <w:lang w:eastAsia="en-US"/>
    </w:rPr>
  </w:style>
  <w:style w:type="character" w:customStyle="1" w:styleId="a3">
    <w:name w:val="Абзац списка Знак"/>
    <w:aliases w:val="маркированный Знак,Обычный Перечисление по ГОСТу Знак,Абзац списка1 Знак"/>
    <w:link w:val="11"/>
    <w:locked/>
    <w:rsid w:val="00CD12BC"/>
    <w:rPr>
      <w:rFonts w:ascii="Calibri" w:eastAsia="Calibri" w:hAnsi="Calibri"/>
      <w:sz w:val="22"/>
      <w:szCs w:val="22"/>
    </w:rPr>
  </w:style>
  <w:style w:type="paragraph" w:customStyle="1" w:styleId="111111111111111111111111111111111111111111111111111111111">
    <w:name w:val="111111111111111111111111111111111111111111111111111111111"/>
    <w:basedOn w:val="a"/>
    <w:qFormat/>
    <w:rsid w:val="00CD12BC"/>
    <w:pPr>
      <w:spacing w:after="120"/>
      <w:ind w:firstLine="709"/>
      <w:jc w:val="both"/>
    </w:pPr>
    <w:rPr>
      <w:sz w:val="28"/>
      <w:szCs w:val="28"/>
      <w:lang w:eastAsia="ar-SA"/>
    </w:rPr>
  </w:style>
  <w:style w:type="character" w:customStyle="1" w:styleId="10">
    <w:name w:val="Заголовок 1 Знак"/>
    <w:link w:val="1"/>
    <w:rsid w:val="00CD12BC"/>
    <w:rPr>
      <w:rFonts w:ascii="Cambria" w:hAnsi="Cambria"/>
      <w:b/>
      <w:bCs/>
      <w:kern w:val="32"/>
      <w:sz w:val="32"/>
      <w:szCs w:val="32"/>
    </w:rPr>
  </w:style>
  <w:style w:type="paragraph" w:styleId="12">
    <w:name w:val="toc 1"/>
    <w:basedOn w:val="a"/>
    <w:next w:val="a"/>
    <w:autoRedefine/>
    <w:uiPriority w:val="39"/>
    <w:unhideWhenUsed/>
    <w:qFormat/>
    <w:rsid w:val="00CD12BC"/>
    <w:pPr>
      <w:spacing w:after="100" w:line="276" w:lineRule="auto"/>
    </w:pPr>
    <w:rPr>
      <w:rFonts w:ascii="Calibri" w:hAnsi="Calibri"/>
      <w:sz w:val="22"/>
      <w:szCs w:val="22"/>
    </w:rPr>
  </w:style>
  <w:style w:type="paragraph" w:styleId="2">
    <w:name w:val="toc 2"/>
    <w:basedOn w:val="a"/>
    <w:next w:val="a"/>
    <w:autoRedefine/>
    <w:uiPriority w:val="39"/>
    <w:unhideWhenUsed/>
    <w:qFormat/>
    <w:rsid w:val="00CD12BC"/>
    <w:pPr>
      <w:spacing w:after="100" w:line="276" w:lineRule="auto"/>
      <w:ind w:left="220"/>
    </w:pPr>
    <w:rPr>
      <w:rFonts w:ascii="Calibri" w:hAnsi="Calibri"/>
      <w:sz w:val="22"/>
      <w:szCs w:val="22"/>
    </w:rPr>
  </w:style>
  <w:style w:type="paragraph" w:styleId="3">
    <w:name w:val="toc 3"/>
    <w:basedOn w:val="a"/>
    <w:next w:val="a"/>
    <w:autoRedefine/>
    <w:uiPriority w:val="39"/>
    <w:unhideWhenUsed/>
    <w:qFormat/>
    <w:rsid w:val="00CD12BC"/>
    <w:pPr>
      <w:spacing w:after="100" w:line="276" w:lineRule="auto"/>
      <w:ind w:left="440"/>
    </w:pPr>
    <w:rPr>
      <w:rFonts w:ascii="Calibri" w:hAnsi="Calibri"/>
      <w:sz w:val="22"/>
      <w:szCs w:val="22"/>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3"/>
    <w:uiPriority w:val="99"/>
    <w:qFormat/>
    <w:rsid w:val="00CD12BC"/>
    <w:pPr>
      <w:spacing w:before="100" w:beforeAutospacing="1" w:after="100" w:afterAutospacing="1"/>
    </w:pPr>
    <w:rPr>
      <w:rFonts w:ascii="Calibri" w:hAnsi="Calibri"/>
      <w:lang w:val="x-none" w:eastAsia="x-none"/>
    </w:rPr>
  </w:style>
  <w:style w:type="character" w:customStyle="1" w:styleId="13">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4"/>
    <w:uiPriority w:val="99"/>
    <w:locked/>
    <w:rsid w:val="00CD12BC"/>
    <w:rPr>
      <w:rFonts w:ascii="Calibri" w:hAnsi="Calibri"/>
      <w:sz w:val="24"/>
      <w:szCs w:val="24"/>
      <w:lang w:val="x-none" w:eastAsia="x-none"/>
    </w:rPr>
  </w:style>
  <w:style w:type="paragraph" w:styleId="a5">
    <w:name w:val="No Spacing"/>
    <w:link w:val="a6"/>
    <w:uiPriority w:val="1"/>
    <w:qFormat/>
    <w:rsid w:val="00CD12BC"/>
    <w:rPr>
      <w:rFonts w:ascii="Calibri" w:eastAsia="Calibri" w:hAnsi="Calibri"/>
      <w:sz w:val="22"/>
      <w:szCs w:val="22"/>
    </w:rPr>
  </w:style>
  <w:style w:type="character" w:customStyle="1" w:styleId="a6">
    <w:name w:val="Без интервала Знак"/>
    <w:link w:val="a5"/>
    <w:uiPriority w:val="1"/>
    <w:locked/>
    <w:rsid w:val="00CD12BC"/>
    <w:rPr>
      <w:rFonts w:ascii="Calibri" w:eastAsia="Calibri" w:hAnsi="Calibri"/>
      <w:sz w:val="22"/>
      <w:szCs w:val="22"/>
    </w:rPr>
  </w:style>
  <w:style w:type="paragraph" w:styleId="a7">
    <w:name w:val="TOC Heading"/>
    <w:basedOn w:val="1"/>
    <w:next w:val="a"/>
    <w:uiPriority w:val="39"/>
    <w:qFormat/>
    <w:rsid w:val="00CD12BC"/>
    <w:pPr>
      <w:keepLines/>
      <w:spacing w:before="480" w:after="0" w:line="276" w:lineRule="auto"/>
      <w:outlineLvl w:val="9"/>
    </w:pPr>
    <w:rPr>
      <w:color w:val="365F91"/>
      <w:kern w:val="0"/>
      <w:sz w:val="28"/>
      <w:szCs w:val="28"/>
      <w:lang w:val="x-none" w:eastAsia="x-none"/>
    </w:rPr>
  </w:style>
  <w:style w:type="paragraph" w:styleId="a8">
    <w:name w:val="Balloon Text"/>
    <w:basedOn w:val="a"/>
    <w:link w:val="a9"/>
    <w:uiPriority w:val="99"/>
    <w:semiHidden/>
    <w:unhideWhenUsed/>
    <w:rsid w:val="00F535D2"/>
    <w:rPr>
      <w:rFonts w:ascii="Tahoma" w:hAnsi="Tahoma" w:cs="Tahoma"/>
      <w:sz w:val="16"/>
      <w:szCs w:val="16"/>
    </w:rPr>
  </w:style>
  <w:style w:type="character" w:customStyle="1" w:styleId="a9">
    <w:name w:val="Текст выноски Знак"/>
    <w:basedOn w:val="a0"/>
    <w:link w:val="a8"/>
    <w:uiPriority w:val="99"/>
    <w:semiHidden/>
    <w:rsid w:val="00F535D2"/>
    <w:rPr>
      <w:rFonts w:ascii="Tahoma" w:hAnsi="Tahoma" w:cs="Tahoma"/>
      <w:sz w:val="16"/>
      <w:szCs w:val="16"/>
      <w:lang w:eastAsia="ru-RU"/>
    </w:rPr>
  </w:style>
  <w:style w:type="paragraph" w:styleId="aa">
    <w:name w:val="header"/>
    <w:basedOn w:val="a"/>
    <w:link w:val="ab"/>
    <w:uiPriority w:val="99"/>
    <w:unhideWhenUsed/>
    <w:rsid w:val="00F535D2"/>
    <w:pPr>
      <w:tabs>
        <w:tab w:val="center" w:pos="4677"/>
        <w:tab w:val="right" w:pos="9355"/>
      </w:tabs>
    </w:pPr>
  </w:style>
  <w:style w:type="character" w:customStyle="1" w:styleId="ab">
    <w:name w:val="Верхний колонтитул Знак"/>
    <w:basedOn w:val="a0"/>
    <w:link w:val="aa"/>
    <w:uiPriority w:val="99"/>
    <w:rsid w:val="00F535D2"/>
    <w:rPr>
      <w:sz w:val="24"/>
      <w:szCs w:val="24"/>
      <w:lang w:eastAsia="ru-RU"/>
    </w:rPr>
  </w:style>
  <w:style w:type="paragraph" w:styleId="ac">
    <w:name w:val="footer"/>
    <w:basedOn w:val="a"/>
    <w:link w:val="ad"/>
    <w:uiPriority w:val="99"/>
    <w:unhideWhenUsed/>
    <w:rsid w:val="00F535D2"/>
    <w:pPr>
      <w:tabs>
        <w:tab w:val="center" w:pos="4677"/>
        <w:tab w:val="right" w:pos="9355"/>
      </w:tabs>
    </w:pPr>
  </w:style>
  <w:style w:type="character" w:customStyle="1" w:styleId="ad">
    <w:name w:val="Нижний колонтитул Знак"/>
    <w:basedOn w:val="a0"/>
    <w:link w:val="ac"/>
    <w:uiPriority w:val="99"/>
    <w:rsid w:val="00F535D2"/>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D2"/>
    <w:rPr>
      <w:sz w:val="24"/>
      <w:szCs w:val="24"/>
      <w:lang w:eastAsia="ru-RU"/>
    </w:rPr>
  </w:style>
  <w:style w:type="paragraph" w:styleId="1">
    <w:name w:val="heading 1"/>
    <w:basedOn w:val="a"/>
    <w:next w:val="a"/>
    <w:link w:val="10"/>
    <w:qFormat/>
    <w:rsid w:val="00CD12BC"/>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маркированный,Обычный Перечисление по ГОСТу,Абзац списка2"/>
    <w:basedOn w:val="a"/>
    <w:link w:val="a3"/>
    <w:qFormat/>
    <w:rsid w:val="00CD12BC"/>
    <w:pPr>
      <w:spacing w:after="200" w:line="276" w:lineRule="auto"/>
      <w:ind w:left="720"/>
      <w:contextualSpacing/>
    </w:pPr>
    <w:rPr>
      <w:rFonts w:ascii="Calibri" w:eastAsia="Calibri" w:hAnsi="Calibri"/>
      <w:sz w:val="22"/>
      <w:szCs w:val="22"/>
      <w:lang w:eastAsia="en-US"/>
    </w:rPr>
  </w:style>
  <w:style w:type="character" w:customStyle="1" w:styleId="a3">
    <w:name w:val="Абзац списка Знак"/>
    <w:aliases w:val="маркированный Знак,Обычный Перечисление по ГОСТу Знак,Абзац списка1 Знак"/>
    <w:link w:val="11"/>
    <w:locked/>
    <w:rsid w:val="00CD12BC"/>
    <w:rPr>
      <w:rFonts w:ascii="Calibri" w:eastAsia="Calibri" w:hAnsi="Calibri"/>
      <w:sz w:val="22"/>
      <w:szCs w:val="22"/>
    </w:rPr>
  </w:style>
  <w:style w:type="paragraph" w:customStyle="1" w:styleId="111111111111111111111111111111111111111111111111111111111">
    <w:name w:val="111111111111111111111111111111111111111111111111111111111"/>
    <w:basedOn w:val="a"/>
    <w:qFormat/>
    <w:rsid w:val="00CD12BC"/>
    <w:pPr>
      <w:spacing w:after="120"/>
      <w:ind w:firstLine="709"/>
      <w:jc w:val="both"/>
    </w:pPr>
    <w:rPr>
      <w:sz w:val="28"/>
      <w:szCs w:val="28"/>
      <w:lang w:eastAsia="ar-SA"/>
    </w:rPr>
  </w:style>
  <w:style w:type="character" w:customStyle="1" w:styleId="10">
    <w:name w:val="Заголовок 1 Знак"/>
    <w:link w:val="1"/>
    <w:rsid w:val="00CD12BC"/>
    <w:rPr>
      <w:rFonts w:ascii="Cambria" w:hAnsi="Cambria"/>
      <w:b/>
      <w:bCs/>
      <w:kern w:val="32"/>
      <w:sz w:val="32"/>
      <w:szCs w:val="32"/>
    </w:rPr>
  </w:style>
  <w:style w:type="paragraph" w:styleId="12">
    <w:name w:val="toc 1"/>
    <w:basedOn w:val="a"/>
    <w:next w:val="a"/>
    <w:autoRedefine/>
    <w:uiPriority w:val="39"/>
    <w:unhideWhenUsed/>
    <w:qFormat/>
    <w:rsid w:val="00CD12BC"/>
    <w:pPr>
      <w:spacing w:after="100" w:line="276" w:lineRule="auto"/>
    </w:pPr>
    <w:rPr>
      <w:rFonts w:ascii="Calibri" w:hAnsi="Calibri"/>
      <w:sz w:val="22"/>
      <w:szCs w:val="22"/>
    </w:rPr>
  </w:style>
  <w:style w:type="paragraph" w:styleId="2">
    <w:name w:val="toc 2"/>
    <w:basedOn w:val="a"/>
    <w:next w:val="a"/>
    <w:autoRedefine/>
    <w:uiPriority w:val="39"/>
    <w:unhideWhenUsed/>
    <w:qFormat/>
    <w:rsid w:val="00CD12BC"/>
    <w:pPr>
      <w:spacing w:after="100" w:line="276" w:lineRule="auto"/>
      <w:ind w:left="220"/>
    </w:pPr>
    <w:rPr>
      <w:rFonts w:ascii="Calibri" w:hAnsi="Calibri"/>
      <w:sz w:val="22"/>
      <w:szCs w:val="22"/>
    </w:rPr>
  </w:style>
  <w:style w:type="paragraph" w:styleId="3">
    <w:name w:val="toc 3"/>
    <w:basedOn w:val="a"/>
    <w:next w:val="a"/>
    <w:autoRedefine/>
    <w:uiPriority w:val="39"/>
    <w:unhideWhenUsed/>
    <w:qFormat/>
    <w:rsid w:val="00CD12BC"/>
    <w:pPr>
      <w:spacing w:after="100" w:line="276" w:lineRule="auto"/>
      <w:ind w:left="440"/>
    </w:pPr>
    <w:rPr>
      <w:rFonts w:ascii="Calibri" w:hAnsi="Calibri"/>
      <w:sz w:val="22"/>
      <w:szCs w:val="22"/>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3"/>
    <w:uiPriority w:val="99"/>
    <w:qFormat/>
    <w:rsid w:val="00CD12BC"/>
    <w:pPr>
      <w:spacing w:before="100" w:beforeAutospacing="1" w:after="100" w:afterAutospacing="1"/>
    </w:pPr>
    <w:rPr>
      <w:rFonts w:ascii="Calibri" w:hAnsi="Calibri"/>
      <w:lang w:val="x-none" w:eastAsia="x-none"/>
    </w:rPr>
  </w:style>
  <w:style w:type="character" w:customStyle="1" w:styleId="13">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4"/>
    <w:uiPriority w:val="99"/>
    <w:locked/>
    <w:rsid w:val="00CD12BC"/>
    <w:rPr>
      <w:rFonts w:ascii="Calibri" w:hAnsi="Calibri"/>
      <w:sz w:val="24"/>
      <w:szCs w:val="24"/>
      <w:lang w:val="x-none" w:eastAsia="x-none"/>
    </w:rPr>
  </w:style>
  <w:style w:type="paragraph" w:styleId="a5">
    <w:name w:val="No Spacing"/>
    <w:link w:val="a6"/>
    <w:uiPriority w:val="1"/>
    <w:qFormat/>
    <w:rsid w:val="00CD12BC"/>
    <w:rPr>
      <w:rFonts w:ascii="Calibri" w:eastAsia="Calibri" w:hAnsi="Calibri"/>
      <w:sz w:val="22"/>
      <w:szCs w:val="22"/>
    </w:rPr>
  </w:style>
  <w:style w:type="character" w:customStyle="1" w:styleId="a6">
    <w:name w:val="Без интервала Знак"/>
    <w:link w:val="a5"/>
    <w:uiPriority w:val="1"/>
    <w:locked/>
    <w:rsid w:val="00CD12BC"/>
    <w:rPr>
      <w:rFonts w:ascii="Calibri" w:eastAsia="Calibri" w:hAnsi="Calibri"/>
      <w:sz w:val="22"/>
      <w:szCs w:val="22"/>
    </w:rPr>
  </w:style>
  <w:style w:type="paragraph" w:styleId="a7">
    <w:name w:val="TOC Heading"/>
    <w:basedOn w:val="1"/>
    <w:next w:val="a"/>
    <w:uiPriority w:val="39"/>
    <w:qFormat/>
    <w:rsid w:val="00CD12BC"/>
    <w:pPr>
      <w:keepLines/>
      <w:spacing w:before="480" w:after="0" w:line="276" w:lineRule="auto"/>
      <w:outlineLvl w:val="9"/>
    </w:pPr>
    <w:rPr>
      <w:color w:val="365F91"/>
      <w:kern w:val="0"/>
      <w:sz w:val="28"/>
      <w:szCs w:val="28"/>
      <w:lang w:val="x-none" w:eastAsia="x-none"/>
    </w:rPr>
  </w:style>
  <w:style w:type="paragraph" w:styleId="a8">
    <w:name w:val="Balloon Text"/>
    <w:basedOn w:val="a"/>
    <w:link w:val="a9"/>
    <w:uiPriority w:val="99"/>
    <w:semiHidden/>
    <w:unhideWhenUsed/>
    <w:rsid w:val="00F535D2"/>
    <w:rPr>
      <w:rFonts w:ascii="Tahoma" w:hAnsi="Tahoma" w:cs="Tahoma"/>
      <w:sz w:val="16"/>
      <w:szCs w:val="16"/>
    </w:rPr>
  </w:style>
  <w:style w:type="character" w:customStyle="1" w:styleId="a9">
    <w:name w:val="Текст выноски Знак"/>
    <w:basedOn w:val="a0"/>
    <w:link w:val="a8"/>
    <w:uiPriority w:val="99"/>
    <w:semiHidden/>
    <w:rsid w:val="00F535D2"/>
    <w:rPr>
      <w:rFonts w:ascii="Tahoma" w:hAnsi="Tahoma" w:cs="Tahoma"/>
      <w:sz w:val="16"/>
      <w:szCs w:val="16"/>
      <w:lang w:eastAsia="ru-RU"/>
    </w:rPr>
  </w:style>
  <w:style w:type="paragraph" w:styleId="aa">
    <w:name w:val="header"/>
    <w:basedOn w:val="a"/>
    <w:link w:val="ab"/>
    <w:uiPriority w:val="99"/>
    <w:unhideWhenUsed/>
    <w:rsid w:val="00F535D2"/>
    <w:pPr>
      <w:tabs>
        <w:tab w:val="center" w:pos="4677"/>
        <w:tab w:val="right" w:pos="9355"/>
      </w:tabs>
    </w:pPr>
  </w:style>
  <w:style w:type="character" w:customStyle="1" w:styleId="ab">
    <w:name w:val="Верхний колонтитул Знак"/>
    <w:basedOn w:val="a0"/>
    <w:link w:val="aa"/>
    <w:uiPriority w:val="99"/>
    <w:rsid w:val="00F535D2"/>
    <w:rPr>
      <w:sz w:val="24"/>
      <w:szCs w:val="24"/>
      <w:lang w:eastAsia="ru-RU"/>
    </w:rPr>
  </w:style>
  <w:style w:type="paragraph" w:styleId="ac">
    <w:name w:val="footer"/>
    <w:basedOn w:val="a"/>
    <w:link w:val="ad"/>
    <w:uiPriority w:val="99"/>
    <w:unhideWhenUsed/>
    <w:rsid w:val="00F535D2"/>
    <w:pPr>
      <w:tabs>
        <w:tab w:val="center" w:pos="4677"/>
        <w:tab w:val="right" w:pos="9355"/>
      </w:tabs>
    </w:pPr>
  </w:style>
  <w:style w:type="character" w:customStyle="1" w:styleId="ad">
    <w:name w:val="Нижний колонтитул Знак"/>
    <w:basedOn w:val="a0"/>
    <w:link w:val="ac"/>
    <w:uiPriority w:val="99"/>
    <w:rsid w:val="00F535D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7.0669431445624459E-2"/>
          <c:y val="3.2281578575133196E-2"/>
          <c:w val="0.92899287589051371"/>
          <c:h val="0.79242902208201893"/>
        </c:manualLayout>
      </c:layout>
      <c:bar3DChart>
        <c:barDir val="col"/>
        <c:grouping val="clustered"/>
        <c:varyColors val="0"/>
        <c:ser>
          <c:idx val="0"/>
          <c:order val="0"/>
          <c:tx>
            <c:strRef>
              <c:f>Sheet1!$A$2</c:f>
              <c:strCache>
                <c:ptCount val="1"/>
                <c:pt idx="0">
                  <c:v>Внешнеторговый оборот,  млн. долларов США</c:v>
                </c:pt>
              </c:strCache>
            </c:strRef>
          </c:tx>
          <c:invertIfNegative val="0"/>
          <c:dLbls>
            <c:dLbl>
              <c:idx val="0"/>
              <c:layout>
                <c:manualLayout>
                  <c:x val="1.1567125818564851E-2"/>
                  <c:y val="-2.1030659811056819E-2"/>
                </c:manualLayout>
              </c:layout>
              <c:showLegendKey val="1"/>
              <c:showVal val="1"/>
              <c:showCatName val="0"/>
              <c:showSerName val="0"/>
              <c:showPercent val="0"/>
              <c:showBubbleSize val="0"/>
            </c:dLbl>
            <c:dLbl>
              <c:idx val="1"/>
              <c:layout>
                <c:manualLayout>
                  <c:x val="1.3013016545885455E-2"/>
                  <c:y val="-4.6267087276550919E-2"/>
                </c:manualLayout>
              </c:layout>
              <c:showLegendKey val="1"/>
              <c:showVal val="1"/>
              <c:showCatName val="0"/>
              <c:showSerName val="0"/>
              <c:showPercent val="0"/>
              <c:showBubbleSize val="0"/>
            </c:dLbl>
            <c:dLbl>
              <c:idx val="2"/>
              <c:layout>
                <c:manualLayout>
                  <c:x val="1.4458907273206116E-2"/>
                  <c:y val="-3.9957939011566773E-2"/>
                </c:manualLayout>
              </c:layout>
              <c:showLegendKey val="1"/>
              <c:showVal val="1"/>
              <c:showCatName val="0"/>
              <c:showSerName val="0"/>
              <c:showPercent val="0"/>
              <c:showBubbleSize val="0"/>
            </c:dLbl>
            <c:dLbl>
              <c:idx val="3"/>
              <c:layout>
                <c:manualLayout>
                  <c:x val="1.0121121241580676E-2"/>
                  <c:y val="-3.7855055184348001E-2"/>
                </c:manualLayout>
              </c:layout>
              <c:showLegendKey val="1"/>
              <c:showVal val="1"/>
              <c:showCatName val="0"/>
              <c:showSerName val="0"/>
              <c:showPercent val="0"/>
              <c:showBubbleSize val="0"/>
            </c:dLbl>
            <c:dLbl>
              <c:idx val="4"/>
              <c:layout>
                <c:manualLayout>
                  <c:x val="1.4458907273205956E-2"/>
                  <c:y val="-1.8927444794952682E-2"/>
                </c:manualLayout>
              </c:layout>
              <c:showLegendKey val="1"/>
              <c:showVal val="1"/>
              <c:showCatName val="0"/>
              <c:showSerName val="0"/>
              <c:showPercent val="0"/>
              <c:showBubbleSize val="0"/>
            </c:dLbl>
            <c:txPr>
              <a:bodyPr/>
              <a:lstStyle/>
              <a:p>
                <a:pPr>
                  <a:defRPr sz="1000" baseline="0">
                    <a:latin typeface="Times New Roman" panose="02020603050405020304" pitchFamily="18" charset="0"/>
                    <a:cs typeface="Times New Roman" panose="02020603050405020304" pitchFamily="18" charset="0"/>
                  </a:defRPr>
                </a:pPr>
                <a:endParaRPr lang="ru-RU"/>
              </a:p>
            </c:txPr>
            <c:showLegendKey val="1"/>
            <c:showVal val="1"/>
            <c:showCatName val="0"/>
            <c:showSerName val="0"/>
            <c:showPercent val="0"/>
            <c:showBubbleSize val="0"/>
            <c:showLeaderLines val="0"/>
          </c:dLbls>
          <c:cat>
            <c:strRef>
              <c:f>Sheet1!$B$1:$E$1</c:f>
              <c:strCache>
                <c:ptCount val="4"/>
                <c:pt idx="0">
                  <c:v>январь-март</c:v>
                </c:pt>
                <c:pt idx="1">
                  <c:v>январь-июнь</c:v>
                </c:pt>
                <c:pt idx="2">
                  <c:v>январь-сентябрь </c:v>
                </c:pt>
                <c:pt idx="3">
                  <c:v>январь-декабрь </c:v>
                </c:pt>
              </c:strCache>
            </c:strRef>
          </c:cat>
          <c:val>
            <c:numRef>
              <c:f>Sheet1!$B$2:$E$2</c:f>
              <c:numCache>
                <c:formatCode>0.0</c:formatCode>
                <c:ptCount val="4"/>
                <c:pt idx="0">
                  <c:v>122.6</c:v>
                </c:pt>
                <c:pt idx="1">
                  <c:v>303.5</c:v>
                </c:pt>
                <c:pt idx="2">
                  <c:v>416.3</c:v>
                </c:pt>
                <c:pt idx="3">
                  <c:v>565.5</c:v>
                </c:pt>
              </c:numCache>
            </c:numRef>
          </c:val>
        </c:ser>
        <c:dLbls>
          <c:showLegendKey val="0"/>
          <c:showVal val="0"/>
          <c:showCatName val="0"/>
          <c:showSerName val="0"/>
          <c:showPercent val="0"/>
          <c:showBubbleSize val="0"/>
        </c:dLbls>
        <c:gapWidth val="150"/>
        <c:shape val="box"/>
        <c:axId val="59510784"/>
        <c:axId val="39820608"/>
        <c:axId val="0"/>
      </c:bar3DChart>
      <c:catAx>
        <c:axId val="59510784"/>
        <c:scaling>
          <c:orientation val="minMax"/>
        </c:scaling>
        <c:delete val="0"/>
        <c:axPos val="b"/>
        <c:numFmt formatCode="@" sourceLinked="1"/>
        <c:majorTickMark val="out"/>
        <c:minorTickMark val="none"/>
        <c:tickLblPos val="nextTo"/>
        <c:txPr>
          <a:bodyPr rot="0" vert="horz"/>
          <a:lstStyle/>
          <a:p>
            <a:pPr>
              <a:defRPr sz="700" baseline="0">
                <a:latin typeface="Times New Roman" pitchFamily="18" charset="0"/>
                <a:cs typeface="Times New Roman" pitchFamily="18" charset="0"/>
              </a:defRPr>
            </a:pPr>
            <a:endParaRPr lang="ru-RU"/>
          </a:p>
        </c:txPr>
        <c:crossAx val="39820608"/>
        <c:crosses val="autoZero"/>
        <c:auto val="0"/>
        <c:lblAlgn val="ctr"/>
        <c:lblOffset val="10"/>
        <c:tickLblSkip val="1"/>
        <c:noMultiLvlLbl val="0"/>
      </c:catAx>
      <c:valAx>
        <c:axId val="39820608"/>
        <c:scaling>
          <c:orientation val="minMax"/>
        </c:scaling>
        <c:delete val="0"/>
        <c:axPos val="l"/>
        <c:numFmt formatCode="0.0" sourceLinked="1"/>
        <c:majorTickMark val="out"/>
        <c:minorTickMark val="none"/>
        <c:tickLblPos val="nextTo"/>
        <c:txPr>
          <a:bodyPr rot="0" vert="horz"/>
          <a:lstStyle/>
          <a:p>
            <a:pPr>
              <a:defRPr sz="746" baseline="0"/>
            </a:pPr>
            <a:endParaRPr lang="ru-RU"/>
          </a:p>
        </c:txPr>
        <c:crossAx val="59510784"/>
        <c:crosses val="autoZero"/>
        <c:crossBetween val="between"/>
      </c:valAx>
      <c:spPr>
        <a:noFill/>
        <a:ln w="19010">
          <a:noFill/>
        </a:ln>
      </c:spPr>
    </c:plotArea>
    <c:plotVisOnly val="1"/>
    <c:dispBlanksAs val="gap"/>
    <c:showDLblsOverMax val="0"/>
  </c:chart>
  <c:spPr>
    <a:ln>
      <a:noFill/>
    </a:ln>
  </c:spPr>
  <c:txPr>
    <a:bodyPr/>
    <a:lstStyle/>
    <a:p>
      <a:pPr>
        <a:defRPr sz="1343"/>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0.49748</cdr:x>
      <cdr:y>0.9314</cdr:y>
    </cdr:from>
    <cdr:to>
      <cdr:x>0.5131</cdr:x>
      <cdr:y>0.94403</cdr:y>
    </cdr:to>
    <cdr:sp macro="" textlink="">
      <cdr:nvSpPr>
        <cdr:cNvPr id="2" name="TextBox 1"/>
        <cdr:cNvSpPr txBox="1"/>
      </cdr:nvSpPr>
      <cdr:spPr>
        <a:xfrm xmlns:a="http://schemas.openxmlformats.org/drawingml/2006/main">
          <a:off x="4379590" y="5531445"/>
          <a:ext cx="144016" cy="720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7648A-EC67-4EE3-A434-3D28C9BE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1052</Words>
  <Characters>6001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economy20 (Кузнецова М.Н.)</dc:creator>
  <cp:lastModifiedBy>economy29 (Щипцова И.А.)</cp:lastModifiedBy>
  <cp:revision>11</cp:revision>
  <cp:lastPrinted>2019-02-12T13:23:00Z</cp:lastPrinted>
  <dcterms:created xsi:type="dcterms:W3CDTF">2018-11-07T05:37:00Z</dcterms:created>
  <dcterms:modified xsi:type="dcterms:W3CDTF">2019-02-12T15:04:00Z</dcterms:modified>
</cp:coreProperties>
</file>