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E5C" w:rsidRPr="003811EB" w:rsidTr="00EE6E5C">
        <w:tc>
          <w:tcPr>
            <w:tcW w:w="4785" w:type="dxa"/>
          </w:tcPr>
          <w:p w:rsidR="00EE6E5C" w:rsidRPr="003811EB" w:rsidRDefault="00EE6E5C" w:rsidP="00812936">
            <w:pPr>
              <w:jc w:val="center"/>
              <w:outlineLvl w:val="2"/>
              <w:rPr>
                <w:rFonts w:ascii="Lora" w:eastAsia="Times New Roman" w:hAnsi="Lora" w:cs="Helvetica"/>
                <w:b/>
                <w:bCs/>
                <w:sz w:val="33"/>
                <w:szCs w:val="33"/>
                <w:lang w:eastAsia="ru-RU"/>
              </w:rPr>
            </w:pPr>
          </w:p>
        </w:tc>
        <w:tc>
          <w:tcPr>
            <w:tcW w:w="4786" w:type="dxa"/>
          </w:tcPr>
          <w:p w:rsidR="00EE6E5C" w:rsidRPr="003811EB" w:rsidRDefault="00EE6E5C" w:rsidP="00812936">
            <w:pPr>
              <w:jc w:val="center"/>
              <w:outlineLvl w:val="2"/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</w:pPr>
            <w:r w:rsidRPr="003811EB"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  <w:t>Утверждаю</w:t>
            </w:r>
          </w:p>
          <w:p w:rsidR="00EE6E5C" w:rsidRPr="003811EB" w:rsidRDefault="00EE6E5C" w:rsidP="00812936">
            <w:pPr>
              <w:jc w:val="center"/>
              <w:outlineLvl w:val="2"/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</w:pPr>
            <w:r w:rsidRPr="003811EB"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  <w:t xml:space="preserve">Заместитель Председателя Кабинета Министров Чувашской Республики – министр сельского хозяйства </w:t>
            </w:r>
          </w:p>
          <w:p w:rsidR="00EE6E5C" w:rsidRPr="003811EB" w:rsidRDefault="00EE6E5C" w:rsidP="00812936">
            <w:pPr>
              <w:jc w:val="center"/>
              <w:outlineLvl w:val="2"/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</w:pPr>
            <w:r w:rsidRPr="003811EB"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  <w:t>Чувашской Республики</w:t>
            </w:r>
          </w:p>
          <w:p w:rsidR="00EE6E5C" w:rsidRPr="003811EB" w:rsidRDefault="00EE6E5C" w:rsidP="00812936">
            <w:pPr>
              <w:jc w:val="center"/>
              <w:outlineLvl w:val="2"/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</w:pPr>
            <w:r w:rsidRPr="003811EB"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  <w:t>________________ С.Г. Артамонов</w:t>
            </w:r>
          </w:p>
          <w:p w:rsidR="00EE6E5C" w:rsidRPr="003811EB" w:rsidRDefault="00EE6E5C" w:rsidP="00812936">
            <w:pPr>
              <w:jc w:val="center"/>
              <w:outlineLvl w:val="2"/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</w:pPr>
            <w:r w:rsidRPr="003811EB">
              <w:rPr>
                <w:rFonts w:ascii="Lora" w:eastAsia="Times New Roman" w:hAnsi="Lora" w:cs="Helvetica"/>
                <w:bCs/>
                <w:sz w:val="26"/>
                <w:szCs w:val="26"/>
                <w:lang w:eastAsia="ru-RU"/>
              </w:rPr>
              <w:t xml:space="preserve">_____ ______________ 2019 г. </w:t>
            </w:r>
          </w:p>
        </w:tc>
      </w:tr>
    </w:tbl>
    <w:p w:rsidR="00F12C0F" w:rsidRPr="003811EB" w:rsidRDefault="00F12C0F" w:rsidP="00812936">
      <w:pPr>
        <w:spacing w:after="0" w:line="240" w:lineRule="auto"/>
        <w:jc w:val="center"/>
        <w:outlineLvl w:val="2"/>
        <w:rPr>
          <w:rFonts w:ascii="Lora" w:eastAsia="Times New Roman" w:hAnsi="Lora" w:cs="Helvetica"/>
          <w:b/>
          <w:bCs/>
          <w:sz w:val="33"/>
          <w:szCs w:val="33"/>
          <w:lang w:eastAsia="ru-RU"/>
        </w:rPr>
      </w:pPr>
    </w:p>
    <w:p w:rsidR="00F12C0F" w:rsidRPr="003811EB" w:rsidRDefault="00F12C0F" w:rsidP="00812936">
      <w:pPr>
        <w:spacing w:after="0" w:line="240" w:lineRule="auto"/>
        <w:jc w:val="center"/>
        <w:outlineLvl w:val="2"/>
        <w:rPr>
          <w:rFonts w:ascii="Lora" w:eastAsia="Times New Roman" w:hAnsi="Lora" w:cs="Helvetica"/>
          <w:b/>
          <w:bCs/>
          <w:sz w:val="33"/>
          <w:szCs w:val="33"/>
          <w:lang w:eastAsia="ru-RU"/>
        </w:rPr>
      </w:pPr>
    </w:p>
    <w:p w:rsidR="00812936" w:rsidRPr="003811EB" w:rsidRDefault="00812936" w:rsidP="00812936">
      <w:pPr>
        <w:spacing w:after="0" w:line="240" w:lineRule="auto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Должностной регламент государственного гражданского служащего</w:t>
      </w:r>
    </w:p>
    <w:p w:rsidR="00812936" w:rsidRPr="003811EB" w:rsidRDefault="00812936" w:rsidP="00812936">
      <w:pPr>
        <w:spacing w:after="0" w:line="240" w:lineRule="auto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Чувашской Республики, замещающего должность главного специалиста -  эксперта отдела животноводства и племенного дела</w:t>
      </w:r>
    </w:p>
    <w:p w:rsidR="00812936" w:rsidRPr="003811EB" w:rsidRDefault="00812936" w:rsidP="00812936">
      <w:pPr>
        <w:spacing w:after="0" w:line="240" w:lineRule="auto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Министерства сельского хозяйства Чувашской Республики</w:t>
      </w:r>
    </w:p>
    <w:p w:rsidR="00E76F46" w:rsidRPr="003811EB" w:rsidRDefault="00E76F46" w:rsidP="00812936">
      <w:pPr>
        <w:spacing w:after="0" w:line="240" w:lineRule="auto"/>
        <w:jc w:val="center"/>
        <w:rPr>
          <w:rFonts w:ascii="Roboto" w:eastAsia="Times New Roman" w:hAnsi="Roboto" w:cs="Helvetica"/>
          <w:b/>
          <w:bCs/>
          <w:sz w:val="24"/>
          <w:szCs w:val="24"/>
          <w:lang w:eastAsia="ru-RU"/>
        </w:rPr>
      </w:pPr>
    </w:p>
    <w:p w:rsidR="00812936" w:rsidRPr="003811EB" w:rsidRDefault="00812936" w:rsidP="00812936">
      <w:pPr>
        <w:spacing w:after="0" w:line="240" w:lineRule="auto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I. Общие положения</w:t>
      </w:r>
    </w:p>
    <w:p w:rsidR="00812936" w:rsidRPr="003811EB" w:rsidRDefault="00812936" w:rsidP="00E76F46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 1.1.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</w:t>
      </w:r>
      <w:r w:rsidR="00E76F46"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отдела животноводства и племенного дела Министерства сельского хозяйства Чувашской Республики (далее –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эксперт) учреждается в Министерстве сельского хозяйства Чувашской Республики (далее – Министерство) с целью обеспечения деятельности отдела животноводства и племенного дела (далее – отдел) в соответствии с Положением об отделе животноводства и племенного дела.</w:t>
      </w:r>
      <w:proofErr w:type="gramEnd"/>
    </w:p>
    <w:p w:rsidR="00812936" w:rsidRPr="003811EB" w:rsidRDefault="00812936" w:rsidP="00E76F46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812936" w:rsidRPr="003811EB" w:rsidRDefault="00812936" w:rsidP="00E76F46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сельского хозяйства и ветеринарии.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1.4. Вид профессиональной служебной деятельности гражданского служащего: регулирование в сфере животноводства.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1.5.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назначается на должность и освобождается от должности министром сельского хозяйства Чувашской Республики (далее –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1.6. В период отсутствия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 его обязанности распределяются начальником отдела между работниками отдела Министерства.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II. Квалификационные требования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Для замещения должности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 устанавливаются</w:t>
      </w:r>
      <w:r w:rsidR="0072657C"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базовые и профессионально-функциональные квалификационные требования.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2.1. Базовые квалификационные требования: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2.1.1. Гражданский служащий, замещающий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 должен иметь высшее образование.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2.1.2. Для должности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 требования к стажу гражданской службы или работы по специальности, направлению подготовки не устанавливаются.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2.1.3.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должен обладать следующими базовыми знаниями и умениями: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2) знаниями основ: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Конституции Российской Федерации;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2.1.4. Умения гражданского служащего, замещающего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эксперта, должны включать: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умение мыслить системно;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умение достигать результата;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коммуникативные умения;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умение работать в стрессовых условиях;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2.2.1. Требования к специальности, замещающего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 не предъявляются.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2.2.2. Гражданский служащий, замещающий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1) </w:t>
      </w:r>
      <w:hyperlink r:id="rId6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Кодекс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Российской Федерации об административных правонарушениях от 30 декабря 2001 г. № 195-ФЗ;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2) Федеральный закон от 3 августа 1995 г. № 123–ФЗ «О племенном животноводстве»;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3) Федеральный закон от 27 июля 2004 г. № 79–ФЗ «О государственной гражданской службе Российской Федерации;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4) Федеральный </w:t>
      </w:r>
      <w:hyperlink r:id="rId7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закон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от 2 мая 2006 г. № 59-ФЗ "О порядке рассмотрения обращений граждан Российской Федерации";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5) Федеральный закон от 29 декабря 2006 г. № 264-ФЗ «О развитии сельского хозяйства»;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6) Федеральный </w:t>
      </w:r>
      <w:hyperlink r:id="rId8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закон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7) закон Чувашской Республики от 29 сентября 2014 г. № 49 «О развитии сельского хозяйства в Чувашской Республике»;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8) </w:t>
      </w:r>
      <w:hyperlink r:id="rId9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постановление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Правительства Российской Федерации от 6 марта 1996 г. № 244 "О мерах по реализации Федерального закона "О племенном животноводстве";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9) </w:t>
      </w:r>
      <w:hyperlink r:id="rId10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постановление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и индивидуальных предпринимателей";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10) </w:t>
      </w:r>
      <w:hyperlink r:id="rId11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постановление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Правительства Российской Федерации от 16 мая 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11) постановление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12) </w:t>
      </w:r>
      <w:hyperlink r:id="rId12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постановление Правительства Российской Федерации от 13 февраля 2017 г. № 177 "Об утверждении общих требований к разработке и утверждению проверочных листов (списков контрольных вопросов)"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13) постановление Кабинета Министров Чувашской Республики от 29 марта 2007 г. № 55 «Вопросы Министерства сельского хозяйства Чувашской Республики»;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14) </w:t>
      </w:r>
      <w:hyperlink r:id="rId13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постановление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Кабинета Министров Чувашской Республики от 29 апреля 2011 г. № 166 "О порядке разработки и утверждения административных регламентов исполнения государственных функций и предоставления государственных услуг";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15) </w:t>
      </w:r>
      <w:hyperlink r:id="rId14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постановление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Кабинета Министров Чувашской Республики от 14 ноября 2012 г. № 476 "Об утверждении Порядка осуществления регионального государственного надзора в области племенного животноводства на территории Чувашской Республики";</w:t>
      </w:r>
    </w:p>
    <w:p w:rsidR="00812936" w:rsidRPr="003811EB" w:rsidRDefault="00812936" w:rsidP="0072657C">
      <w:pPr>
        <w:spacing w:after="0" w:line="240" w:lineRule="auto"/>
        <w:ind w:firstLine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16) постановление Кабинета Министров Чувашской Республики от 18 декабря 2012 г. № 567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           17) постановление Кабинета Министров Чувашской Республики от 18 марта 2013 г. № 96 "Об утверждении Правил предоставления субсидий из республиканского бюджета Чувашской Республики на повышение продуктивности в молочном скотоводстве";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           18) постановление Кабинета Министров Чувашской Республики от 16 октября 2015 г. № 368 «Об утверждении Правил предоставления субсидий из республиканского бюджета Чувашской Республики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оборудования»;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           19) постановление Кабинета Министров Чувашской Республики от 8 февраля 2017 г. № 44 "Об утверждении правил предоставления субсидий из республиканского бюджета Чувашской Республики на содействие достижению целевых показателей".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          2.2.3. Иные профессиональные знания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</w:t>
      </w:r>
      <w:r w:rsidR="0072657C"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должны включать:</w:t>
      </w:r>
    </w:p>
    <w:p w:rsidR="00812936" w:rsidRPr="003811EB" w:rsidRDefault="00812936" w:rsidP="00812936">
      <w:pPr>
        <w:spacing w:after="0" w:line="240" w:lineRule="auto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           1) основные направления и приоритеты государственной политики в области АПК;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понятие ветеринарии;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проведение бонитировки скота;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обладание основными производственными навыками в работе по кормлению, уходу и содержанию животных;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знание технологии искусственного осеменения сельскохозяйственных животных;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знание основ болезней животных;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владение современными технологиями в животноводстве,   повышающими продуктивность и воспроизводство;</w:t>
      </w:r>
    </w:p>
    <w:p w:rsidR="00812936" w:rsidRPr="003811EB" w:rsidRDefault="00812936" w:rsidP="00812936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знание основ племенного животноводства, анализ состояния и тенденции развития племенного животноводства.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2.2.4. Гражданский служащий, замещающий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эксперта, должен обладать следующими профессиональными умениями: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1) работа с государственным реестром селекционных достижений;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2) проведение научных исследований в области животноводства;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3) изучение и внедрение передовых методов разведения, выращивания скота и птицы;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4) организация учета продуктивности животных;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5) оперативно принимать решения;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6) обеспечивать выполнение задач;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7) проводить деловые переговоры, публичные выступления;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8) организовывать работу по эффективному взаимодействию с государственными органами;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9) оказание государственных услуг.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2.2.5. Гражданский служащий, замещающий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</w:t>
      </w:r>
      <w:r w:rsidR="0072657C"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1) приемы и методы аналитической работы в сфере животноводства;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2) приемы и методы работы с использованием компьютерной техники;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3) приемы и методы работы с электронными таблицами и формами;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4) порядок работы с обращениями граждан;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5) порядок работы по разработке и принятию проектов правовых актов;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6)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применения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7)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2.2.6. Гражданский служащий, замещающий должность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эксперта, должен обладать следующими функциональными умениями: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1) подготовка аналитических, информационных материалов по отрасли животноводства;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2) разработка проектов нормативных правовых актов;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3) подготовка отчетов, докладов, тезисов, презентаций;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4) подготовка разъяснений, в том числе гражданам, по вопросам отрасли животноводства.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III. Должностные обязанности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3.1.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должен: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 Кроме того, исходя из задач и функций Министерства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3.2.1. Участвует в подготовке программных мероприятий по вопросам развития племенного животноводства.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3.2.2. Участвует в разработке и реализации мероприятий подпрограмм государственных программ, ведомственных целевых программ по предотвращению заноса африканской чумы свиней </w:t>
      </w:r>
      <w:r w:rsidR="00A67B99"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и гриппа птицы 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на территории Чувашской Республики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3.2.3. Ведет работу: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по организации и проведению совещаний и семинаров по вопросам развития племенного дела;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сбору оперативной информации по племенному животноводству;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обработке, анализу состояния и тенденции развития племенного 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3.2.4.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Участвует в организации и проведении конкурса «Лучший по профессии» по специальностям, в том числе республиканского конкурса операторов машинного доения коров и республиканского конкурса техников по искусственному осеменению сельскохозяйственных животных.</w:t>
      </w:r>
      <w:proofErr w:type="gramEnd"/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3.2.5. Исполняет основные обязанности должностного лица Министерства, уполномоченного на осуществление государственного надзора в области племенного животноводства на территории Чувашской Республики, установленные п. 3.2 раздела 3 постановления Кабинета Министров Чувашской Республики от 14 ноября 2012 г. № 476.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3.2.6. Готовит информацию, необходимую для подготовки аналитических справок по вопросам, относящимся к сфере ведения отдела.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3.2.7. Готовит информации о ходе выполнения указов Главы Чувашской Республики, постановлений Кабинета Министров Чувашской Республики, относящихся к сфере ведения отдела.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3.2.8. Готовит проекты ответов на поступившие в Отдел обращения и письма граждан и организаций в пределах своей компетенции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3.2.9. Представляет в Министерство сельского хозяйства Российской Федерации, в установленном порядке и в установленные сроки, следующие формы отчетности: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отчет о достижении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значений показателей результативности предоставления субсидии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на поддержку племенного животноводства (форма ГП-40);</w:t>
      </w:r>
    </w:p>
    <w:p w:rsidR="00A67B99" w:rsidRPr="003811EB" w:rsidRDefault="00A67B99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отчет о достижении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значений показателей результативности использования субсидий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из федерального бюджета бюджету Российской Федерации, направленных на повышение продуктивности в молочном скотоводстве (форма ГП-43);</w:t>
      </w:r>
    </w:p>
    <w:p w:rsidR="00A67B99" w:rsidRPr="003811EB" w:rsidRDefault="00A67B99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сведения об объемах и качестве реализованной животноводческой продукции за отчетный финансовый год (форма ГП-42);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сведения о продаже племенного скота (форма ППС);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сведения о поголовье племенного скота (форма ЧПС);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сведения о воспроизводстве крупного рогатого скота (форма СОЖ);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сведения о сохранности племенного маточного поголовья сельскохозяйственных животных (форма СПМП).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3.2.10. Обеспечивает выполнение показателей результативности по направлениям деятельности отдела, предусмотренных отчетом о достижении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значений показателей результативности использования субсидий Чувашской Республики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за отчетный год по форме, утвержденной Министерством сельского хозяйства Российской Федерации.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3.2.11. Представляет в структурные подразделения Министерства по их запросам аналитическую и прогнозную информацию в части, касающиеся отрасли животноводства.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3.2.12. Дает заключение на документы, представляемые </w:t>
      </w:r>
      <w:proofErr w:type="spell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сельхозтоваропроизводителями</w:t>
      </w:r>
      <w:proofErr w:type="spell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, осуществляющими деятельность в отрасли животноводства, в Министерство для получения бюджетных средств.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3.2.13. Осуществляет мониторинг соглашений о предоставлении субсидий и представляет в структурное подразделение Министерства по правовым вопросам документы для взыскания средств государственной поддержки в судебном порядке.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3.2.14. Проводит оценку регулирующего воздействия проектов нормативных правовых актов.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3.2.15. Подготавливает либо участвует в подготовке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актов, разрабатываемых Минсельхозом Чувашии, по вопросам относящихся к сфере ведения отдела.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3.2.16.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3.2.17. Исполняет обязанности начальника отдела в период его отсутствия на основании приказа Министерства.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3.2.18. Выполняет иные обязанности по указанию начальника отдела и руководства Министерства по направлениям деятельности отдела.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3.4. Готовит информацию для размещения на официальном сайте Министерства на Портале органов государственной власти Чувашской Республики в информационно-телекоммуникационной сети «Интернет» информацию по вопросам, относящимся к компетенции отдела.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IV. Права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4.1. Основные права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эксперта регулируются статьей 14 Федерального закона «О государственной гражданской службе Российской Федерации», а также п. 3.1 раздела 3 постановления Кабинета Министров Чувашской Республики от 14 ноября 2012 г. № 476.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4.2. Кроме того,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имеет право: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гражданами и организациями АПК Чувашии;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 АПК Чувашии, для исполнения должностных обязанностей;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V. Ответственность главного специалиста-эксперта за неисполнение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5.1.Главный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эксперт несет предусмотренную законодательством Российской Федерации ответственность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за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: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5.2.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5.3.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VI. Перечень вопросов, по которым главный специалист-эксперт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и иные решения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6.1. Вопросы, по которым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рт впр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уведомление начальника отдела о текущем состоянии выполнения поручений, заданий.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6.2. Вопросы, по которым главный специалист - эксперт обязан самостоятельно принимать управленческие и иные решения: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VII. Перечень вопросов, по которым главный специалист-эксперт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 xml:space="preserve">вправе или </w:t>
      </w:r>
      <w:proofErr w:type="gramStart"/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обязан</w:t>
      </w:r>
      <w:proofErr w:type="gramEnd"/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 xml:space="preserve"> участвовать в подготовке проектов нормативных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7.1.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рт впр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аве участвовать при подготовке управленческих и иных решений по вопросам, относящимся к компетенции отдела.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7.2.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обязан участвовать при подготовке: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проектов нормативных правовых актов Министерства;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положений об отделе и Министерстве;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VIII. Сроки и процедуры подготовки, рассмотрения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812936" w:rsidRPr="003811EB" w:rsidRDefault="00812936" w:rsidP="0072657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и принятия данных решений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72657C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EE6E5C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IX. Порядок служебного взаимодействия главного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EE6E5C"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</w:t>
      </w: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а также с организациями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9.1.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9.2.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9.3. 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консультирует по вопросам, отнесенным к компетенции отдела;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A67B99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X. Перечень государственных услуг, оказываемых гражданам</w:t>
      </w:r>
    </w:p>
    <w:p w:rsidR="00812936" w:rsidRPr="003811EB" w:rsidRDefault="00812936" w:rsidP="00A67B99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812936" w:rsidRPr="003811EB" w:rsidRDefault="00812936" w:rsidP="00A67B99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государственного органа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 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Главный специалист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эксперт в пределах своей компетенции осуществляет предоставление государственной услуги «Осуществляет аттестацию экспертов, привлекаемых Министерством к проведению мероприятий по контролю в соответствии с Федеральным </w:t>
      </w:r>
      <w:hyperlink r:id="rId15" w:history="1">
        <w:r w:rsidRPr="003811EB">
          <w:rPr>
            <w:rFonts w:ascii="Roboto" w:eastAsia="Times New Roman" w:hAnsi="Roboto" w:cs="Helvetica"/>
            <w:sz w:val="24"/>
            <w:szCs w:val="24"/>
            <w:lang w:eastAsia="ru-RU"/>
          </w:rPr>
          <w:t>законом</w:t>
        </w:r>
      </w:hyperlink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я(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надзора) и муниципального контроля.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A67B99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XI. Показатели эффективности и результативности профессиональной</w:t>
      </w:r>
    </w:p>
    <w:p w:rsidR="00812936" w:rsidRPr="003811EB" w:rsidRDefault="00812936" w:rsidP="00A67B99">
      <w:pPr>
        <w:spacing w:after="0" w:line="240" w:lineRule="auto"/>
        <w:ind w:left="45"/>
        <w:jc w:val="center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Cs/>
          <w:sz w:val="24"/>
          <w:szCs w:val="24"/>
          <w:lang w:eastAsia="ru-RU"/>
        </w:rPr>
        <w:t>служебной деятельности главного специалиста-эксперта</w:t>
      </w:r>
    </w:p>
    <w:p w:rsidR="00812936" w:rsidRPr="003811EB" w:rsidRDefault="00812936" w:rsidP="00812936">
      <w:pPr>
        <w:spacing w:after="0" w:line="240" w:lineRule="auto"/>
        <w:ind w:left="45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 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Эффективность и результативность профессиональной служебной деятельности главного специалиста</w:t>
      </w:r>
      <w:r w:rsidRPr="003811EB">
        <w:rPr>
          <w:rFonts w:ascii="Roboto" w:eastAsia="Times New Roman" w:hAnsi="Roboto" w:cs="Helvetica"/>
          <w:b/>
          <w:bCs/>
          <w:sz w:val="24"/>
          <w:szCs w:val="24"/>
          <w:lang w:eastAsia="ru-RU"/>
        </w:rPr>
        <w:t>-</w:t>
      </w: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 xml:space="preserve">эксперта оценивается </w:t>
      </w:r>
      <w:proofErr w:type="gramStart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по</w:t>
      </w:r>
      <w:proofErr w:type="gramEnd"/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: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12936" w:rsidRPr="003811EB" w:rsidRDefault="00812936" w:rsidP="00A67B99">
      <w:pPr>
        <w:spacing w:after="0" w:line="240" w:lineRule="auto"/>
        <w:ind w:left="708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812936" w:rsidRPr="003811EB" w:rsidRDefault="00812936" w:rsidP="00A67B99">
      <w:pPr>
        <w:spacing w:after="0" w:line="240" w:lineRule="auto"/>
        <w:ind w:left="45" w:firstLine="663"/>
        <w:jc w:val="both"/>
        <w:rPr>
          <w:rFonts w:ascii="Roboto" w:eastAsia="Times New Roman" w:hAnsi="Roboto" w:cs="Helvetica"/>
          <w:sz w:val="24"/>
          <w:szCs w:val="24"/>
          <w:lang w:eastAsia="ru-RU"/>
        </w:rPr>
      </w:pPr>
      <w:r w:rsidRPr="003811EB">
        <w:rPr>
          <w:rFonts w:ascii="Roboto" w:eastAsia="Times New Roman" w:hAnsi="Roboto" w:cs="Helvetica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6B75F3" w:rsidRPr="003811EB" w:rsidRDefault="00F140A1"/>
    <w:sectPr w:rsidR="006B75F3" w:rsidRPr="003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4E7"/>
    <w:multiLevelType w:val="multilevel"/>
    <w:tmpl w:val="A0EA9B4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entative="1">
      <w:start w:val="1"/>
      <w:numFmt w:val="decimal"/>
      <w:lvlText w:val="%2."/>
      <w:lvlJc w:val="left"/>
      <w:pPr>
        <w:tabs>
          <w:tab w:val="num" w:pos="2385"/>
        </w:tabs>
        <w:ind w:left="2385" w:hanging="360"/>
      </w:pPr>
    </w:lvl>
    <w:lvl w:ilvl="2" w:tentative="1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</w:lvl>
    <w:lvl w:ilvl="3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entative="1">
      <w:start w:val="1"/>
      <w:numFmt w:val="decimal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decimal"/>
      <w:lvlText w:val="%6."/>
      <w:lvlJc w:val="left"/>
      <w:pPr>
        <w:tabs>
          <w:tab w:val="num" w:pos="5265"/>
        </w:tabs>
        <w:ind w:left="5265" w:hanging="36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decimal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decimal"/>
      <w:lvlText w:val="%9."/>
      <w:lvlJc w:val="left"/>
      <w:pPr>
        <w:tabs>
          <w:tab w:val="num" w:pos="7425"/>
        </w:tabs>
        <w:ind w:left="74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36"/>
    <w:rsid w:val="003811EB"/>
    <w:rsid w:val="00422AD0"/>
    <w:rsid w:val="004478B6"/>
    <w:rsid w:val="0072657C"/>
    <w:rsid w:val="00812936"/>
    <w:rsid w:val="00971330"/>
    <w:rsid w:val="00A67B99"/>
    <w:rsid w:val="00BB69F5"/>
    <w:rsid w:val="00E76F46"/>
    <w:rsid w:val="00EE6E5C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936"/>
    <w:rPr>
      <w:strike w:val="0"/>
      <w:dstrike w:val="0"/>
      <w:color w:val="00595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12936"/>
    <w:rPr>
      <w:b/>
      <w:bCs/>
    </w:rPr>
  </w:style>
  <w:style w:type="paragraph" w:styleId="a5">
    <w:name w:val="Normal (Web)"/>
    <w:basedOn w:val="a"/>
    <w:uiPriority w:val="99"/>
    <w:semiHidden/>
    <w:unhideWhenUsed/>
    <w:rsid w:val="0081293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657C"/>
    <w:pPr>
      <w:ind w:left="720"/>
      <w:contextualSpacing/>
    </w:pPr>
  </w:style>
  <w:style w:type="table" w:styleId="a9">
    <w:name w:val="Table Grid"/>
    <w:basedOn w:val="a1"/>
    <w:uiPriority w:val="59"/>
    <w:rsid w:val="00EE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936"/>
    <w:rPr>
      <w:strike w:val="0"/>
      <w:dstrike w:val="0"/>
      <w:color w:val="00595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12936"/>
    <w:rPr>
      <w:b/>
      <w:bCs/>
    </w:rPr>
  </w:style>
  <w:style w:type="paragraph" w:styleId="a5">
    <w:name w:val="Normal (Web)"/>
    <w:basedOn w:val="a"/>
    <w:uiPriority w:val="99"/>
    <w:semiHidden/>
    <w:unhideWhenUsed/>
    <w:rsid w:val="0081293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657C"/>
    <w:pPr>
      <w:ind w:left="720"/>
      <w:contextualSpacing/>
    </w:pPr>
  </w:style>
  <w:style w:type="table" w:styleId="a9">
    <w:name w:val="Table Grid"/>
    <w:basedOn w:val="a1"/>
    <w:uiPriority w:val="59"/>
    <w:rsid w:val="00EE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4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76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85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9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7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6F665A1D60D22E152F41B9571EE5C5E0A2AC7293C7DD3A5DC923323hDh5M" TargetMode="External"/><Relationship Id="rId13" Type="http://schemas.openxmlformats.org/officeDocument/2006/relationships/hyperlink" Target="consultantplus://offline/ref=1C36F665A1D60D22E152EA16831DB058540072CB233B7E86F083C96E74DCEACF4F586086B1A5DB7F0D2E2FhCh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36F665A1D60D22E152F41B9571EE5C5D0324C52F337DD3A5DC923323hDh5M" TargetMode="External"/><Relationship Id="rId12" Type="http://schemas.openxmlformats.org/officeDocument/2006/relationships/hyperlink" Target="http://gov.cap.ru/UserFiles/orgs/GovId_16/postanovlenie_praviteljstva_rossijskoj_federacii_ot_13.02.2017_%e2%84%96_17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6F665A1D60D22E152F41B9571EE5C5E0A29C02F3A7DD3A5DC923323hDh5M" TargetMode="External"/><Relationship Id="rId11" Type="http://schemas.openxmlformats.org/officeDocument/2006/relationships/hyperlink" Target="consultantplus://offline/ref=1C36F665A1D60D22E152F41B9571EE5C5D0E24C72E337DD3A5DC923323D5E098081739C4F5A8DA7Eh0h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E1E3593979229228B3A17AED962F988BEAE373A3B0526A8ACEF73D3Dk7M1K" TargetMode="External"/><Relationship Id="rId10" Type="http://schemas.openxmlformats.org/officeDocument/2006/relationships/hyperlink" Target="consultantplus://offline/ref=1C36F665A1D60D22E152F41B9571EE5C5E0B28C32D3F7DD3A5DC923323hDh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6F665A1D60D22E152F41B9571EE5C5D0C2FC52C337DD3A5DC923323hDh5M" TargetMode="External"/><Relationship Id="rId14" Type="http://schemas.openxmlformats.org/officeDocument/2006/relationships/hyperlink" Target="consultantplus://offline/ref=1C36F665A1D60D22E152EA16831DB058540072CB233F7486FE83C96E74DCEACFh4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23.</dc:creator>
  <cp:lastModifiedBy>Минсельхоз 27.</cp:lastModifiedBy>
  <cp:revision>2</cp:revision>
  <cp:lastPrinted>2019-04-02T11:46:00Z</cp:lastPrinted>
  <dcterms:created xsi:type="dcterms:W3CDTF">2019-04-09T06:15:00Z</dcterms:created>
  <dcterms:modified xsi:type="dcterms:W3CDTF">2019-04-09T06:15:00Z</dcterms:modified>
</cp:coreProperties>
</file>