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2" w:rsidRDefault="00BC5AC2">
      <w:pPr>
        <w:pStyle w:val="ConsPlusNormal"/>
        <w:jc w:val="both"/>
        <w:outlineLvl w:val="0"/>
      </w:pPr>
    </w:p>
    <w:p w:rsidR="00BC5AC2" w:rsidRDefault="00BC5AC2">
      <w:pPr>
        <w:pStyle w:val="ConsPlusNormal"/>
        <w:jc w:val="right"/>
        <w:outlineLvl w:val="0"/>
      </w:pPr>
      <w:r>
        <w:t>Приложение N 4</w:t>
      </w:r>
    </w:p>
    <w:p w:rsidR="00BC5AC2" w:rsidRDefault="00BC5AC2">
      <w:pPr>
        <w:pStyle w:val="ConsPlusNormal"/>
        <w:jc w:val="right"/>
      </w:pPr>
      <w:r>
        <w:t>к государственной программе</w:t>
      </w:r>
    </w:p>
    <w:p w:rsidR="00BC5AC2" w:rsidRDefault="00BC5AC2">
      <w:pPr>
        <w:pStyle w:val="ConsPlusNormal"/>
        <w:jc w:val="right"/>
      </w:pPr>
      <w:r>
        <w:t>Чувашской Республики</w:t>
      </w:r>
    </w:p>
    <w:p w:rsidR="00BC5AC2" w:rsidRDefault="00BC5AC2">
      <w:pPr>
        <w:pStyle w:val="ConsPlusNormal"/>
        <w:jc w:val="right"/>
      </w:pPr>
      <w:r>
        <w:t>"Развитие потенциала</w:t>
      </w:r>
    </w:p>
    <w:p w:rsidR="00BC5AC2" w:rsidRDefault="00BC5AC2">
      <w:pPr>
        <w:pStyle w:val="ConsPlusNormal"/>
        <w:jc w:val="right"/>
      </w:pPr>
      <w:r>
        <w:t>государственного управления"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</w:pPr>
      <w:r>
        <w:t>Подпрограмма</w:t>
      </w:r>
    </w:p>
    <w:p w:rsidR="00BC5AC2" w:rsidRDefault="00BC5AC2">
      <w:pPr>
        <w:pStyle w:val="ConsPlusTitle"/>
        <w:jc w:val="center"/>
      </w:pPr>
      <w:r>
        <w:t>"Развитие муниципальной службы в Чувашской Республике"</w:t>
      </w:r>
    </w:p>
    <w:p w:rsidR="00BC5AC2" w:rsidRDefault="00BC5AC2">
      <w:pPr>
        <w:pStyle w:val="ConsPlusTitle"/>
        <w:jc w:val="center"/>
      </w:pPr>
      <w:r>
        <w:t>государственной программы Чувашской Республики "Развитие</w:t>
      </w:r>
    </w:p>
    <w:p w:rsidR="00BC5AC2" w:rsidRDefault="00BC5AC2">
      <w:pPr>
        <w:pStyle w:val="ConsPlusTitle"/>
        <w:jc w:val="center"/>
      </w:pPr>
      <w:r>
        <w:t>потенциала государственного управления"</w:t>
      </w:r>
    </w:p>
    <w:p w:rsidR="00BC5AC2" w:rsidRDefault="00BC5A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 xml:space="preserve">Министерство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повышение эффективности муниципальной службы в Чувашской Республике (далее также - муниципальная служба), а также результативности профессиональной служебной деятельности муниципальных служащих в Чувашской Республике (далее также - муниципальные служащие)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совершенствование системы правового регулирования муниципальной службы;</w:t>
            </w:r>
          </w:p>
          <w:p w:rsidR="00BC5AC2" w:rsidRDefault="00BC5AC2">
            <w:pPr>
              <w:pStyle w:val="ConsPlusNormal"/>
              <w:jc w:val="both"/>
            </w:pPr>
            <w:r>
              <w:t>внедрение новых кадровых технологий на муниципальной службе;</w:t>
            </w:r>
          </w:p>
          <w:p w:rsidR="00BC5AC2" w:rsidRDefault="00BC5AC2">
            <w:pPr>
              <w:pStyle w:val="ConsPlusNormal"/>
              <w:jc w:val="both"/>
            </w:pPr>
            <w: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соответственно - кадровые резервы, органы местного самоуправления);</w:t>
            </w:r>
          </w:p>
          <w:p w:rsidR="00BC5AC2" w:rsidRDefault="00BC5AC2">
            <w:pPr>
              <w:pStyle w:val="ConsPlusNormal"/>
              <w:jc w:val="both"/>
            </w:pPr>
            <w:r>
              <w:t>повышение престижа муниципальной службы и органов местного самоуправления в Чувашской Республике;</w:t>
            </w:r>
          </w:p>
          <w:p w:rsidR="00BC5AC2" w:rsidRDefault="00BC5AC2">
            <w:pPr>
              <w:pStyle w:val="ConsPlusNormal"/>
              <w:jc w:val="both"/>
            </w:pPr>
            <w: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формирование положительного имиджа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обеспечение стабильности кадрового состава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совершенствование организационной системы управления кадровыми процессами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BC5AC2" w:rsidRDefault="00BC5AC2">
            <w:pPr>
              <w:pStyle w:val="ConsPlusNormal"/>
              <w:jc w:val="both"/>
            </w:pPr>
            <w:r>
      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Федерации, - 100,0 процента;</w:t>
            </w:r>
          </w:p>
          <w:p w:rsidR="00BC5AC2" w:rsidRDefault="00BC5AC2">
            <w:pPr>
              <w:pStyle w:val="ConsPlusNormal"/>
              <w:jc w:val="both"/>
            </w:pPr>
            <w: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- 100 человек;</w:t>
            </w:r>
          </w:p>
          <w:p w:rsidR="00BC5AC2" w:rsidRDefault="00BC5AC2">
            <w:pPr>
              <w:pStyle w:val="ConsPlusNormal"/>
              <w:jc w:val="both"/>
            </w:pPr>
            <w:r>
              <w:t>доля вакантных должностей муниципальной службы, замещаемых из кадрового резерва органов местного самоуправления, - 50,0 процента;</w:t>
            </w:r>
          </w:p>
          <w:p w:rsidR="00BC5AC2" w:rsidRDefault="00BC5AC2">
            <w:pPr>
              <w:pStyle w:val="ConsPlusNormal"/>
              <w:jc w:val="both"/>
            </w:pPr>
            <w: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- 12,0 процента;</w:t>
            </w:r>
          </w:p>
          <w:p w:rsidR="00BC5AC2" w:rsidRDefault="00BC5AC2">
            <w:pPr>
              <w:pStyle w:val="ConsPlusNormal"/>
              <w:jc w:val="both"/>
            </w:pPr>
            <w: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2019 - 2035 годы:</w:t>
            </w:r>
          </w:p>
          <w:p w:rsidR="00BC5AC2" w:rsidRDefault="00BC5AC2">
            <w:pPr>
              <w:pStyle w:val="ConsPlusNormal"/>
              <w:jc w:val="both"/>
            </w:pPr>
            <w:r>
              <w:t>1 этап - 2019 - 2025 годы;</w:t>
            </w:r>
          </w:p>
          <w:p w:rsidR="00BC5AC2" w:rsidRDefault="00BC5AC2">
            <w:pPr>
              <w:pStyle w:val="ConsPlusNormal"/>
              <w:jc w:val="both"/>
            </w:pPr>
            <w:r>
              <w:t>2 этап - 2026 - 2030 годы;</w:t>
            </w:r>
          </w:p>
          <w:p w:rsidR="00BC5AC2" w:rsidRDefault="00BC5AC2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 xml:space="preserve">прогнозируемые объемы финансирования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29081,5 тыс. рублей, в том числе:</w:t>
            </w:r>
          </w:p>
          <w:p w:rsidR="00BC5AC2" w:rsidRDefault="00BC5AC2">
            <w:pPr>
              <w:pStyle w:val="ConsPlusNormal"/>
              <w:jc w:val="both"/>
            </w:pPr>
            <w:r>
              <w:t>в 2019 году - 1774,3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2020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2021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2022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2023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2024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2025 году - 1706,7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- 8533,5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- 8533,5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из них средства:</w:t>
            </w:r>
          </w:p>
          <w:p w:rsidR="00BC5AC2" w:rsidRDefault="00BC5AC2">
            <w:pPr>
              <w:pStyle w:val="ConsPlusNormal"/>
              <w:jc w:val="both"/>
            </w:pPr>
            <w:r>
              <w:t>республиканского бюджета Чувашской Республики - 2318,4 тыс. рублей (8,0 процента), в том числе:</w:t>
            </w:r>
          </w:p>
          <w:p w:rsidR="00BC5AC2" w:rsidRDefault="00BC5AC2">
            <w:pPr>
              <w:pStyle w:val="ConsPlusNormal"/>
              <w:jc w:val="both"/>
            </w:pPr>
            <w:r>
              <w:t>в 2019 году - 200,0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2020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2021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2022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2023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2024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2025 году - 132,4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- 662,0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- 662,0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местных бюджетов - 26763,1 тыс. рублей (72,0 процента), в том числе:</w:t>
            </w:r>
          </w:p>
          <w:p w:rsidR="00BC5AC2" w:rsidRDefault="00BC5AC2">
            <w:pPr>
              <w:pStyle w:val="ConsPlusNormal"/>
              <w:jc w:val="both"/>
            </w:pPr>
            <w:r>
              <w:t>в 2019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2020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2021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2022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2023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2024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>в 2025 году - 1574,3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- 7871,5 тыс. рублей;</w:t>
            </w:r>
          </w:p>
          <w:p w:rsidR="00BC5AC2" w:rsidRDefault="00BC5AC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- 7871,5 тыс. рублей</w:t>
            </w:r>
          </w:p>
        </w:tc>
      </w:tr>
      <w:tr w:rsidR="00BC5A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полнота нормативно-правовой базы Чувашской Республики по вопросам муниципальной службы;</w:t>
            </w:r>
          </w:p>
          <w:p w:rsidR="00BC5AC2" w:rsidRDefault="00BC5AC2">
            <w:pPr>
              <w:pStyle w:val="ConsPlusNormal"/>
              <w:jc w:val="both"/>
            </w:pPr>
            <w:proofErr w:type="gramStart"/>
            <w: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  <w:proofErr w:type="gramEnd"/>
          </w:p>
          <w:p w:rsidR="00BC5AC2" w:rsidRDefault="00BC5AC2">
            <w:pPr>
              <w:pStyle w:val="ConsPlusNormal"/>
              <w:jc w:val="both"/>
            </w:pPr>
            <w: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применение современных методов оценки граждан и муниципальных служащих;</w:t>
            </w:r>
          </w:p>
          <w:p w:rsidR="00BC5AC2" w:rsidRDefault="00BC5AC2">
            <w:pPr>
              <w:pStyle w:val="ConsPlusNormal"/>
              <w:jc w:val="both"/>
            </w:pPr>
            <w:r>
              <w:t>доверие граждан к деятельности муниципальных служащих;</w:t>
            </w:r>
          </w:p>
          <w:p w:rsidR="00BC5AC2" w:rsidRDefault="00BC5AC2">
            <w:pPr>
              <w:pStyle w:val="ConsPlusNormal"/>
              <w:jc w:val="both"/>
            </w:pPr>
            <w:r>
              <w:lastRenderedPageBreak/>
              <w:t>стабильность профессионального кадрового состава муниципальной службы;</w:t>
            </w:r>
          </w:p>
          <w:p w:rsidR="00BC5AC2" w:rsidRDefault="00BC5AC2">
            <w:pPr>
              <w:pStyle w:val="ConsPlusNormal"/>
              <w:jc w:val="both"/>
            </w:pPr>
            <w:r>
              <w:t>эффективность кадровых резервов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t>престиж муниципальной службы;</w:t>
            </w:r>
          </w:p>
          <w:p w:rsidR="00BC5AC2" w:rsidRDefault="00BC5AC2">
            <w:pPr>
              <w:pStyle w:val="ConsPlusNormal"/>
              <w:jc w:val="both"/>
            </w:pPr>
            <w:r>
              <w:t>формирование положительного имиджа органов местного самоуправления.</w:t>
            </w:r>
          </w:p>
        </w:tc>
      </w:tr>
    </w:tbl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  <w:outlineLvl w:val="1"/>
      </w:pPr>
      <w:r>
        <w:t>Раздел I. Приоритеты и цель подпрограммы "Развитие</w:t>
      </w:r>
    </w:p>
    <w:p w:rsidR="00BC5AC2" w:rsidRDefault="00BC5AC2">
      <w:pPr>
        <w:pStyle w:val="ConsPlusTitle"/>
        <w:jc w:val="center"/>
      </w:pPr>
      <w:r>
        <w:t>муниципальной службы в Чувашской Республике" государственной</w:t>
      </w:r>
    </w:p>
    <w:p w:rsidR="00BC5AC2" w:rsidRDefault="00BC5AC2">
      <w:pPr>
        <w:pStyle w:val="ConsPlusTitle"/>
        <w:jc w:val="center"/>
      </w:pPr>
      <w:r>
        <w:t>программы Чувашской Республики "Развитие потенциала</w:t>
      </w:r>
    </w:p>
    <w:p w:rsidR="00BC5AC2" w:rsidRDefault="00BC5AC2">
      <w:pPr>
        <w:pStyle w:val="ConsPlusTitle"/>
        <w:jc w:val="center"/>
      </w:pPr>
      <w:r>
        <w:t>государственного управления", общая характеристика участия</w:t>
      </w:r>
    </w:p>
    <w:p w:rsidR="00BC5AC2" w:rsidRDefault="00BC5AC2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BC5AC2" w:rsidRDefault="00BC5AC2">
      <w:pPr>
        <w:pStyle w:val="ConsPlusTitle"/>
        <w:jc w:val="center"/>
      </w:pPr>
      <w:r>
        <w:t>и городских округов в реализации подпрограммы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ind w:firstLine="540"/>
        <w:jc w:val="both"/>
      </w:pPr>
      <w:proofErr w:type="gramStart"/>
      <w:r>
        <w:t xml:space="preserve">Приоритеты в вопросах развития муниципальной службы определены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государственного управления",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муниципальной службе в Чувашской Республике" и основными целями государственной программы Чувашской Республики "Развитие потенциала государственного управления".</w:t>
      </w:r>
      <w:proofErr w:type="gramEnd"/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Основной целью подпрограммы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(далее - подпрограмма) является 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совершенствование системы правового регулирования муниципальной службы;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внедрение новых кадровых технологий на муниципальной службе;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повышение престижа муниципальной службы и органов местного самоуправления в Чувашской Республике;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формирование положительного имиджа органов местного самоуправления;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обеспечение стабильности кадрового состава органов местного самоуправления;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совершенствование организационной системы управления кадровыми процессами.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BC5AC2" w:rsidRDefault="00BC5AC2">
      <w:pPr>
        <w:pStyle w:val="ConsPlusNormal"/>
        <w:spacing w:before="200"/>
        <w:ind w:firstLine="540"/>
        <w:jc w:val="both"/>
      </w:pPr>
      <w:proofErr w:type="gramStart"/>
      <w: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Республике, внедрение на муниципальной службе современных кадровых технологий.</w:t>
      </w:r>
      <w:proofErr w:type="gramEnd"/>
    </w:p>
    <w:p w:rsidR="00BC5AC2" w:rsidRDefault="00BC5AC2">
      <w:pPr>
        <w:pStyle w:val="ConsPlusNormal"/>
        <w:spacing w:before="200"/>
        <w:ind w:firstLine="540"/>
        <w:jc w:val="both"/>
      </w:pPr>
      <w:proofErr w:type="gramStart"/>
      <w:r>
        <w:t xml:space="preserve"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</w:t>
      </w:r>
      <w:r>
        <w:lastRenderedPageBreak/>
        <w:t>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  <w:outlineLvl w:val="1"/>
      </w:pPr>
      <w:r>
        <w:t>Раздел II. Перечень и сведения о целевых индикаторах</w:t>
      </w:r>
    </w:p>
    <w:p w:rsidR="00BC5AC2" w:rsidRDefault="00BC5AC2">
      <w:pPr>
        <w:pStyle w:val="ConsPlusTitle"/>
        <w:jc w:val="center"/>
      </w:pPr>
      <w:r>
        <w:t xml:space="preserve">и </w:t>
      </w:r>
      <w:proofErr w:type="gramStart"/>
      <w:r>
        <w:t>показателях</w:t>
      </w:r>
      <w:proofErr w:type="gramEnd"/>
      <w:r>
        <w:t xml:space="preserve"> подпрограммы с расшифровкой плановых значений</w:t>
      </w:r>
    </w:p>
    <w:p w:rsidR="00BC5AC2" w:rsidRDefault="00BC5AC2">
      <w:pPr>
        <w:pStyle w:val="ConsPlusTitle"/>
        <w:jc w:val="center"/>
      </w:pPr>
      <w:r>
        <w:t>по годам ее реализации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ind w:firstLine="540"/>
        <w:jc w:val="both"/>
      </w:pPr>
      <w:r>
        <w:t>Целевыми индикаторами и показателями подпрограммы являются: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вакантных должностей муниципальной службы, замещаемых из кадрового резерва органов местного самоуправления;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2030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2035 году - 100,0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lastRenderedPageBreak/>
        <w:t>в 2023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2030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2035 году - 100 человек;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вакантных должностей муниципальной службы, замещаемых из кадрового резерва органов местного самоуправления: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2030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2035 году - 50,0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2030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2035 году - 12,0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- 70,0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- 70,0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- 70,0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- 80,0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- 80,0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- 80,0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lastRenderedPageBreak/>
        <w:t>в 2025 году - 80,0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2030 году - 80,0 процента;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2035 году - 80,0 процента.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  <w:outlineLvl w:val="1"/>
      </w:pPr>
      <w:r>
        <w:t>Раздел III. Характеристики основных мероприятий, мероприятий</w:t>
      </w:r>
    </w:p>
    <w:p w:rsidR="00BC5AC2" w:rsidRDefault="00BC5AC2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ind w:firstLine="540"/>
        <w:jc w:val="both"/>
      </w:pPr>
      <w: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>
        <w:t>целом</w:t>
      </w:r>
      <w:proofErr w:type="gramEnd"/>
      <w:r>
        <w:t>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Подпрограмма объединяет пять основных мероприятий: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1.1. Совершенствование и развитие нормативно-правовой базы Чувашской Республики, регулирующей вопросы муниципальной службы.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1.2. Методическое и консультационное обеспечение деятельности кадровых служб органов местного самоуправления в Чувашской Республике.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Основное мероприятие 2. Организация дополнительного профессионального развития муниципальных служащих в Чувашской Республике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будут реализованы следующие мероприятия: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2.1. Переподготовка и повышение квалификации кадров для муниципальной службы.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Мероприятие 2.2. Организация прохождения практики студентами образовательных организаций высшего образования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Основное мероприятие 3. Внедрение на муниципальной службе современных кадровых технологий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Основное мероприятие 4. Повышение престижа муниципальной службы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4.1. Формирование кадровых резервов и их эффективное использование.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Мероприятие 4.2. Проведение конкурса "Лучший муниципальный служащий в Чувашской Республике".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Основное мероприятие 5. Формирование положительного имиджа органов местного самоуправления в Чувашской Республике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lastRenderedPageBreak/>
        <w:t xml:space="preserve">Мероприятие 5.1. Проведение социологических опросов или </w:t>
      </w:r>
      <w:proofErr w:type="gramStart"/>
      <w:r>
        <w:t>интернет-опросов</w:t>
      </w:r>
      <w:proofErr w:type="gramEnd"/>
      <w: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Мероприятие 5.2. Анализ результатов социологических опросов или </w:t>
      </w:r>
      <w:proofErr w:type="gramStart"/>
      <w:r>
        <w:t>интернет-опросов</w:t>
      </w:r>
      <w:proofErr w:type="gramEnd"/>
      <w:r>
        <w:t>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1 этап - 2019 - 2025 годы;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2 этап - 2026 - 2030 годы;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3 этап - 2031 - 2035 годы.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  <w:outlineLvl w:val="1"/>
      </w:pPr>
      <w:r>
        <w:t>Раздел IV. Обоснование объема финансовых ресурсов,</w:t>
      </w:r>
    </w:p>
    <w:p w:rsidR="00BC5AC2" w:rsidRDefault="00BC5AC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BC5AC2" w:rsidRDefault="00BC5AC2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BC5AC2" w:rsidRDefault="00BC5AC2">
      <w:pPr>
        <w:pStyle w:val="ConsPlusTitle"/>
        <w:jc w:val="center"/>
      </w:pPr>
      <w:r>
        <w:t>по этапам и годам реализации подпрограммы)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составляет 29081,5 тыс. рублей, в том числе за счет средств: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- 2318,4 тыс. рублей (8,0 процента);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местных бюджетов - 26763,1 тыс. рублей (72,0 процента).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Прогнозируемый объем финансирования подпрограммы на 1 </w:t>
      </w:r>
      <w:proofErr w:type="gramStart"/>
      <w:r>
        <w:t>этапе</w:t>
      </w:r>
      <w:proofErr w:type="gramEnd"/>
      <w:r>
        <w:t xml:space="preserve"> составляет 12014,5 тыс. рублей, в том числе: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- 1774,3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- 1706,7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- 994,4 тыс. рублей, в том числе: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2019 году - 200,0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- 132,4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местных бюджетов - 11020,1 тыс. рублей, в том числе: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lastRenderedPageBreak/>
        <w:t>в 2019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2020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2021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2022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2023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2024 году - 1574,3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в 2025 году - 1574,3 тыс. рублей.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На 2 этапе, в 2026 - 2030 годах, объем финансирования подпрограммы составляет 8533,5 тыс. рублей, из них средства: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- 662,0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местных бюджетов - 7871,5 тыс. рублей.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На 3 этапе, в 2031 - 2035 годах, объем финансирования подпрограммы составляет 8533,5 тыс. рублей, из них средства: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- 662,0 тыс. рублей;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местных бюджетов - 7871,5 тыс. рублей.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C5AC2" w:rsidRDefault="00BC5AC2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260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right"/>
        <w:outlineLvl w:val="1"/>
      </w:pPr>
      <w:r>
        <w:t>Приложение</w:t>
      </w:r>
    </w:p>
    <w:p w:rsidR="00BC5AC2" w:rsidRDefault="00BC5AC2">
      <w:pPr>
        <w:pStyle w:val="ConsPlusNormal"/>
        <w:jc w:val="right"/>
      </w:pPr>
      <w:r>
        <w:t>к подпрограмме "Развитие муниципальной</w:t>
      </w:r>
    </w:p>
    <w:p w:rsidR="00BC5AC2" w:rsidRDefault="00BC5AC2">
      <w:pPr>
        <w:pStyle w:val="ConsPlusNormal"/>
        <w:jc w:val="right"/>
      </w:pPr>
      <w:r>
        <w:t>службы в Чувашской Республике"</w:t>
      </w:r>
    </w:p>
    <w:p w:rsidR="00BC5AC2" w:rsidRDefault="00BC5AC2">
      <w:pPr>
        <w:pStyle w:val="ConsPlusNormal"/>
        <w:jc w:val="right"/>
      </w:pPr>
      <w:r>
        <w:t>государственной программы Чувашской</w:t>
      </w:r>
    </w:p>
    <w:p w:rsidR="00BC5AC2" w:rsidRDefault="00BC5AC2">
      <w:pPr>
        <w:pStyle w:val="ConsPlusNormal"/>
        <w:jc w:val="right"/>
      </w:pPr>
      <w:r>
        <w:t>Республики "Развитие потенциала</w:t>
      </w:r>
    </w:p>
    <w:p w:rsidR="00BC5AC2" w:rsidRDefault="00BC5AC2">
      <w:pPr>
        <w:pStyle w:val="ConsPlusNormal"/>
        <w:jc w:val="right"/>
      </w:pPr>
      <w:r>
        <w:t>государственного управления"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Title"/>
        <w:jc w:val="center"/>
      </w:pPr>
      <w:bookmarkStart w:id="0" w:name="P260"/>
      <w:bookmarkEnd w:id="0"/>
      <w:r>
        <w:t>Ресурсное обеспечение</w:t>
      </w:r>
    </w:p>
    <w:p w:rsidR="00BC5AC2" w:rsidRDefault="00BC5AC2">
      <w:pPr>
        <w:pStyle w:val="ConsPlusTitle"/>
        <w:jc w:val="center"/>
      </w:pPr>
      <w:r>
        <w:t>реализации подпрограммы "Развитие муниципальной службы</w:t>
      </w:r>
    </w:p>
    <w:p w:rsidR="00BC5AC2" w:rsidRDefault="00BC5AC2">
      <w:pPr>
        <w:pStyle w:val="ConsPlusTitle"/>
        <w:jc w:val="center"/>
      </w:pPr>
      <w:r>
        <w:t>в Чувашской Республике" государственной программы</w:t>
      </w:r>
    </w:p>
    <w:p w:rsidR="00BC5AC2" w:rsidRDefault="00BC5AC2">
      <w:pPr>
        <w:pStyle w:val="ConsPlusTitle"/>
        <w:jc w:val="center"/>
      </w:pPr>
      <w:r>
        <w:t>Чувашской Республики "Развитие потенциала государственного</w:t>
      </w:r>
    </w:p>
    <w:p w:rsidR="00BC5AC2" w:rsidRDefault="00BC5AC2">
      <w:pPr>
        <w:pStyle w:val="ConsPlusTitle"/>
        <w:jc w:val="center"/>
      </w:pPr>
      <w:r>
        <w:t>управления" за счет всех источников финансирования</w:t>
      </w:r>
    </w:p>
    <w:p w:rsidR="00BC5AC2" w:rsidRDefault="00BC5AC2">
      <w:pPr>
        <w:pStyle w:val="ConsPlusNormal"/>
        <w:jc w:val="both"/>
      </w:pPr>
    </w:p>
    <w:p w:rsidR="00BC5AC2" w:rsidRDefault="00BC5AC2">
      <w:pPr>
        <w:sectPr w:rsidR="00BC5AC2" w:rsidSect="00327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984"/>
        <w:gridCol w:w="2438"/>
        <w:gridCol w:w="1608"/>
        <w:gridCol w:w="567"/>
        <w:gridCol w:w="680"/>
        <w:gridCol w:w="1354"/>
        <w:gridCol w:w="624"/>
        <w:gridCol w:w="204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225" w:type="dxa"/>
            <w:gridSpan w:val="4"/>
          </w:tcPr>
          <w:p w:rsidR="00BC5AC2" w:rsidRDefault="00BC5AC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41" w:type="dxa"/>
            <w:vMerge w:val="restart"/>
          </w:tcPr>
          <w:p w:rsidR="00BC5AC2" w:rsidRDefault="00BC5AC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2041" w:type="dxa"/>
            <w:vMerge/>
          </w:tcPr>
          <w:p w:rsidR="00BC5AC2" w:rsidRDefault="00BC5AC2"/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2031 - 2035</w:t>
            </w:r>
          </w:p>
        </w:tc>
      </w:tr>
      <w:tr w:rsidR="00BC5AC2">
        <w:tc>
          <w:tcPr>
            <w:tcW w:w="1247" w:type="dxa"/>
            <w:tcBorders>
              <w:lef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C5AC2" w:rsidRDefault="00BC5A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C5AC2" w:rsidRDefault="00BC5A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BC5AC2" w:rsidRDefault="00BC5A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18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"Развитие муниципальной службы в Чувашской Республике"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7871,5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7871,5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9599" w:type="dxa"/>
            <w:gridSpan w:val="18"/>
            <w:tcBorders>
              <w:left w:val="nil"/>
              <w:right w:val="nil"/>
            </w:tcBorders>
          </w:tcPr>
          <w:p w:rsidR="00BC5AC2" w:rsidRDefault="00BC5AC2">
            <w:pPr>
              <w:pStyle w:val="ConsPlusNormal"/>
              <w:jc w:val="center"/>
              <w:outlineLvl w:val="2"/>
            </w:pPr>
            <w:r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Развитие нормативно-правовой базы </w:t>
            </w:r>
            <w:r>
              <w:lastRenderedPageBreak/>
              <w:t>Чувашской Республики, регулирующей вопросы муниципальной службы в Чувашской Республике (далее - муниципальная служба)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 xml:space="preserve">совершенствование системы правового регулирования </w:t>
            </w:r>
            <w:r>
              <w:lastRenderedPageBreak/>
              <w:t>муниципальной службы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</w:t>
            </w:r>
            <w:r>
              <w:lastRenderedPageBreak/>
              <w:t xml:space="preserve">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t>Доля подготовленных нормативных правовых актов Чувашской Республики,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100,0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100,0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Совершенствование и развитие нормативно-правовой базы Чувашской Республики, регулирующей вопросы муниципальной службы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>Мероприятие 1.2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Методическое и консультационное обеспечение деятельности кадровых служб органов местного самоуправления в Чувашской Республике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9599" w:type="dxa"/>
            <w:gridSpan w:val="18"/>
            <w:tcBorders>
              <w:left w:val="nil"/>
              <w:right w:val="nil"/>
            </w:tcBorders>
          </w:tcPr>
          <w:p w:rsidR="00BC5AC2" w:rsidRDefault="00BC5AC2">
            <w:pPr>
              <w:pStyle w:val="ConsPlusNormal"/>
              <w:jc w:val="center"/>
              <w:outlineLvl w:val="2"/>
            </w:pPr>
            <w:r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Организация дополнительного профессионального развития муниципальных служащих в Чувашской Республике (далее - муниципальные служащие)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- кадровые резервы);</w:t>
            </w:r>
          </w:p>
          <w:p w:rsidR="00BC5AC2" w:rsidRDefault="00BC5AC2">
            <w:pPr>
              <w:pStyle w:val="ConsPlusNormal"/>
              <w:jc w:val="both"/>
            </w:pPr>
            <w:r>
              <w:t>повышение престижа муниципальной службы и органов местного самоуправления;</w:t>
            </w:r>
          </w:p>
          <w:p w:rsidR="00BC5AC2" w:rsidRDefault="00BC5AC2">
            <w:pPr>
              <w:pStyle w:val="ConsPlusNormal"/>
              <w:jc w:val="both"/>
            </w:pPr>
            <w:r>
              <w:lastRenderedPageBreak/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Ч530213710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7871,5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7871,5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100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100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Переподготовка и повышение квалификации кадров для муниципальной службы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1774,3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8533,5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07 09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Ч530213710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662,0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Организация прохождения практики студентами образовательных организаций </w:t>
            </w:r>
            <w:r>
              <w:lastRenderedPageBreak/>
              <w:t xml:space="preserve">высшего образования в </w:t>
            </w:r>
            <w:proofErr w:type="gramStart"/>
            <w:r>
              <w:t>органах</w:t>
            </w:r>
            <w:proofErr w:type="gramEnd"/>
            <w:r>
              <w:t xml:space="preserve"> местного самоуправления в Чувашской Республике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соисполнитель - </w:t>
            </w:r>
            <w:r>
              <w:lastRenderedPageBreak/>
              <w:t xml:space="preserve">Минобразования Чувашии, участники - Администрация Главы Чувашской Республики,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9599" w:type="dxa"/>
            <w:gridSpan w:val="18"/>
            <w:tcBorders>
              <w:left w:val="nil"/>
              <w:right w:val="nil"/>
            </w:tcBorders>
          </w:tcPr>
          <w:p w:rsidR="00BC5AC2" w:rsidRDefault="00BC5AC2">
            <w:pPr>
              <w:pStyle w:val="ConsPlusNormal"/>
              <w:jc w:val="center"/>
              <w:outlineLvl w:val="2"/>
            </w:pPr>
            <w:r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Внедрение на муниципальной службе современных кадровых технологий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внедрение новых кадровых технологий на муниципальной службе;</w:t>
            </w:r>
          </w:p>
          <w:p w:rsidR="00BC5AC2" w:rsidRDefault="00BC5AC2">
            <w:pPr>
              <w:pStyle w:val="ConsPlusNormal"/>
              <w:jc w:val="both"/>
            </w:pPr>
            <w: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BC5AC2" w:rsidRDefault="00BC5AC2">
            <w:pPr>
              <w:pStyle w:val="ConsPlusNormal"/>
              <w:jc w:val="both"/>
            </w:pPr>
            <w: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</w:pPr>
          </w:p>
        </w:tc>
      </w:tr>
      <w:tr w:rsidR="00BC5AC2">
        <w:tc>
          <w:tcPr>
            <w:tcW w:w="1247" w:type="dxa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 xml:space="preserve">Целевой индикатор и показатель подпрограммы, увязанные </w:t>
            </w:r>
            <w:r>
              <w:lastRenderedPageBreak/>
              <w:t>с основным мероприятием 3</w:t>
            </w:r>
          </w:p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50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50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</w:pP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9599" w:type="dxa"/>
            <w:gridSpan w:val="18"/>
            <w:tcBorders>
              <w:left w:val="nil"/>
              <w:right w:val="nil"/>
            </w:tcBorders>
          </w:tcPr>
          <w:p w:rsidR="00BC5AC2" w:rsidRDefault="00BC5AC2">
            <w:pPr>
              <w:pStyle w:val="ConsPlusNormal"/>
              <w:jc w:val="center"/>
              <w:outlineLvl w:val="2"/>
            </w:pPr>
            <w:r>
              <w:lastRenderedPageBreak/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Повышение престижа муниципальной службы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12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не менее 12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80,0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80,0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Формирование кадровых резервов и их эффективное использование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</w:t>
            </w:r>
            <w:r>
              <w:lastRenderedPageBreak/>
              <w:t xml:space="preserve">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Проведение конкурса "Лучший муниципальный служащий в Чувашской Республике"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9599" w:type="dxa"/>
            <w:gridSpan w:val="18"/>
            <w:tcBorders>
              <w:left w:val="nil"/>
              <w:right w:val="nil"/>
            </w:tcBorders>
          </w:tcPr>
          <w:p w:rsidR="00BC5AC2" w:rsidRDefault="00BC5AC2">
            <w:pPr>
              <w:pStyle w:val="ConsPlusNormal"/>
              <w:jc w:val="center"/>
              <w:outlineLvl w:val="2"/>
            </w:pPr>
            <w:r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9255" w:type="dxa"/>
            <w:gridSpan w:val="7"/>
          </w:tcPr>
          <w:p w:rsidR="00BC5AC2" w:rsidRDefault="00BC5AC2">
            <w:pPr>
              <w:pStyle w:val="ConsPlusNormal"/>
              <w:jc w:val="both"/>
            </w:pPr>
            <w: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 xml:space="preserve">80,0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 xml:space="preserve">80,0 </w:t>
            </w:r>
            <w:hyperlink w:anchor="P17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5.1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Проведение социологических опросов или </w:t>
            </w:r>
            <w:proofErr w:type="gramStart"/>
            <w:r>
              <w:t>интернет-опросов</w:t>
            </w:r>
            <w:proofErr w:type="gramEnd"/>
            <w:r>
      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 w:val="restart"/>
            <w:tcBorders>
              <w:left w:val="nil"/>
            </w:tcBorders>
          </w:tcPr>
          <w:p w:rsidR="00BC5AC2" w:rsidRDefault="00BC5AC2">
            <w:pPr>
              <w:pStyle w:val="ConsPlusNormal"/>
              <w:jc w:val="both"/>
            </w:pPr>
            <w:r>
              <w:t>Мероприятие 5.2</w:t>
            </w:r>
          </w:p>
        </w:tc>
        <w:tc>
          <w:tcPr>
            <w:tcW w:w="1984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Анализ результатов социологических </w:t>
            </w:r>
            <w:r>
              <w:lastRenderedPageBreak/>
              <w:t xml:space="preserve">опросов или </w:t>
            </w:r>
            <w:proofErr w:type="gramStart"/>
            <w:r>
              <w:t>интернет-опросов</w:t>
            </w:r>
            <w:proofErr w:type="gramEnd"/>
          </w:p>
        </w:tc>
        <w:tc>
          <w:tcPr>
            <w:tcW w:w="2438" w:type="dxa"/>
            <w:vMerge w:val="restart"/>
          </w:tcPr>
          <w:p w:rsidR="00BC5AC2" w:rsidRDefault="00BC5AC2">
            <w:pPr>
              <w:pStyle w:val="ConsPlusNormal"/>
            </w:pPr>
          </w:p>
        </w:tc>
        <w:tc>
          <w:tcPr>
            <w:tcW w:w="1608" w:type="dxa"/>
            <w:vMerge w:val="restart"/>
          </w:tcPr>
          <w:p w:rsidR="00BC5AC2" w:rsidRDefault="00BC5AC2">
            <w:pPr>
              <w:pStyle w:val="ConsPlusNormal"/>
              <w:jc w:val="both"/>
            </w:pPr>
            <w:r>
              <w:t xml:space="preserve">ответственный исполнитель - Минюст </w:t>
            </w:r>
            <w:r>
              <w:lastRenderedPageBreak/>
              <w:t xml:space="preserve">Чувашии, участники - органы местного самоуправления в Чувашской Республике </w:t>
            </w:r>
            <w:hyperlink w:anchor="P1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  <w:tr w:rsidR="00BC5AC2">
        <w:tc>
          <w:tcPr>
            <w:tcW w:w="1247" w:type="dxa"/>
            <w:vMerge/>
            <w:tcBorders>
              <w:left w:val="nil"/>
            </w:tcBorders>
          </w:tcPr>
          <w:p w:rsidR="00BC5AC2" w:rsidRDefault="00BC5AC2"/>
        </w:tc>
        <w:tc>
          <w:tcPr>
            <w:tcW w:w="1984" w:type="dxa"/>
            <w:vMerge/>
          </w:tcPr>
          <w:p w:rsidR="00BC5AC2" w:rsidRDefault="00BC5AC2"/>
        </w:tc>
        <w:tc>
          <w:tcPr>
            <w:tcW w:w="2438" w:type="dxa"/>
            <w:vMerge/>
          </w:tcPr>
          <w:p w:rsidR="00BC5AC2" w:rsidRDefault="00BC5AC2"/>
        </w:tc>
        <w:tc>
          <w:tcPr>
            <w:tcW w:w="1608" w:type="dxa"/>
            <w:vMerge/>
          </w:tcPr>
          <w:p w:rsidR="00BC5AC2" w:rsidRDefault="00BC5AC2"/>
        </w:tc>
        <w:tc>
          <w:tcPr>
            <w:tcW w:w="567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C5AC2" w:rsidRDefault="00BC5A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BC5AC2" w:rsidRDefault="00BC5AC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right w:val="nil"/>
            </w:tcBorders>
          </w:tcPr>
          <w:p w:rsidR="00BC5AC2" w:rsidRDefault="00BC5AC2">
            <w:pPr>
              <w:pStyle w:val="ConsPlusNormal"/>
              <w:jc w:val="center"/>
            </w:pPr>
            <w:r>
              <w:t>0,0</w:t>
            </w:r>
          </w:p>
        </w:tc>
      </w:tr>
    </w:tbl>
    <w:p w:rsidR="00BC5AC2" w:rsidRDefault="00BC5AC2">
      <w:pPr>
        <w:sectPr w:rsidR="00BC5AC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ind w:firstLine="540"/>
        <w:jc w:val="both"/>
      </w:pPr>
      <w:r>
        <w:t>--------------------------------</w:t>
      </w:r>
    </w:p>
    <w:p w:rsidR="00BC5AC2" w:rsidRDefault="00BC5AC2">
      <w:pPr>
        <w:pStyle w:val="ConsPlusNormal"/>
        <w:spacing w:before="200"/>
        <w:ind w:firstLine="540"/>
        <w:jc w:val="both"/>
      </w:pPr>
      <w:bookmarkStart w:id="1" w:name="P1794"/>
      <w:bookmarkEnd w:id="1"/>
      <w:r>
        <w:t>&lt;*&gt; Мероприятие осуществляется по согласованию с исполнителем.</w:t>
      </w:r>
    </w:p>
    <w:p w:rsidR="00BC5AC2" w:rsidRDefault="00BC5AC2">
      <w:pPr>
        <w:pStyle w:val="ConsPlusNormal"/>
        <w:spacing w:before="200"/>
        <w:ind w:firstLine="540"/>
        <w:jc w:val="both"/>
      </w:pPr>
      <w:bookmarkStart w:id="2" w:name="P1795"/>
      <w:bookmarkEnd w:id="2"/>
      <w:r>
        <w:t xml:space="preserve">&lt;**&gt; Приводятся значения целевых индикаторов и показателей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  <w:jc w:val="both"/>
      </w:pPr>
    </w:p>
    <w:p w:rsidR="00BC5AC2" w:rsidRDefault="00BC5AC2">
      <w:pPr>
        <w:pStyle w:val="ConsPlusNormal"/>
      </w:pPr>
      <w:hyperlink r:id="rId8" w:history="1">
        <w:r>
          <w:rPr>
            <w:i/>
            <w:color w:val="0000FF"/>
          </w:rPr>
          <w:br/>
          <w:t>Постановление Кабинета Министров ЧР от 26.10.2018 N 432 "О государственной программе Чувашской Республики "Развитие потенциала государственного управления" {КонсультантПлюс}</w:t>
        </w:r>
      </w:hyperlink>
      <w:r>
        <w:br/>
      </w:r>
    </w:p>
    <w:p w:rsidR="00A814EE" w:rsidRDefault="00A814EE">
      <w:bookmarkStart w:id="3" w:name="_GoBack"/>
      <w:bookmarkEnd w:id="3"/>
    </w:p>
    <w:sectPr w:rsidR="00A814EE" w:rsidSect="00AF7CCB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C2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C5AC2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23441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DC16FDD6AA28E7F2465BB2A04D3EEC8A936F23F7AEA6FCB03C95E8E0EF4FAD00F49791AB7C7811A1F025AAE64045DA89691BE6885F63862D6023C176D2AF0SD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DC16FDD6AA28E7F2465BB2A04D3EEC8A936F23F7BE06FC805C95E8E0EF4FAD00F497908B79F8D1A1B1C5AAA7A055BA9S9t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DC16FDD6AA28E7F247BB63C688DEAC1A061FC3D7CE93B9654CF09D15EF2AF824F172059F7D4801E01005AAFS6tDN" TargetMode="External"/><Relationship Id="rId5" Type="http://schemas.openxmlformats.org/officeDocument/2006/relationships/hyperlink" Target="consultantplus://offline/ref=A18DC16FDD6AA28E7F247BB63C688DEAC3A36CF7387EE93B9654CF09D15EF2AF824F172059F7D4801E01005AAFS6t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2019-04-04T13:45:00Z</dcterms:created>
  <dcterms:modified xsi:type="dcterms:W3CDTF">2019-04-04T13:46:00Z</dcterms:modified>
</cp:coreProperties>
</file>