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D2" w:rsidRDefault="00E641D2">
      <w:pPr>
        <w:rPr>
          <w:rFonts w:ascii="Times New Roman" w:hAnsi="Times New Roman" w:cs="Times New Roman"/>
        </w:rPr>
      </w:pPr>
    </w:p>
    <w:p w:rsidR="00E641D2" w:rsidRDefault="00E641D2" w:rsidP="00E641D2">
      <w:pPr>
        <w:tabs>
          <w:tab w:val="center" w:pos="4677"/>
          <w:tab w:val="left" w:pos="5880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-158115</wp:posOffset>
            </wp:positionV>
            <wp:extent cx="720090" cy="6858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41D2" w:rsidRDefault="00E641D2" w:rsidP="00E641D2">
      <w:pPr>
        <w:tabs>
          <w:tab w:val="left" w:pos="5900"/>
        </w:tabs>
        <w:jc w:val="center"/>
      </w:pPr>
    </w:p>
    <w:p w:rsidR="00E641D2" w:rsidRDefault="00E641D2" w:rsidP="00E641D2">
      <w:pPr>
        <w:tabs>
          <w:tab w:val="left" w:pos="5900"/>
        </w:tabs>
        <w:jc w:val="center"/>
      </w:pPr>
    </w:p>
    <w:p w:rsidR="00E641D2" w:rsidRDefault="00E641D2" w:rsidP="00E641D2"/>
    <w:tbl>
      <w:tblPr>
        <w:tblW w:w="5000" w:type="pct"/>
        <w:tblInd w:w="108" w:type="dxa"/>
        <w:tblLook w:val="0000"/>
      </w:tblPr>
      <w:tblGrid>
        <w:gridCol w:w="4234"/>
        <w:gridCol w:w="1095"/>
        <w:gridCol w:w="4242"/>
      </w:tblGrid>
      <w:tr w:rsidR="00E641D2" w:rsidTr="0009668C">
        <w:trPr>
          <w:cantSplit/>
          <w:trHeight w:val="420"/>
        </w:trPr>
        <w:tc>
          <w:tcPr>
            <w:tcW w:w="2212" w:type="pct"/>
          </w:tcPr>
          <w:p w:rsidR="00E641D2" w:rsidRPr="006540E2" w:rsidRDefault="00E641D2" w:rsidP="000966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</w:pPr>
          </w:p>
          <w:p w:rsidR="00E641D2" w:rsidRPr="006540E2" w:rsidRDefault="00E641D2" w:rsidP="000966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</w:pPr>
            <w:r w:rsidRPr="006540E2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6540E2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>+</w:t>
            </w:r>
            <w:proofErr w:type="gramStart"/>
            <w:r w:rsidRPr="006540E2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 w:rsidRPr="006540E2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540E2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РЕСПУБЛИКИ</w:t>
            </w:r>
          </w:p>
          <w:p w:rsidR="00E641D2" w:rsidRPr="006540E2" w:rsidRDefault="00E641D2" w:rsidP="000966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Baltica Chv" w:hAnsi="Baltica Chv" w:cs="Times New Roman"/>
                <w:sz w:val="24"/>
                <w:szCs w:val="24"/>
              </w:rPr>
            </w:pPr>
            <w:r w:rsidRPr="006540E2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Ё</w:t>
            </w:r>
            <w:r w:rsidRPr="006540E2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>/</w:t>
            </w:r>
            <w:r w:rsidRPr="006540E2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РП</w:t>
            </w:r>
            <w:r w:rsidRPr="006540E2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6540E2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РАЙОН</w:t>
            </w:r>
            <w:r w:rsidRPr="006540E2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572" w:type="pct"/>
            <w:vMerge w:val="restart"/>
          </w:tcPr>
          <w:p w:rsidR="00E641D2" w:rsidRPr="006540E2" w:rsidRDefault="00E641D2" w:rsidP="0009668C">
            <w:pPr>
              <w:jc w:val="center"/>
            </w:pPr>
          </w:p>
        </w:tc>
        <w:tc>
          <w:tcPr>
            <w:tcW w:w="2216" w:type="pct"/>
          </w:tcPr>
          <w:p w:rsidR="00E641D2" w:rsidRPr="006540E2" w:rsidRDefault="00E641D2" w:rsidP="000966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641D2" w:rsidRPr="006540E2" w:rsidRDefault="00E641D2" w:rsidP="000966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E641D2" w:rsidRPr="006540E2" w:rsidRDefault="00E641D2" w:rsidP="0009668C">
            <w:pPr>
              <w:pStyle w:val="a3"/>
              <w:spacing w:line="192" w:lineRule="auto"/>
              <w:jc w:val="center"/>
              <w:rPr>
                <w:sz w:val="24"/>
                <w:szCs w:val="24"/>
              </w:rPr>
            </w:pPr>
            <w:r w:rsidRPr="0065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ЦИВИЛЬСКИЙ РАЙОН</w:t>
            </w:r>
            <w:r w:rsidRPr="0065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41D2" w:rsidTr="0009668C">
        <w:trPr>
          <w:cantSplit/>
          <w:trHeight w:val="2355"/>
        </w:trPr>
        <w:tc>
          <w:tcPr>
            <w:tcW w:w="2212" w:type="pct"/>
          </w:tcPr>
          <w:p w:rsidR="00E641D2" w:rsidRPr="00E641D2" w:rsidRDefault="00E641D2" w:rsidP="000966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Baltica Chv" w:hAnsi="Baltica Chv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641D2" w:rsidRPr="00E641D2" w:rsidRDefault="00E641D2" w:rsidP="000966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Baltica Chv" w:hAnsi="Baltica Chv" w:cs="Baltica Chv"/>
                <w:b/>
                <w:bCs/>
                <w:color w:val="000000" w:themeColor="text1"/>
                <w:sz w:val="24"/>
                <w:szCs w:val="24"/>
              </w:rPr>
            </w:pPr>
            <w:r w:rsidRPr="00E641D2">
              <w:rPr>
                <w:rFonts w:ascii="Baltica Chv" w:hAnsi="Baltica Chv" w:cs="Times New Roman"/>
                <w:b/>
                <w:bCs/>
                <w:color w:val="000000" w:themeColor="text1"/>
                <w:sz w:val="24"/>
                <w:szCs w:val="24"/>
              </w:rPr>
              <w:t>Ё</w:t>
            </w:r>
            <w:r w:rsidRPr="00E641D2">
              <w:rPr>
                <w:rFonts w:ascii="Baltica Chv" w:hAnsi="Baltica Chv" w:cs="Baltica Chv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E641D2">
              <w:rPr>
                <w:rFonts w:ascii="Baltica Chv" w:hAnsi="Baltica Chv" w:cs="Times New Roman"/>
                <w:b/>
                <w:bCs/>
                <w:color w:val="000000" w:themeColor="text1"/>
                <w:sz w:val="24"/>
                <w:szCs w:val="24"/>
              </w:rPr>
              <w:t>РП</w:t>
            </w:r>
            <w:r w:rsidRPr="00E641D2">
              <w:rPr>
                <w:rFonts w:ascii="Baltica Chv" w:hAnsi="Baltica Chv" w:cs="Baltica Chv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E641D2">
              <w:rPr>
                <w:rFonts w:ascii="Baltica Chv" w:hAnsi="Baltica Chv" w:cs="Times New Roman"/>
                <w:b/>
                <w:bCs/>
                <w:color w:val="000000" w:themeColor="text1"/>
                <w:sz w:val="24"/>
                <w:szCs w:val="24"/>
              </w:rPr>
              <w:t>РАЙОН</w:t>
            </w:r>
            <w:r w:rsidRPr="00E641D2">
              <w:rPr>
                <w:rFonts w:ascii="Baltica Chv" w:hAnsi="Baltica Chv" w:cs="Baltica Chv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E641D2">
              <w:rPr>
                <w:rFonts w:ascii="Baltica Chv" w:hAnsi="Baltica Chv" w:cs="Times New Roman"/>
                <w:b/>
                <w:bCs/>
                <w:color w:val="000000" w:themeColor="text1"/>
                <w:sz w:val="24"/>
                <w:szCs w:val="24"/>
              </w:rPr>
              <w:t>АДМИНИСТРАЦИ</w:t>
            </w:r>
            <w:r w:rsidRPr="00E641D2">
              <w:rPr>
                <w:rFonts w:ascii="Baltica Chv" w:hAnsi="Baltica Chv" w:cs="Baltica Chv"/>
                <w:b/>
                <w:bCs/>
                <w:color w:val="000000" w:themeColor="text1"/>
                <w:sz w:val="24"/>
                <w:szCs w:val="24"/>
              </w:rPr>
              <w:t>/</w:t>
            </w:r>
          </w:p>
          <w:p w:rsidR="00E641D2" w:rsidRPr="00E641D2" w:rsidRDefault="00E641D2" w:rsidP="000966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Baltica Chv" w:hAnsi="Baltica Chv" w:cs="Times New Roman"/>
                <w:color w:val="000000" w:themeColor="text1"/>
                <w:sz w:val="24"/>
                <w:szCs w:val="24"/>
              </w:rPr>
            </w:pPr>
          </w:p>
          <w:p w:rsidR="00E641D2" w:rsidRPr="00E641D2" w:rsidRDefault="00E641D2" w:rsidP="000966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Baltica Chv" w:hAnsi="Baltica Chv" w:cs="Baltica Chv"/>
                <w:color w:val="000000" w:themeColor="text1"/>
                <w:sz w:val="24"/>
                <w:szCs w:val="24"/>
              </w:rPr>
            </w:pPr>
            <w:r w:rsidRPr="00E641D2">
              <w:rPr>
                <w:rStyle w:val="a4"/>
                <w:rFonts w:ascii="Baltica Chv" w:hAnsi="Baltica Chv" w:cs="Times New Roman"/>
                <w:color w:val="000000" w:themeColor="text1"/>
                <w:sz w:val="24"/>
                <w:szCs w:val="24"/>
              </w:rPr>
              <w:t>ХУШУ</w:t>
            </w:r>
          </w:p>
          <w:p w:rsidR="00E641D2" w:rsidRPr="00E641D2" w:rsidRDefault="00E641D2" w:rsidP="0009668C">
            <w:pPr>
              <w:jc w:val="center"/>
              <w:rPr>
                <w:rFonts w:ascii="Baltica Chv" w:hAnsi="Baltica Chv"/>
                <w:color w:val="000000" w:themeColor="text1"/>
              </w:rPr>
            </w:pPr>
          </w:p>
          <w:p w:rsidR="00E641D2" w:rsidRPr="00E641D2" w:rsidRDefault="00E641D2" w:rsidP="0009668C">
            <w:pPr>
              <w:ind w:right="-127"/>
              <w:rPr>
                <w:rFonts w:ascii="Baltica Chv" w:hAnsi="Baltica Chv"/>
                <w:b/>
                <w:bCs/>
                <w:color w:val="000000" w:themeColor="text1"/>
              </w:rPr>
            </w:pPr>
            <w:r w:rsidRPr="00E641D2">
              <w:rPr>
                <w:rFonts w:ascii="Baltica Chv" w:hAnsi="Baltica Chv"/>
                <w:b/>
                <w:bCs/>
                <w:color w:val="000000" w:themeColor="text1"/>
              </w:rPr>
              <w:t xml:space="preserve">2019 </w:t>
            </w:r>
            <w:r w:rsidRPr="00E641D2">
              <w:rPr>
                <w:rFonts w:ascii="Baltica Chv" w:hAnsi="Baltica Chv"/>
                <w:b/>
                <w:bCs/>
                <w:color w:val="000000" w:themeColor="text1"/>
                <w:sz w:val="26"/>
                <w:szCs w:val="26"/>
              </w:rPr>
              <w:t>ё</w:t>
            </w:r>
            <w:r w:rsidRPr="00E641D2">
              <w:rPr>
                <w:rFonts w:ascii="Baltica Chv" w:hAnsi="Baltica Chv"/>
                <w:b/>
                <w:bCs/>
                <w:color w:val="000000" w:themeColor="text1"/>
              </w:rPr>
              <w:t xml:space="preserve">? </w:t>
            </w:r>
            <w:proofErr w:type="spellStart"/>
            <w:r w:rsidRPr="00E641D2">
              <w:rPr>
                <w:rStyle w:val="a5"/>
                <w:color w:val="000000" w:themeColor="text1"/>
                <w:sz w:val="25"/>
                <w:szCs w:val="25"/>
              </w:rPr>
              <w:t>утă</w:t>
            </w:r>
            <w:proofErr w:type="spellEnd"/>
            <w:r w:rsidRPr="00E641D2">
              <w:rPr>
                <w:rStyle w:val="a5"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E641D2">
              <w:rPr>
                <w:rStyle w:val="a5"/>
                <w:color w:val="000000" w:themeColor="text1"/>
                <w:sz w:val="25"/>
                <w:szCs w:val="25"/>
              </w:rPr>
              <w:t>уйăхĕ</w:t>
            </w:r>
            <w:proofErr w:type="spellEnd"/>
            <w:r w:rsidRPr="00E641D2">
              <w:rPr>
                <w:rStyle w:val="a5"/>
                <w:color w:val="000000" w:themeColor="text1"/>
                <w:sz w:val="25"/>
                <w:szCs w:val="25"/>
              </w:rPr>
              <w:t xml:space="preserve"> </w:t>
            </w:r>
            <w:r w:rsidRPr="00E641D2">
              <w:rPr>
                <w:b/>
                <w:bCs/>
                <w:iCs/>
                <w:color w:val="000000" w:themeColor="text1"/>
              </w:rPr>
              <w:t>18</w:t>
            </w:r>
            <w:r w:rsidRPr="00E641D2">
              <w:rPr>
                <w:b/>
                <w:bCs/>
                <w:color w:val="000000" w:themeColor="text1"/>
              </w:rPr>
              <w:t>-мĕшĕ  200</w:t>
            </w:r>
            <w:r w:rsidRPr="00E641D2">
              <w:rPr>
                <w:rFonts w:ascii="Baltica Chv" w:hAnsi="Baltica Chv"/>
                <w:b/>
                <w:bCs/>
                <w:color w:val="000000" w:themeColor="text1"/>
              </w:rPr>
              <w:t>-</w:t>
            </w:r>
            <w:r w:rsidRPr="00E641D2">
              <w:rPr>
                <w:b/>
                <w:bCs/>
                <w:color w:val="000000" w:themeColor="text1"/>
              </w:rPr>
              <w:t>р №</w:t>
            </w:r>
          </w:p>
          <w:p w:rsidR="00E641D2" w:rsidRPr="00E641D2" w:rsidRDefault="00E641D2" w:rsidP="0009668C">
            <w:pPr>
              <w:rPr>
                <w:rFonts w:ascii="Baltica Chv" w:hAnsi="Baltica Chv"/>
                <w:b/>
                <w:bCs/>
                <w:color w:val="000000" w:themeColor="text1"/>
              </w:rPr>
            </w:pPr>
          </w:p>
          <w:p w:rsidR="00E641D2" w:rsidRPr="00E641D2" w:rsidRDefault="00E641D2" w:rsidP="0009668C">
            <w:pPr>
              <w:jc w:val="center"/>
              <w:rPr>
                <w:rFonts w:ascii="Baltica Chv" w:hAnsi="Baltica Chv"/>
                <w:color w:val="000000" w:themeColor="text1"/>
              </w:rPr>
            </w:pPr>
            <w:proofErr w:type="spellStart"/>
            <w:r w:rsidRPr="00E641D2">
              <w:rPr>
                <w:rFonts w:ascii="Baltica Chv" w:hAnsi="Baltica Chv"/>
                <w:color w:val="000000" w:themeColor="text1"/>
              </w:rPr>
              <w:t>Ё</w:t>
            </w:r>
            <w:r w:rsidRPr="00E641D2">
              <w:rPr>
                <w:rFonts w:ascii="Baltica Chv" w:hAnsi="Baltica Chv" w:cs="Baltica Chv"/>
                <w:color w:val="000000" w:themeColor="text1"/>
              </w:rPr>
              <w:t>\</w:t>
            </w:r>
            <w:r w:rsidRPr="00E641D2">
              <w:rPr>
                <w:rFonts w:ascii="Baltica Chv" w:hAnsi="Baltica Chv"/>
                <w:color w:val="000000" w:themeColor="text1"/>
              </w:rPr>
              <w:t>рп</w:t>
            </w:r>
            <w:proofErr w:type="spellEnd"/>
            <w:r w:rsidRPr="00E641D2">
              <w:rPr>
                <w:rFonts w:ascii="Baltica Chv" w:hAnsi="Baltica Chv" w:cs="Baltica Chv"/>
                <w:color w:val="000000" w:themeColor="text1"/>
              </w:rPr>
              <w:t xml:space="preserve">. </w:t>
            </w:r>
            <w:r w:rsidRPr="00E641D2">
              <w:rPr>
                <w:rFonts w:ascii="Baltica Chv" w:hAnsi="Baltica Chv"/>
                <w:color w:val="000000" w:themeColor="text1"/>
              </w:rPr>
              <w:t>хули</w:t>
            </w:r>
          </w:p>
        </w:tc>
        <w:tc>
          <w:tcPr>
            <w:tcW w:w="572" w:type="pct"/>
            <w:vMerge/>
            <w:vAlign w:val="center"/>
          </w:tcPr>
          <w:p w:rsidR="00E641D2" w:rsidRPr="006540E2" w:rsidRDefault="00E641D2" w:rsidP="0009668C"/>
        </w:tc>
        <w:tc>
          <w:tcPr>
            <w:tcW w:w="2216" w:type="pct"/>
          </w:tcPr>
          <w:p w:rsidR="00E641D2" w:rsidRPr="006540E2" w:rsidRDefault="00E641D2" w:rsidP="000966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41D2" w:rsidRPr="00B70EE8" w:rsidRDefault="00E641D2" w:rsidP="000966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E641D2" w:rsidRPr="006540E2" w:rsidRDefault="00E641D2" w:rsidP="000966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ЦИВИЛЬСКОГО РАЙОНА</w:t>
            </w:r>
          </w:p>
          <w:p w:rsidR="00E641D2" w:rsidRPr="006540E2" w:rsidRDefault="00E641D2" w:rsidP="0009668C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E641D2" w:rsidRPr="006540E2" w:rsidRDefault="00E641D2" w:rsidP="000966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0E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</w:t>
            </w:r>
          </w:p>
          <w:p w:rsidR="00E641D2" w:rsidRPr="006540E2" w:rsidRDefault="00E641D2" w:rsidP="0009668C">
            <w:pPr>
              <w:pStyle w:val="a3"/>
              <w:ind w:left="36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41D2" w:rsidRPr="006540E2" w:rsidRDefault="00E641D2" w:rsidP="0009668C">
            <w:pPr>
              <w:pStyle w:val="a3"/>
              <w:ind w:left="36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18 июля </w:t>
            </w:r>
            <w:r w:rsidRPr="0065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65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200</w:t>
            </w:r>
            <w:r w:rsidRPr="0065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-р</w:t>
            </w:r>
          </w:p>
          <w:p w:rsidR="00E641D2" w:rsidRPr="006540E2" w:rsidRDefault="00E641D2" w:rsidP="0009668C">
            <w:pPr>
              <w:pStyle w:val="a3"/>
              <w:ind w:left="36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641D2" w:rsidRPr="00E641D2" w:rsidRDefault="00E641D2" w:rsidP="0009668C">
            <w:pPr>
              <w:ind w:left="3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1D2">
              <w:rPr>
                <w:rFonts w:ascii="Times New Roman" w:hAnsi="Times New Roman" w:cs="Times New Roman"/>
                <w:color w:val="000000"/>
              </w:rPr>
              <w:t>г. Цивильск</w:t>
            </w:r>
          </w:p>
        </w:tc>
      </w:tr>
    </w:tbl>
    <w:p w:rsidR="00E641D2" w:rsidRPr="00E641D2" w:rsidRDefault="00E641D2" w:rsidP="00E641D2">
      <w:pPr>
        <w:jc w:val="both"/>
        <w:rPr>
          <w:rFonts w:ascii="Times New Roman" w:hAnsi="Times New Roman" w:cs="Times New Roman"/>
        </w:rPr>
      </w:pPr>
    </w:p>
    <w:p w:rsidR="00E641D2" w:rsidRPr="00E641D2" w:rsidRDefault="00E641D2" w:rsidP="00E641D2">
      <w:pPr>
        <w:jc w:val="both"/>
        <w:rPr>
          <w:rFonts w:ascii="Times New Roman" w:hAnsi="Times New Roman" w:cs="Times New Roman"/>
          <w:b/>
        </w:rPr>
      </w:pPr>
      <w:r w:rsidRPr="00E641D2">
        <w:rPr>
          <w:rFonts w:ascii="Times New Roman" w:hAnsi="Times New Roman" w:cs="Times New Roman"/>
          <w:b/>
        </w:rPr>
        <w:t xml:space="preserve">О введении на территории </w:t>
      </w:r>
      <w:proofErr w:type="spellStart"/>
      <w:r w:rsidRPr="00E641D2">
        <w:rPr>
          <w:rFonts w:ascii="Times New Roman" w:hAnsi="Times New Roman" w:cs="Times New Roman"/>
          <w:b/>
        </w:rPr>
        <w:t>Чиричкасинского</w:t>
      </w:r>
      <w:proofErr w:type="spellEnd"/>
      <w:r w:rsidRPr="00E641D2">
        <w:rPr>
          <w:rFonts w:ascii="Times New Roman" w:hAnsi="Times New Roman" w:cs="Times New Roman"/>
          <w:b/>
        </w:rPr>
        <w:t xml:space="preserve"> </w:t>
      </w:r>
    </w:p>
    <w:p w:rsidR="00E641D2" w:rsidRPr="00E641D2" w:rsidRDefault="00E641D2" w:rsidP="00E641D2">
      <w:pPr>
        <w:jc w:val="both"/>
        <w:rPr>
          <w:rFonts w:ascii="Times New Roman" w:hAnsi="Times New Roman" w:cs="Times New Roman"/>
          <w:b/>
        </w:rPr>
      </w:pPr>
      <w:r w:rsidRPr="00E641D2">
        <w:rPr>
          <w:rFonts w:ascii="Times New Roman" w:hAnsi="Times New Roman" w:cs="Times New Roman"/>
          <w:b/>
        </w:rPr>
        <w:t>сельского поселения Цивильского района</w:t>
      </w:r>
    </w:p>
    <w:p w:rsidR="00E641D2" w:rsidRPr="00E641D2" w:rsidRDefault="00E641D2" w:rsidP="00E641D2">
      <w:pPr>
        <w:jc w:val="both"/>
        <w:rPr>
          <w:rFonts w:ascii="Times New Roman" w:hAnsi="Times New Roman" w:cs="Times New Roman"/>
          <w:b/>
        </w:rPr>
      </w:pPr>
      <w:r w:rsidRPr="00E641D2">
        <w:rPr>
          <w:rFonts w:ascii="Times New Roman" w:hAnsi="Times New Roman" w:cs="Times New Roman"/>
          <w:b/>
        </w:rPr>
        <w:t>режима функционирования «Чрезвычайная ситуация»</w:t>
      </w:r>
    </w:p>
    <w:p w:rsidR="00E641D2" w:rsidRPr="00E641D2" w:rsidRDefault="00E641D2" w:rsidP="00E641D2">
      <w:pPr>
        <w:jc w:val="both"/>
        <w:rPr>
          <w:rFonts w:ascii="Times New Roman" w:hAnsi="Times New Roman" w:cs="Times New Roman"/>
        </w:rPr>
      </w:pPr>
    </w:p>
    <w:p w:rsidR="00E641D2" w:rsidRPr="00E641D2" w:rsidRDefault="00E641D2" w:rsidP="00E641D2">
      <w:pPr>
        <w:ind w:firstLine="708"/>
        <w:jc w:val="both"/>
        <w:rPr>
          <w:rFonts w:ascii="Times New Roman" w:hAnsi="Times New Roman" w:cs="Times New Roman"/>
          <w:b/>
        </w:rPr>
      </w:pPr>
      <w:proofErr w:type="gramStart"/>
      <w:r w:rsidRPr="00E641D2">
        <w:rPr>
          <w:rFonts w:ascii="Times New Roman" w:hAnsi="Times New Roman" w:cs="Times New Roman"/>
        </w:rPr>
        <w:t>В соответствии с Федеральным законом от 21.12.1994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21 мая 2007 г. № 304 «О классификации чрезвычайных ситуаций природного и техногенного характера», постановлением Кабинета Министров Чувашской Республики от 31 января 2005 г. № 17 «О территориальной подсистеме Чувашской Республики единой государственной системы предупреждения и ликвидации чрезвычайных</w:t>
      </w:r>
      <w:proofErr w:type="gramEnd"/>
      <w:r w:rsidRPr="00E641D2">
        <w:rPr>
          <w:rFonts w:ascii="Times New Roman" w:hAnsi="Times New Roman" w:cs="Times New Roman"/>
        </w:rPr>
        <w:t xml:space="preserve"> ситуаций», на основании протокола КЧС и ОПБ администрации Цивильского района от 17.07.2019г. </w:t>
      </w:r>
    </w:p>
    <w:p w:rsidR="00E641D2" w:rsidRPr="00E641D2" w:rsidRDefault="00E641D2" w:rsidP="00E641D2">
      <w:pPr>
        <w:ind w:firstLine="540"/>
        <w:jc w:val="both"/>
        <w:rPr>
          <w:rFonts w:ascii="Times New Roman" w:hAnsi="Times New Roman" w:cs="Times New Roman"/>
          <w:b/>
        </w:rPr>
      </w:pPr>
    </w:p>
    <w:p w:rsidR="00E641D2" w:rsidRPr="00E641D2" w:rsidRDefault="00E641D2" w:rsidP="00E641D2">
      <w:pPr>
        <w:ind w:firstLine="540"/>
        <w:jc w:val="both"/>
        <w:rPr>
          <w:rFonts w:ascii="Times New Roman" w:hAnsi="Times New Roman" w:cs="Times New Roman"/>
        </w:rPr>
      </w:pPr>
      <w:r w:rsidRPr="00E641D2">
        <w:rPr>
          <w:rFonts w:ascii="Times New Roman" w:hAnsi="Times New Roman" w:cs="Times New Roman"/>
        </w:rPr>
        <w:t xml:space="preserve">1. Ввести на территории </w:t>
      </w:r>
      <w:proofErr w:type="spellStart"/>
      <w:r w:rsidRPr="00E641D2">
        <w:rPr>
          <w:rFonts w:ascii="Times New Roman" w:hAnsi="Times New Roman" w:cs="Times New Roman"/>
        </w:rPr>
        <w:t>Чиричкасинского</w:t>
      </w:r>
      <w:proofErr w:type="spellEnd"/>
      <w:r w:rsidRPr="00E641D2">
        <w:rPr>
          <w:rFonts w:ascii="Times New Roman" w:hAnsi="Times New Roman" w:cs="Times New Roman"/>
        </w:rPr>
        <w:t xml:space="preserve"> сельского поселения Цивильского района режим функционирования </w:t>
      </w:r>
      <w:r w:rsidRPr="00E641D2">
        <w:rPr>
          <w:rFonts w:ascii="Times New Roman" w:hAnsi="Times New Roman" w:cs="Times New Roman"/>
          <w:b/>
        </w:rPr>
        <w:t xml:space="preserve">«Чрезвычайная ситуация» </w:t>
      </w:r>
      <w:r w:rsidRPr="00E641D2">
        <w:rPr>
          <w:rFonts w:ascii="Times New Roman" w:hAnsi="Times New Roman" w:cs="Times New Roman"/>
        </w:rPr>
        <w:t>муниципального характера, для органов управления и сил районного звена территориальной подсистемы Чувашской Республики единой государственной системы предупреждения и ликвидации чрезвычайных ситуаций (далее – районное звено ТП РСЧС Чувашской Республики) с 18 июля 2019 года и до особого распоряжения.</w:t>
      </w:r>
    </w:p>
    <w:p w:rsidR="00E641D2" w:rsidRPr="00E641D2" w:rsidRDefault="00E641D2" w:rsidP="00E641D2">
      <w:pPr>
        <w:ind w:firstLine="540"/>
        <w:jc w:val="both"/>
        <w:rPr>
          <w:rFonts w:ascii="Times New Roman" w:hAnsi="Times New Roman" w:cs="Times New Roman"/>
        </w:rPr>
      </w:pPr>
      <w:r w:rsidRPr="00E641D2">
        <w:rPr>
          <w:rFonts w:ascii="Times New Roman" w:hAnsi="Times New Roman" w:cs="Times New Roman"/>
        </w:rPr>
        <w:t>2. Рекомендовать отделу строительства и ЖКХ администрации Цивильского района (</w:t>
      </w:r>
      <w:proofErr w:type="spellStart"/>
      <w:r w:rsidRPr="00E641D2">
        <w:rPr>
          <w:rFonts w:ascii="Times New Roman" w:hAnsi="Times New Roman" w:cs="Times New Roman"/>
        </w:rPr>
        <w:t>Профоровой</w:t>
      </w:r>
      <w:proofErr w:type="spellEnd"/>
      <w:r w:rsidRPr="00E641D2">
        <w:rPr>
          <w:rFonts w:ascii="Times New Roman" w:hAnsi="Times New Roman" w:cs="Times New Roman"/>
        </w:rPr>
        <w:t xml:space="preserve"> Н.В.) совместно с сектором по делам ГО и ЧС администрации Цивильского района (Романов А.С.), организовать работу по подготовке сил и сре</w:t>
      </w:r>
      <w:proofErr w:type="gramStart"/>
      <w:r w:rsidRPr="00E641D2">
        <w:rPr>
          <w:rFonts w:ascii="Times New Roman" w:hAnsi="Times New Roman" w:cs="Times New Roman"/>
        </w:rPr>
        <w:t>дств дл</w:t>
      </w:r>
      <w:proofErr w:type="gramEnd"/>
      <w:r w:rsidRPr="00E641D2">
        <w:rPr>
          <w:rFonts w:ascii="Times New Roman" w:hAnsi="Times New Roman" w:cs="Times New Roman"/>
        </w:rPr>
        <w:t>я ликвидации возможных последствий чрезвычайной ситуации согласно протокольного решения КЧС и ОПБ Цивильского района от 17.07.2019г. №7</w:t>
      </w:r>
    </w:p>
    <w:p w:rsidR="00E641D2" w:rsidRPr="00E641D2" w:rsidRDefault="00E641D2" w:rsidP="00E641D2">
      <w:pPr>
        <w:ind w:firstLine="540"/>
        <w:jc w:val="both"/>
        <w:rPr>
          <w:rFonts w:ascii="Times New Roman" w:hAnsi="Times New Roman" w:cs="Times New Roman"/>
        </w:rPr>
      </w:pPr>
      <w:r w:rsidRPr="00E641D2">
        <w:rPr>
          <w:rFonts w:ascii="Times New Roman" w:hAnsi="Times New Roman" w:cs="Times New Roman"/>
        </w:rPr>
        <w:t xml:space="preserve">3. </w:t>
      </w:r>
      <w:proofErr w:type="gramStart"/>
      <w:r w:rsidRPr="00E641D2">
        <w:rPr>
          <w:rFonts w:ascii="Times New Roman" w:hAnsi="Times New Roman" w:cs="Times New Roman"/>
        </w:rPr>
        <w:t>Контроль за</w:t>
      </w:r>
      <w:proofErr w:type="gramEnd"/>
      <w:r w:rsidRPr="00E641D2">
        <w:rPr>
          <w:rFonts w:ascii="Times New Roman" w:hAnsi="Times New Roman" w:cs="Times New Roman"/>
        </w:rPr>
        <w:t xml:space="preserve"> исполнением настоящего постановления возложить на первого заместителя главы администрации – начальника управления экономики, строительства и ЖКХ, председателя КЧС и ОПБ (</w:t>
      </w:r>
      <w:proofErr w:type="spellStart"/>
      <w:r w:rsidRPr="00E641D2">
        <w:rPr>
          <w:rFonts w:ascii="Times New Roman" w:hAnsi="Times New Roman" w:cs="Times New Roman"/>
        </w:rPr>
        <w:t>Сыройкина</w:t>
      </w:r>
      <w:proofErr w:type="spellEnd"/>
      <w:r w:rsidRPr="00E641D2">
        <w:rPr>
          <w:rFonts w:ascii="Times New Roman" w:hAnsi="Times New Roman" w:cs="Times New Roman"/>
        </w:rPr>
        <w:t xml:space="preserve"> В.В.)</w:t>
      </w:r>
    </w:p>
    <w:p w:rsidR="00E641D2" w:rsidRPr="00E641D2" w:rsidRDefault="00E641D2" w:rsidP="00E641D2">
      <w:pPr>
        <w:jc w:val="both"/>
        <w:rPr>
          <w:rFonts w:ascii="Times New Roman" w:hAnsi="Times New Roman" w:cs="Times New Roman"/>
        </w:rPr>
      </w:pPr>
    </w:p>
    <w:p w:rsidR="00E641D2" w:rsidRPr="00E641D2" w:rsidRDefault="00E641D2" w:rsidP="00E641D2">
      <w:pPr>
        <w:jc w:val="both"/>
        <w:rPr>
          <w:rFonts w:ascii="Times New Roman" w:hAnsi="Times New Roman" w:cs="Times New Roman"/>
        </w:rPr>
      </w:pPr>
    </w:p>
    <w:p w:rsidR="00E641D2" w:rsidRPr="00E641D2" w:rsidRDefault="00E641D2" w:rsidP="00E641D2">
      <w:pPr>
        <w:jc w:val="both"/>
        <w:rPr>
          <w:rFonts w:ascii="Times New Roman" w:hAnsi="Times New Roman" w:cs="Times New Roman"/>
        </w:rPr>
      </w:pPr>
    </w:p>
    <w:p w:rsidR="00E641D2" w:rsidRPr="00E641D2" w:rsidRDefault="00E641D2" w:rsidP="00E641D2">
      <w:pPr>
        <w:jc w:val="both"/>
        <w:rPr>
          <w:rFonts w:ascii="Times New Roman" w:hAnsi="Times New Roman" w:cs="Times New Roman"/>
        </w:rPr>
      </w:pPr>
      <w:r w:rsidRPr="00E641D2">
        <w:rPr>
          <w:rFonts w:ascii="Times New Roman" w:hAnsi="Times New Roman" w:cs="Times New Roman"/>
        </w:rPr>
        <w:t>Глава администрации</w:t>
      </w:r>
    </w:p>
    <w:p w:rsidR="00E641D2" w:rsidRPr="00E641D2" w:rsidRDefault="00E641D2" w:rsidP="00E641D2">
      <w:pPr>
        <w:jc w:val="both"/>
        <w:rPr>
          <w:rFonts w:ascii="Times New Roman" w:hAnsi="Times New Roman" w:cs="Times New Roman"/>
        </w:rPr>
      </w:pPr>
      <w:r w:rsidRPr="00E641D2">
        <w:rPr>
          <w:rFonts w:ascii="Times New Roman" w:hAnsi="Times New Roman" w:cs="Times New Roman"/>
        </w:rPr>
        <w:t>Цивильского района                                                                           И.В.Николаев</w:t>
      </w:r>
    </w:p>
    <w:p w:rsidR="00E641D2" w:rsidRPr="00E641D2" w:rsidRDefault="00E641D2" w:rsidP="00E641D2">
      <w:pPr>
        <w:jc w:val="both"/>
        <w:rPr>
          <w:rFonts w:ascii="Times New Roman" w:hAnsi="Times New Roman" w:cs="Times New Roman"/>
        </w:rPr>
      </w:pPr>
    </w:p>
    <w:sectPr w:rsidR="00E641D2" w:rsidRPr="00E641D2" w:rsidSect="00C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1D2"/>
    <w:rsid w:val="000F389D"/>
    <w:rsid w:val="006A0D00"/>
    <w:rsid w:val="008369C9"/>
    <w:rsid w:val="008F79F5"/>
    <w:rsid w:val="00B26DE9"/>
    <w:rsid w:val="00BD2435"/>
    <w:rsid w:val="00CC15B9"/>
    <w:rsid w:val="00E6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D2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641D2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E641D2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E641D2"/>
    <w:rPr>
      <w:strike w:val="0"/>
      <w:dstrike w:val="0"/>
      <w:color w:val="005BD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zivil_just2</cp:lastModifiedBy>
  <cp:revision>4</cp:revision>
  <dcterms:created xsi:type="dcterms:W3CDTF">2019-08-07T07:50:00Z</dcterms:created>
  <dcterms:modified xsi:type="dcterms:W3CDTF">2019-08-16T05:23:00Z</dcterms:modified>
</cp:coreProperties>
</file>