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B5CA3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ХУШУ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B5CA3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РАСПОРЯЖЕНИЕ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034357" w:rsidRPr="00034357" w:rsidRDefault="00034357" w:rsidP="00034357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О деятельности культурно-досуговых </w:t>
      </w:r>
    </w:p>
    <w:p w:rsidR="00034357" w:rsidRPr="00034357" w:rsidRDefault="00034357" w:rsidP="00034357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учреждений </w:t>
      </w:r>
      <w:r>
        <w:rPr>
          <w:b/>
          <w:color w:val="auto"/>
          <w:kern w:val="0"/>
        </w:rPr>
        <w:t>Батыревского</w:t>
      </w:r>
      <w:r w:rsidRPr="00034357">
        <w:rPr>
          <w:b/>
          <w:color w:val="auto"/>
          <w:kern w:val="0"/>
        </w:rPr>
        <w:t xml:space="preserve"> района  </w:t>
      </w:r>
    </w:p>
    <w:p w:rsidR="00034357" w:rsidRPr="00034357" w:rsidRDefault="00034357" w:rsidP="00034357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в условиях угрозы распространения </w:t>
      </w:r>
    </w:p>
    <w:p w:rsidR="00034357" w:rsidRPr="00034357" w:rsidRDefault="00034357" w:rsidP="00034357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>новой коронавирусной инфекции (2019-</w:t>
      </w:r>
      <w:r w:rsidRPr="00034357">
        <w:rPr>
          <w:b/>
          <w:color w:val="auto"/>
          <w:kern w:val="0"/>
          <w:lang w:val="en-US"/>
        </w:rPr>
        <w:t>nCoV</w:t>
      </w:r>
      <w:r w:rsidRPr="00034357">
        <w:rPr>
          <w:b/>
          <w:color w:val="auto"/>
          <w:kern w:val="0"/>
        </w:rPr>
        <w:t xml:space="preserve">) </w:t>
      </w:r>
    </w:p>
    <w:p w:rsidR="00034357" w:rsidRPr="00034357" w:rsidRDefault="00034357" w:rsidP="00034357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на территории </w:t>
      </w:r>
      <w:r>
        <w:rPr>
          <w:b/>
          <w:color w:val="auto"/>
          <w:kern w:val="0"/>
        </w:rPr>
        <w:t>Батыревского</w:t>
      </w:r>
      <w:r w:rsidRPr="00034357">
        <w:rPr>
          <w:b/>
          <w:color w:val="auto"/>
          <w:kern w:val="0"/>
        </w:rPr>
        <w:t xml:space="preserve"> района </w:t>
      </w:r>
    </w:p>
    <w:p w:rsidR="001D1F72" w:rsidRDefault="00034357" w:rsidP="00034357">
      <w:pPr>
        <w:pStyle w:val="1"/>
        <w:ind w:right="4675"/>
        <w:jc w:val="both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>Чувашской Республики</w:t>
      </w:r>
    </w:p>
    <w:p w:rsidR="00034357" w:rsidRDefault="00034357" w:rsidP="00034357">
      <w:pPr>
        <w:pStyle w:val="1"/>
        <w:ind w:right="4675"/>
        <w:jc w:val="both"/>
        <w:rPr>
          <w:rStyle w:val="10"/>
          <w:b/>
          <w:bCs/>
        </w:rPr>
      </w:pPr>
    </w:p>
    <w:p w:rsidR="00A71F81" w:rsidRDefault="00034357" w:rsidP="00034357">
      <w:pPr>
        <w:pStyle w:val="1"/>
        <w:ind w:firstLine="567"/>
        <w:jc w:val="both"/>
      </w:pPr>
      <w:r>
        <w:t xml:space="preserve">В  соответствии с </w:t>
      </w:r>
      <w:r w:rsidR="00FC4A30">
        <w:t xml:space="preserve">приказом Министерства культуры  Российской Федерации от 16.03.2020г. №357, с </w:t>
      </w:r>
      <w:r>
        <w:t>п</w:t>
      </w:r>
      <w:r w:rsidR="004A4971">
        <w:t>риказом</w:t>
      </w:r>
      <w:r>
        <w:t xml:space="preserve"> Министерства культуры  Российской Федерации от </w:t>
      </w:r>
      <w:r w:rsidR="004A4971">
        <w:t>22</w:t>
      </w:r>
      <w:r>
        <w:t>.03.2020</w:t>
      </w:r>
      <w:r w:rsidR="004A4971">
        <w:t xml:space="preserve"> </w:t>
      </w:r>
      <w:r>
        <w:t>г. №</w:t>
      </w:r>
      <w:r w:rsidR="004A4971">
        <w:t>391,</w:t>
      </w:r>
      <w:r>
        <w:t xml:space="preserve"> </w:t>
      </w:r>
      <w:r w:rsidR="00FC4A30">
        <w:t>с приказом Министерства культуры, по делам национальностей и архивного дела Чувашской Республики от</w:t>
      </w:r>
      <w:r w:rsidR="004A4971">
        <w:t xml:space="preserve"> </w:t>
      </w:r>
      <w:r w:rsidR="00FC4A30">
        <w:t xml:space="preserve"> </w:t>
      </w:r>
      <w:r>
        <w:t xml:space="preserve">«О деятельности учреждений, находящихся в ведении Минкультуры Чувашии, в условиях угрозы распространения новой коронавирусной инфекции (2019-nCoV) на территории Чувашской Республики» в целях предупреждения распространения новой коронавирусной инфекции (2019-nCoV) на территории </w:t>
      </w:r>
      <w:r w:rsidR="00A71F81">
        <w:t>Батыревского</w:t>
      </w:r>
      <w:r>
        <w:t xml:space="preserve"> района Чувашской Республики администрация </w:t>
      </w:r>
      <w:r w:rsidR="00A71F81">
        <w:t>Батыревского</w:t>
      </w:r>
      <w:r>
        <w:t xml:space="preserve"> района</w:t>
      </w:r>
      <w:r w:rsidR="00A71F81">
        <w:t>:</w:t>
      </w:r>
      <w:r>
        <w:t xml:space="preserve"> </w:t>
      </w:r>
    </w:p>
    <w:p w:rsidR="00FC4A30" w:rsidRDefault="00FC4A30" w:rsidP="00A71F81">
      <w:pPr>
        <w:pStyle w:val="1"/>
        <w:ind w:firstLine="567"/>
        <w:jc w:val="center"/>
      </w:pPr>
    </w:p>
    <w:p w:rsidR="00A71F81" w:rsidRPr="00FC4A30" w:rsidRDefault="00A71F81" w:rsidP="00A71F81">
      <w:pPr>
        <w:pStyle w:val="1"/>
        <w:ind w:firstLine="567"/>
        <w:jc w:val="center"/>
        <w:rPr>
          <w:b/>
        </w:rPr>
      </w:pPr>
      <w:r w:rsidRPr="00FC4A30">
        <w:rPr>
          <w:b/>
        </w:rPr>
        <w:t>ПОСТАНОВЛЯЕТ:</w:t>
      </w:r>
    </w:p>
    <w:p w:rsidR="00A71F81" w:rsidRDefault="00A71F81" w:rsidP="00034357">
      <w:pPr>
        <w:pStyle w:val="1"/>
        <w:ind w:firstLine="567"/>
        <w:jc w:val="both"/>
      </w:pPr>
    </w:p>
    <w:p w:rsidR="00034357" w:rsidRDefault="00A71F81" w:rsidP="00A71F81">
      <w:pPr>
        <w:pStyle w:val="1"/>
        <w:ind w:firstLine="567"/>
        <w:jc w:val="both"/>
      </w:pPr>
      <w:r>
        <w:t>1.</w:t>
      </w:r>
      <w:r w:rsidR="000F53D4">
        <w:t xml:space="preserve"> </w:t>
      </w:r>
      <w:r w:rsidR="00034357">
        <w:t xml:space="preserve">Руководителям культурно-досуговых учреждений </w:t>
      </w:r>
      <w:r>
        <w:t>Батыревского</w:t>
      </w:r>
      <w:r w:rsidR="00034357">
        <w:t xml:space="preserve"> района с </w:t>
      </w:r>
      <w:r w:rsidR="00EB5CA3">
        <w:t xml:space="preserve">26 </w:t>
      </w:r>
      <w:r w:rsidR="00034357">
        <w:t>марта 2020</w:t>
      </w:r>
      <w:r>
        <w:t xml:space="preserve"> </w:t>
      </w:r>
      <w:r w:rsidR="00C1182D">
        <w:t>года</w:t>
      </w:r>
      <w:r w:rsidR="0069372C">
        <w:t>:</w:t>
      </w:r>
      <w:bookmarkStart w:id="0" w:name="_GoBack"/>
      <w:bookmarkEnd w:id="0"/>
    </w:p>
    <w:p w:rsidR="00034357" w:rsidRDefault="00034357" w:rsidP="00A71F81">
      <w:pPr>
        <w:pStyle w:val="1"/>
        <w:ind w:firstLine="567"/>
        <w:jc w:val="both"/>
      </w:pPr>
      <w:r>
        <w:t>1.1. Запретить проведение массовых культурно-развлекательных мероприятий;</w:t>
      </w:r>
    </w:p>
    <w:p w:rsidR="00034357" w:rsidRDefault="00034357" w:rsidP="00A71F81">
      <w:pPr>
        <w:pStyle w:val="1"/>
        <w:ind w:firstLine="567"/>
        <w:jc w:val="both"/>
      </w:pPr>
      <w:r>
        <w:t>1.2.</w:t>
      </w:r>
      <w:r w:rsidR="00A71F81">
        <w:t xml:space="preserve"> </w:t>
      </w:r>
      <w:r>
        <w:t>Приостановить допуск посетителей в музеи и организации, осуществляющие выставочную деятельность;</w:t>
      </w:r>
    </w:p>
    <w:p w:rsidR="00034357" w:rsidRDefault="00034357" w:rsidP="00A71F81">
      <w:pPr>
        <w:pStyle w:val="1"/>
        <w:ind w:firstLine="567"/>
        <w:jc w:val="both"/>
      </w:pPr>
      <w:r>
        <w:t>1.3. Приостановить  кинозалу «</w:t>
      </w:r>
      <w:r w:rsidR="00A71F81">
        <w:t>КиноБатыр</w:t>
      </w:r>
      <w:r>
        <w:t>» публичную демонстрацию фильмов;</w:t>
      </w:r>
    </w:p>
    <w:p w:rsidR="00034357" w:rsidRDefault="00034357" w:rsidP="00A71F81">
      <w:pPr>
        <w:pStyle w:val="1"/>
        <w:ind w:firstLine="567"/>
        <w:jc w:val="both"/>
      </w:pPr>
      <w:r>
        <w:t>1.4. Запрет</w:t>
      </w:r>
      <w:r w:rsidR="00C1182D">
        <w:t>ить</w:t>
      </w:r>
      <w:r>
        <w:t xml:space="preserve"> на обслуживание посетителей в зданиях библиотек;</w:t>
      </w:r>
    </w:p>
    <w:p w:rsidR="00034357" w:rsidRDefault="00034357" w:rsidP="00A71F81">
      <w:pPr>
        <w:pStyle w:val="1"/>
        <w:ind w:firstLine="567"/>
        <w:jc w:val="both"/>
      </w:pPr>
      <w:r>
        <w:t>1.5.</w:t>
      </w:r>
      <w:r w:rsidR="00A71F81">
        <w:t xml:space="preserve"> </w:t>
      </w:r>
      <w:r>
        <w:t>Обеспеч</w:t>
      </w:r>
      <w:r w:rsidR="00C1182D">
        <w:t>ить</w:t>
      </w:r>
      <w:r>
        <w:t xml:space="preserve"> </w:t>
      </w:r>
      <w:r w:rsidR="00B21D18">
        <w:t>предоставление удаленного доступа к информационным ресурсам библиотек;</w:t>
      </w:r>
    </w:p>
    <w:p w:rsidR="00A71F81" w:rsidRDefault="00034357" w:rsidP="00A71F81">
      <w:pPr>
        <w:pStyle w:val="1"/>
        <w:ind w:firstLine="567"/>
        <w:jc w:val="both"/>
      </w:pPr>
      <w:r>
        <w:t>1.6.</w:t>
      </w:r>
      <w:r w:rsidR="000F53D4">
        <w:t xml:space="preserve"> </w:t>
      </w:r>
      <w:r>
        <w:t>Установить режим доступа посетителей в помещения архива исключительно в медицинских ма</w:t>
      </w:r>
      <w:r w:rsidR="00A71F81">
        <w:t>сках, принадлежащих посетителям;</w:t>
      </w:r>
    </w:p>
    <w:p w:rsidR="00034357" w:rsidRDefault="00034357" w:rsidP="00A71F81">
      <w:pPr>
        <w:pStyle w:val="1"/>
        <w:ind w:firstLine="567"/>
        <w:jc w:val="both"/>
      </w:pPr>
      <w:r>
        <w:t>1.7.</w:t>
      </w:r>
      <w:r w:rsidR="000F53D4">
        <w:t xml:space="preserve"> </w:t>
      </w:r>
      <w:r>
        <w:t>Ограничить  направление работников в служебные командировки по территории Российской Федерации;</w:t>
      </w:r>
    </w:p>
    <w:p w:rsidR="00034357" w:rsidRDefault="00034357" w:rsidP="00A71F81">
      <w:pPr>
        <w:pStyle w:val="1"/>
        <w:ind w:firstLine="567"/>
        <w:jc w:val="both"/>
      </w:pPr>
      <w:r>
        <w:t xml:space="preserve">1.8. Исключить выезд творческих коллективов на территории других городов, регионов; </w:t>
      </w:r>
    </w:p>
    <w:p w:rsidR="00034357" w:rsidRDefault="00034357" w:rsidP="00A71F81">
      <w:pPr>
        <w:pStyle w:val="1"/>
        <w:ind w:firstLine="567"/>
        <w:jc w:val="both"/>
      </w:pPr>
      <w:r>
        <w:t>1.9.</w:t>
      </w:r>
      <w:r w:rsidR="000F53D4">
        <w:t xml:space="preserve"> </w:t>
      </w:r>
      <w:r>
        <w:t>Ограничить проведение очных совещаний (при необходимости использовать режим видеоконференцсвязи);</w:t>
      </w:r>
    </w:p>
    <w:p w:rsidR="00034357" w:rsidRDefault="00034357" w:rsidP="00A71F81">
      <w:pPr>
        <w:pStyle w:val="1"/>
        <w:ind w:firstLine="567"/>
        <w:jc w:val="both"/>
      </w:pPr>
      <w:r>
        <w:t>1.10.</w:t>
      </w:r>
      <w:r w:rsidR="000F53D4">
        <w:t xml:space="preserve"> </w:t>
      </w:r>
      <w:r>
        <w:t>Запретить  прием  иностранных делегаций;</w:t>
      </w:r>
    </w:p>
    <w:p w:rsidR="00034357" w:rsidRDefault="00034357" w:rsidP="00A71F81">
      <w:pPr>
        <w:pStyle w:val="1"/>
        <w:ind w:firstLine="567"/>
        <w:jc w:val="both"/>
      </w:pPr>
      <w:r>
        <w:t>1.11.</w:t>
      </w:r>
      <w:r w:rsidR="000F53D4">
        <w:t xml:space="preserve"> </w:t>
      </w:r>
      <w:r>
        <w:t xml:space="preserve">Запретить проведение ранее запланированных республиканских и районных мероприятий на территории </w:t>
      </w:r>
      <w:r w:rsidR="00A71F81">
        <w:t>Батыревского</w:t>
      </w:r>
      <w:r>
        <w:t xml:space="preserve"> района Чувашской Республики, включая  фестивали, выставки, конкурсы, форумы и т.д.</w:t>
      </w:r>
    </w:p>
    <w:p w:rsidR="00034357" w:rsidRDefault="00034357" w:rsidP="00A71F81">
      <w:pPr>
        <w:pStyle w:val="1"/>
        <w:ind w:firstLine="567"/>
        <w:jc w:val="both"/>
      </w:pPr>
      <w:r>
        <w:t>2.</w:t>
      </w:r>
      <w:r w:rsidR="000F53D4">
        <w:t xml:space="preserve"> </w:t>
      </w:r>
      <w:r>
        <w:t xml:space="preserve">Руководителям культурно-досуговых учреждений </w:t>
      </w:r>
      <w:r w:rsidR="00A71F81">
        <w:t>Батыревского</w:t>
      </w:r>
      <w:r>
        <w:t xml:space="preserve"> района усилить меры по проведению санитарно-противоэпидемических  и профилактических мероприятий, включая: </w:t>
      </w:r>
    </w:p>
    <w:p w:rsidR="00034357" w:rsidRDefault="00034357" w:rsidP="00A71F81">
      <w:pPr>
        <w:pStyle w:val="1"/>
        <w:ind w:firstLine="567"/>
        <w:jc w:val="both"/>
      </w:pPr>
      <w:r>
        <w:t>2.1.</w:t>
      </w:r>
      <w:r w:rsidR="000F53D4">
        <w:t xml:space="preserve"> </w:t>
      </w:r>
      <w:r>
        <w:t xml:space="preserve">Организацию контроля температуры тела работников при входе в здания </w:t>
      </w:r>
      <w:r>
        <w:lastRenderedPageBreak/>
        <w:t>учреждений;</w:t>
      </w:r>
    </w:p>
    <w:p w:rsidR="00034357" w:rsidRDefault="00034357" w:rsidP="00A71F81">
      <w:pPr>
        <w:pStyle w:val="1"/>
        <w:ind w:firstLine="567"/>
        <w:jc w:val="both"/>
      </w:pPr>
      <w:r>
        <w:t>2.2.</w:t>
      </w:r>
      <w:r w:rsidR="000F53D4">
        <w:t xml:space="preserve"> </w:t>
      </w:r>
      <w:r>
        <w:t>Своевременную изоляцию больных с симптомами гриппа и ОРВИ, новой коронавирусной инфекции из учреждений;</w:t>
      </w:r>
    </w:p>
    <w:p w:rsidR="00034357" w:rsidRDefault="00034357" w:rsidP="00A71F81">
      <w:pPr>
        <w:pStyle w:val="1"/>
        <w:ind w:firstLine="567"/>
        <w:jc w:val="both"/>
      </w:pPr>
      <w:r>
        <w:t>2.3.</w:t>
      </w:r>
      <w:r w:rsidR="000F53D4">
        <w:t xml:space="preserve"> </w:t>
      </w:r>
      <w:r>
        <w:t>Обеспечение учреждений средствами дезинфекции;</w:t>
      </w:r>
    </w:p>
    <w:p w:rsidR="00034357" w:rsidRDefault="00034357" w:rsidP="00A71F81">
      <w:pPr>
        <w:pStyle w:val="1"/>
        <w:ind w:firstLine="567"/>
        <w:jc w:val="both"/>
      </w:pPr>
      <w:r>
        <w:t>2.4.</w:t>
      </w:r>
      <w:r w:rsidR="000F53D4">
        <w:t xml:space="preserve"> </w:t>
      </w:r>
      <w:r>
        <w:t>Проведение своевременных и эффективных дезинфекционных мероприятий;</w:t>
      </w:r>
    </w:p>
    <w:p w:rsidR="00034357" w:rsidRDefault="00034357" w:rsidP="00A71F81">
      <w:pPr>
        <w:pStyle w:val="1"/>
        <w:ind w:firstLine="567"/>
        <w:jc w:val="both"/>
      </w:pPr>
      <w:r>
        <w:t>2.5.</w:t>
      </w:r>
      <w:r w:rsidR="000F53D4">
        <w:t xml:space="preserve"> </w:t>
      </w:r>
      <w:r>
        <w:t>Строгое соблюдение графика влажной уборки, регулярность проведения дезинфекционной обработки в помещениях;</w:t>
      </w:r>
    </w:p>
    <w:p w:rsidR="00034357" w:rsidRDefault="00034357" w:rsidP="00A71F81">
      <w:pPr>
        <w:pStyle w:val="1"/>
        <w:ind w:firstLine="567"/>
        <w:jc w:val="both"/>
      </w:pPr>
      <w:r>
        <w:t>3.</w:t>
      </w:r>
      <w:r w:rsidR="000F53D4">
        <w:t xml:space="preserve"> </w:t>
      </w:r>
      <w:r>
        <w:t xml:space="preserve">Меры, предусмотренные настоящим постановлением, обязательны для руководителей </w:t>
      </w:r>
      <w:r w:rsidR="00A71F81">
        <w:t>культурно-досуговых учреждений Батыревского</w:t>
      </w:r>
      <w:r>
        <w:t xml:space="preserve"> района и будут действовать до особого распоряжения об их отмене.</w:t>
      </w:r>
    </w:p>
    <w:p w:rsidR="00EB5CA3" w:rsidRDefault="00EB5CA3" w:rsidP="00A71F81">
      <w:pPr>
        <w:pStyle w:val="1"/>
        <w:ind w:firstLine="567"/>
        <w:jc w:val="both"/>
      </w:pPr>
      <w:r>
        <w:t xml:space="preserve">4. </w:t>
      </w:r>
      <w:r w:rsidRPr="00EB5CA3">
        <w:t>В период с 30 марта 2020 года по 03 апреля 2020 года установить нерабочие дни с сохранением за работниками заработной платы для</w:t>
      </w:r>
      <w:r>
        <w:t xml:space="preserve"> </w:t>
      </w:r>
      <w:r w:rsidRPr="00EB5CA3">
        <w:t>автономного учреждения «Централизованная клубная система» Батыревского района Чувашской Республики</w:t>
      </w:r>
      <w:r>
        <w:t xml:space="preserve">, </w:t>
      </w:r>
      <w:r w:rsidRPr="00EB5CA3">
        <w:t>муниципального бюджетного учреждения культуры «Централизованная библиотечн</w:t>
      </w:r>
      <w:r>
        <w:t xml:space="preserve">ая система» Батыревского района Чувашской Республики, </w:t>
      </w:r>
      <w:r w:rsidRPr="00EB5CA3">
        <w:t>бюджетного учреждения культуры «Батыревский районный историко-этнографический музей «Хлеб» Батыревско</w:t>
      </w:r>
      <w:r>
        <w:t>го района  Чувашской Республики.</w:t>
      </w:r>
    </w:p>
    <w:p w:rsidR="00034357" w:rsidRDefault="00EB5CA3" w:rsidP="000F53D4">
      <w:pPr>
        <w:pStyle w:val="1"/>
        <w:ind w:firstLine="567"/>
        <w:jc w:val="both"/>
      </w:pPr>
      <w:r>
        <w:t>5</w:t>
      </w:r>
      <w:r w:rsidR="00034357">
        <w:t>.</w:t>
      </w:r>
      <w:r w:rsidR="000F53D4">
        <w:t xml:space="preserve"> </w:t>
      </w:r>
      <w:r w:rsidR="00034357">
        <w:t xml:space="preserve">Контроль за исполнением постановления возложить на начальника отдела </w:t>
      </w:r>
      <w:r w:rsidR="000F53D4">
        <w:t xml:space="preserve">социального развития, туризма и по взаимодействию с органами местного самоуправления </w:t>
      </w:r>
      <w:r w:rsidR="00034357">
        <w:t xml:space="preserve">администрации </w:t>
      </w:r>
      <w:r w:rsidR="00A71F81">
        <w:t xml:space="preserve">Батыревского района Чувашской Республики. </w:t>
      </w:r>
    </w:p>
    <w:p w:rsidR="001D1F72" w:rsidRPr="001D1F72" w:rsidRDefault="00EB5CA3" w:rsidP="00A71F81">
      <w:pPr>
        <w:pStyle w:val="1"/>
        <w:ind w:firstLine="567"/>
        <w:jc w:val="both"/>
      </w:pPr>
      <w:r>
        <w:t>6</w:t>
      </w:r>
      <w:r w:rsidR="00A71F81">
        <w:t xml:space="preserve">.  </w:t>
      </w:r>
      <w:r w:rsidR="001D1F72" w:rsidRPr="001D1F72">
        <w:t xml:space="preserve">Настоящее постановление вступает в силу </w:t>
      </w:r>
      <w:r w:rsidR="00830DA1">
        <w:t>с момента его подписания</w:t>
      </w:r>
      <w:r w:rsidR="001D1F72" w:rsidRPr="001D1F72">
        <w:t>.</w:t>
      </w:r>
    </w:p>
    <w:p w:rsidR="00E57844" w:rsidRDefault="00E57844">
      <w:pPr>
        <w:pStyle w:val="1"/>
        <w:jc w:val="both"/>
      </w:pPr>
    </w:p>
    <w:p w:rsidR="00830DA1" w:rsidRDefault="00830DA1">
      <w:pPr>
        <w:pStyle w:val="1"/>
        <w:jc w:val="both"/>
      </w:pPr>
    </w:p>
    <w:p w:rsidR="00E57844" w:rsidRDefault="00AB156D" w:rsidP="001D1F72">
      <w:pPr>
        <w:pStyle w:val="1"/>
        <w:ind w:left="426"/>
        <w:jc w:val="both"/>
      </w:pPr>
      <w:r>
        <w:t>Глава администрации</w:t>
      </w:r>
    </w:p>
    <w:p w:rsidR="00E57844" w:rsidRDefault="00AB156D" w:rsidP="001D1F72">
      <w:pPr>
        <w:pStyle w:val="1"/>
        <w:ind w:left="426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A71F81" w:rsidRDefault="00A71F81">
      <w:pPr>
        <w:pStyle w:val="Standard"/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  <w:r>
        <w:rPr>
          <w:b/>
          <w:color w:val="auto"/>
          <w:kern w:val="0"/>
        </w:rPr>
        <w:t>«СОГЛАСОВАНО»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Начальник отдела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социального развития, туризма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и по взаимодействию с органами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местного самоуправления администрации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                          </w:t>
      </w:r>
      <w:r w:rsidR="00A166C3">
        <w:rPr>
          <w:color w:val="auto"/>
          <w:kern w:val="0"/>
        </w:rPr>
        <w:t xml:space="preserve">    </w:t>
      </w:r>
      <w:r>
        <w:rPr>
          <w:color w:val="auto"/>
          <w:kern w:val="0"/>
        </w:rPr>
        <w:t>А.Л. Куданова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2020 года                                                                         </w:t>
      </w:r>
    </w:p>
    <w:p w:rsidR="00EB5CA3" w:rsidRDefault="00EB5CA3" w:rsidP="00EB5CA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B5CA3" w:rsidRDefault="00EB5CA3" w:rsidP="00EB5CA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Ведущий специалист - эксперт отдела</w:t>
      </w:r>
    </w:p>
    <w:p w:rsidR="00EB5CA3" w:rsidRDefault="00EB5CA3" w:rsidP="00EB5CA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организационно-контрольной работы </w:t>
      </w:r>
    </w:p>
    <w:p w:rsidR="00EB5CA3" w:rsidRDefault="00EB5CA3" w:rsidP="00EB5CA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</w:t>
      </w:r>
    </w:p>
    <w:p w:rsidR="00E57844" w:rsidRDefault="00EB5CA3" w:rsidP="00EB5CA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 2020 года                                                                                   А.</w:t>
      </w:r>
      <w:r w:rsidR="0069372C">
        <w:rPr>
          <w:color w:val="auto"/>
          <w:kern w:val="0"/>
        </w:rPr>
        <w:t>В</w:t>
      </w:r>
      <w:r>
        <w:rPr>
          <w:color w:val="auto"/>
          <w:kern w:val="0"/>
        </w:rPr>
        <w:t xml:space="preserve">. </w:t>
      </w:r>
      <w:r w:rsidR="0069372C">
        <w:rPr>
          <w:color w:val="auto"/>
          <w:kern w:val="0"/>
        </w:rPr>
        <w:t>Краснова</w:t>
      </w:r>
      <w:r>
        <w:rPr>
          <w:color w:val="auto"/>
          <w:kern w:val="0"/>
        </w:rPr>
        <w:t xml:space="preserve">                         </w:t>
      </w:r>
    </w:p>
    <w:p w:rsidR="00EB5CA3" w:rsidRDefault="00EB5CA3" w:rsidP="00066299"/>
    <w:p w:rsidR="00066299" w:rsidRPr="00417DC0" w:rsidRDefault="00066299" w:rsidP="00066299">
      <w:r w:rsidRPr="00417DC0">
        <w:t xml:space="preserve">Главный специалист-эксперт </w:t>
      </w:r>
    </w:p>
    <w:p w:rsidR="00066299" w:rsidRPr="00417DC0" w:rsidRDefault="00066299" w:rsidP="00066299">
      <w:r w:rsidRPr="00417DC0">
        <w:t>сектора правовой и кадровой работы</w:t>
      </w:r>
    </w:p>
    <w:p w:rsidR="00066299" w:rsidRPr="00417DC0" w:rsidRDefault="00066299" w:rsidP="00066299">
      <w:r w:rsidRPr="00417DC0">
        <w:t xml:space="preserve">администрации Батыревского района    </w:t>
      </w:r>
    </w:p>
    <w:p w:rsidR="00066299" w:rsidRPr="00417DC0" w:rsidRDefault="00066299" w:rsidP="00066299">
      <w:r w:rsidRPr="00417DC0">
        <w:t xml:space="preserve">«__»                        2020 года                                                             </w:t>
      </w:r>
      <w:r>
        <w:t xml:space="preserve">        </w:t>
      </w:r>
      <w:r w:rsidR="00A166C3">
        <w:t xml:space="preserve">        </w:t>
      </w:r>
      <w:r>
        <w:t xml:space="preserve"> </w:t>
      </w:r>
      <w:r w:rsidR="00A166C3">
        <w:t xml:space="preserve">     </w:t>
      </w:r>
      <w:r w:rsidRPr="00417DC0">
        <w:t>А.К. Муськина</w:t>
      </w:r>
    </w:p>
    <w:p w:rsidR="00066299" w:rsidRPr="007E132B" w:rsidRDefault="00066299" w:rsidP="00066299">
      <w:pPr>
        <w:jc w:val="center"/>
        <w:rPr>
          <w:sz w:val="28"/>
          <w:szCs w:val="28"/>
        </w:rPr>
      </w:pPr>
    </w:p>
    <w:p w:rsidR="00066299" w:rsidRDefault="00066299" w:rsidP="00066299">
      <w:pPr>
        <w:ind w:hanging="180"/>
        <w:jc w:val="center"/>
        <w:rPr>
          <w:sz w:val="26"/>
          <w:szCs w:val="26"/>
        </w:rPr>
      </w:pPr>
    </w:p>
    <w:p w:rsidR="00066299" w:rsidRDefault="0006629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sectPr w:rsidR="00E5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8F" w:rsidRDefault="00A8758F">
      <w:r>
        <w:separator/>
      </w:r>
    </w:p>
  </w:endnote>
  <w:endnote w:type="continuationSeparator" w:id="0">
    <w:p w:rsidR="00A8758F" w:rsidRDefault="00A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8F" w:rsidRDefault="00A8758F">
      <w:r>
        <w:separator/>
      </w:r>
    </w:p>
  </w:footnote>
  <w:footnote w:type="continuationSeparator" w:id="0">
    <w:p w:rsidR="00A8758F" w:rsidRDefault="00A8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4"/>
    <w:rsid w:val="00034357"/>
    <w:rsid w:val="00066299"/>
    <w:rsid w:val="000F53D4"/>
    <w:rsid w:val="001145AF"/>
    <w:rsid w:val="0012775F"/>
    <w:rsid w:val="001D1F72"/>
    <w:rsid w:val="001F4D1B"/>
    <w:rsid w:val="00380B82"/>
    <w:rsid w:val="004A1E83"/>
    <w:rsid w:val="004A4971"/>
    <w:rsid w:val="005D0B7A"/>
    <w:rsid w:val="005D7693"/>
    <w:rsid w:val="00615A12"/>
    <w:rsid w:val="006864C8"/>
    <w:rsid w:val="0069372C"/>
    <w:rsid w:val="007C187D"/>
    <w:rsid w:val="00830DA1"/>
    <w:rsid w:val="009F43A5"/>
    <w:rsid w:val="00A166C3"/>
    <w:rsid w:val="00A279B6"/>
    <w:rsid w:val="00A71F81"/>
    <w:rsid w:val="00A8758F"/>
    <w:rsid w:val="00AB156D"/>
    <w:rsid w:val="00B21D18"/>
    <w:rsid w:val="00C07DC0"/>
    <w:rsid w:val="00C1182D"/>
    <w:rsid w:val="00CC1B21"/>
    <w:rsid w:val="00E57844"/>
    <w:rsid w:val="00E66D40"/>
    <w:rsid w:val="00EA1135"/>
    <w:rsid w:val="00EB5CA3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54C1-7032-4A0E-81C9-0FC83F9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C86F-5CBF-4E10-AE96-C5BAF47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12</cp:revision>
  <cp:lastPrinted>2020-03-27T11:58:00Z</cp:lastPrinted>
  <dcterms:created xsi:type="dcterms:W3CDTF">2020-03-27T08:59:00Z</dcterms:created>
  <dcterms:modified xsi:type="dcterms:W3CDTF">2020-03-27T11:59:00Z</dcterms:modified>
</cp:coreProperties>
</file>