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2F" w:rsidRDefault="002B2D2F" w:rsidP="002B2D2F">
      <w:pPr>
        <w:keepNext/>
        <w:spacing w:after="0" w:line="240" w:lineRule="auto"/>
        <w:ind w:right="40" w:firstLine="720"/>
        <w:jc w:val="right"/>
        <w:outlineLvl w:val="0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2B2D2F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Проект</w:t>
      </w:r>
    </w:p>
    <w:p w:rsidR="00A01D90" w:rsidRPr="00A01D90" w:rsidRDefault="00A01D90" w:rsidP="00A01D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1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ПОПРАВОК</w:t>
      </w:r>
    </w:p>
    <w:p w:rsidR="00A108D7" w:rsidRPr="00A108D7" w:rsidRDefault="00A01D90" w:rsidP="00A108D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01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проекту закона Чувашской Республики </w:t>
      </w:r>
      <w:r w:rsidR="00D40088" w:rsidRPr="00D4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 детях войны"</w:t>
      </w:r>
      <w:r w:rsidR="000802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bookmarkStart w:id="0" w:name="_GoBack"/>
      <w:bookmarkEnd w:id="0"/>
      <w:r w:rsidR="00A108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108D7" w:rsidRPr="00A108D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рекомендованных Комитетом Государственного Совета </w:t>
      </w:r>
    </w:p>
    <w:p w:rsidR="002B2D2F" w:rsidRDefault="00A108D7" w:rsidP="00A108D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108D7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Чувашской Республики по социальной политике и национальным вопросам </w:t>
      </w:r>
      <w:r w:rsidRPr="00A108D7">
        <w:rPr>
          <w:rFonts w:ascii="Arial" w:eastAsia="Calibri" w:hAnsi="Arial" w:cs="Arial"/>
          <w:bCs/>
          <w:i/>
          <w:sz w:val="24"/>
          <w:szCs w:val="24"/>
          <w:u w:val="single"/>
        </w:rPr>
        <w:t xml:space="preserve">к </w:t>
      </w:r>
      <w:r>
        <w:rPr>
          <w:rFonts w:ascii="Arial" w:eastAsia="Calibri" w:hAnsi="Arial" w:cs="Arial"/>
          <w:bCs/>
          <w:i/>
          <w:sz w:val="24"/>
          <w:szCs w:val="24"/>
          <w:u w:val="single"/>
        </w:rPr>
        <w:t>отклонению</w:t>
      </w:r>
    </w:p>
    <w:p w:rsidR="002B2D2F" w:rsidRPr="002B2D2F" w:rsidRDefault="002B2D2F" w:rsidP="002B2D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80"/>
        <w:gridCol w:w="1605"/>
        <w:gridCol w:w="4207"/>
        <w:gridCol w:w="4308"/>
      </w:tblGrid>
      <w:tr w:rsidR="002B2D2F" w:rsidRPr="002B2D2F" w:rsidTr="006D728F">
        <w:trPr>
          <w:trHeight w:val="8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2F" w:rsidRPr="002B2D2F" w:rsidRDefault="002B2D2F" w:rsidP="002B2D2F">
            <w:pPr>
              <w:spacing w:after="0" w:line="240" w:lineRule="auto"/>
              <w:ind w:left="-142" w:right="-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B2D2F" w:rsidRPr="002B2D2F" w:rsidRDefault="002B2D2F" w:rsidP="002B2D2F">
            <w:pPr>
              <w:spacing w:after="0" w:line="240" w:lineRule="auto"/>
              <w:ind w:left="-142" w:right="-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2F" w:rsidRPr="002B2D2F" w:rsidRDefault="002B2D2F" w:rsidP="002B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Текст законопроекта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2F" w:rsidRPr="002B2D2F" w:rsidRDefault="002B2D2F" w:rsidP="002B2D2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Автор</w:t>
            </w:r>
          </w:p>
          <w:p w:rsidR="002B2D2F" w:rsidRPr="002B2D2F" w:rsidRDefault="002B2D2F" w:rsidP="002B2D2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2F" w:rsidRPr="002B2D2F" w:rsidRDefault="002B2D2F" w:rsidP="002B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2B2D2F" w:rsidRPr="002B2D2F" w:rsidRDefault="002B2D2F" w:rsidP="002B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CC7" w:rsidRPr="00137CC7" w:rsidRDefault="00137CC7" w:rsidP="0013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C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Новая редакция текста</w:t>
            </w:r>
          </w:p>
          <w:p w:rsidR="002B2D2F" w:rsidRPr="002B2D2F" w:rsidRDefault="00137CC7" w:rsidP="0013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C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законопроекта с учетом поправки</w:t>
            </w:r>
          </w:p>
        </w:tc>
      </w:tr>
    </w:tbl>
    <w:p w:rsidR="002B2D2F" w:rsidRPr="002B2D2F" w:rsidRDefault="002B2D2F" w:rsidP="002B2D2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80"/>
        <w:gridCol w:w="1605"/>
        <w:gridCol w:w="4207"/>
        <w:gridCol w:w="4308"/>
      </w:tblGrid>
      <w:tr w:rsidR="002B2D2F" w:rsidRPr="002B2D2F" w:rsidTr="006D728F">
        <w:trPr>
          <w:trHeight w:val="90"/>
          <w:tblHeader/>
        </w:trPr>
        <w:tc>
          <w:tcPr>
            <w:tcW w:w="648" w:type="dxa"/>
            <w:tcBorders>
              <w:bottom w:val="single" w:sz="4" w:space="0" w:color="auto"/>
            </w:tcBorders>
          </w:tcPr>
          <w:p w:rsidR="002B2D2F" w:rsidRPr="002B2D2F" w:rsidRDefault="002B2D2F" w:rsidP="006C2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2B2D2F" w:rsidRPr="002B2D2F" w:rsidRDefault="002B2D2F" w:rsidP="006C2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B2D2F" w:rsidRPr="002B2D2F" w:rsidRDefault="002B2D2F" w:rsidP="006C2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2B2D2F" w:rsidRPr="002B2D2F" w:rsidRDefault="002B2D2F" w:rsidP="006C2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2B2D2F" w:rsidRPr="002B2D2F" w:rsidRDefault="002B2D2F" w:rsidP="006C2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002B1" w:rsidRPr="002B2D2F" w:rsidTr="006D728F">
        <w:trPr>
          <w:trHeight w:val="20"/>
        </w:trPr>
        <w:tc>
          <w:tcPr>
            <w:tcW w:w="648" w:type="dxa"/>
            <w:tcBorders>
              <w:bottom w:val="nil"/>
            </w:tcBorders>
          </w:tcPr>
          <w:p w:rsidR="00F002B1" w:rsidRDefault="00F002B1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574" w:rsidRDefault="00546574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574" w:rsidRDefault="00546574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574" w:rsidRDefault="00546574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3D57" w:rsidRDefault="00113D57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BB5" w:rsidRDefault="00327BB5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574" w:rsidRDefault="00546574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39D0" w:rsidRDefault="003639D0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BB5" w:rsidRDefault="00327BB5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03208C" w:rsidRDefault="0003208C" w:rsidP="00AC7468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08C" w:rsidRPr="00044A3A" w:rsidRDefault="0003208C" w:rsidP="00AC7468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nil"/>
            </w:tcBorders>
          </w:tcPr>
          <w:p w:rsidR="00B07262" w:rsidRPr="00327BB5" w:rsidRDefault="00B07262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13D5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…</w:t>
            </w:r>
          </w:p>
          <w:p w:rsidR="00B07262" w:rsidRPr="00B07262" w:rsidRDefault="00B07262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13D57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Статья 3.</w:t>
            </w:r>
            <w:r w:rsidRPr="00B07262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ab/>
              <w:t xml:space="preserve">Меры социальной поддержки детей войны </w:t>
            </w:r>
          </w:p>
          <w:p w:rsidR="00CA4A64" w:rsidRDefault="00B07262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</w:pPr>
            <w:r w:rsidRPr="00B07262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1. Дети войны имеют право на предоставление следующих мер социальной поддержки:</w:t>
            </w:r>
          </w:p>
          <w:p w:rsidR="00B07262" w:rsidRPr="00327BB5" w:rsidRDefault="00B07262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</w:pPr>
            <w:r w:rsidRPr="00113D5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…</w:t>
            </w:r>
          </w:p>
          <w:p w:rsidR="00113D57" w:rsidRPr="00327BB5" w:rsidRDefault="00113D57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spacing w:val="-4"/>
                <w:sz w:val="24"/>
                <w:szCs w:val="24"/>
                <w:lang w:eastAsia="ru-RU"/>
              </w:rPr>
            </w:pPr>
          </w:p>
          <w:p w:rsidR="00F002B1" w:rsidRDefault="00F002B1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F002B1" w:rsidRPr="00327BB5" w:rsidRDefault="00F002B1" w:rsidP="00AC7468">
            <w:pPr>
              <w:keepNext/>
              <w:widowControl w:val="0"/>
              <w:spacing w:after="0" w:line="230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20D" w:rsidRPr="00327BB5" w:rsidRDefault="001C220D" w:rsidP="00AC7468">
            <w:pPr>
              <w:keepNext/>
              <w:widowControl w:val="0"/>
              <w:spacing w:after="0" w:line="230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3D57" w:rsidRPr="00327BB5" w:rsidRDefault="00113D57" w:rsidP="00AC7468">
            <w:pPr>
              <w:keepNext/>
              <w:widowControl w:val="0"/>
              <w:spacing w:after="0" w:line="230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39D0" w:rsidRDefault="00546574" w:rsidP="00AC7468">
            <w:pPr>
              <w:keepNext/>
              <w:widowControl w:val="0"/>
              <w:spacing w:after="0" w:line="230" w:lineRule="auto"/>
              <w:ind w:left="-79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Госуда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ственного Совета </w:t>
            </w:r>
          </w:p>
          <w:p w:rsidR="001C220D" w:rsidRDefault="00546574" w:rsidP="00AC7468">
            <w:pPr>
              <w:keepNext/>
              <w:widowControl w:val="0"/>
              <w:spacing w:after="0" w:line="230" w:lineRule="auto"/>
              <w:ind w:left="-79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</w:t>
            </w:r>
            <w:r w:rsidR="00590DC2">
              <w:rPr>
                <w:rFonts w:ascii="Arial" w:hAnsi="Arial" w:cs="Arial"/>
                <w:sz w:val="24"/>
                <w:szCs w:val="24"/>
              </w:rPr>
              <w:t>вашской Р</w:t>
            </w:r>
            <w:r>
              <w:rPr>
                <w:rFonts w:ascii="Arial" w:hAnsi="Arial" w:cs="Arial"/>
                <w:sz w:val="24"/>
                <w:szCs w:val="24"/>
              </w:rPr>
              <w:t xml:space="preserve">еспублики Андреев А.М. </w:t>
            </w:r>
            <w:r w:rsidRPr="003639D0">
              <w:rPr>
                <w:rFonts w:ascii="Arial" w:hAnsi="Arial" w:cs="Arial"/>
                <w:spacing w:val="-10"/>
                <w:sz w:val="24"/>
                <w:szCs w:val="24"/>
              </w:rPr>
              <w:t>и Данилов Г.В.</w:t>
            </w:r>
          </w:p>
          <w:p w:rsidR="00546574" w:rsidRPr="00327BB5" w:rsidRDefault="00546574" w:rsidP="00AC7468">
            <w:pPr>
              <w:keepNext/>
              <w:widowControl w:val="0"/>
              <w:spacing w:after="0" w:line="230" w:lineRule="auto"/>
              <w:ind w:left="-79" w:right="-79"/>
              <w:jc w:val="center"/>
              <w:rPr>
                <w:rFonts w:ascii="Arial" w:hAnsi="Arial" w:cs="Arial"/>
                <w:szCs w:val="24"/>
              </w:rPr>
            </w:pPr>
          </w:p>
          <w:p w:rsidR="0003208C" w:rsidRPr="003639D0" w:rsidRDefault="0003208C" w:rsidP="00AC7468">
            <w:pPr>
              <w:keepNext/>
              <w:widowControl w:val="0"/>
              <w:spacing w:after="0" w:line="230" w:lineRule="auto"/>
              <w:ind w:left="-79" w:right="-79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Госуда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ственного Совета Ч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вашской </w:t>
            </w:r>
            <w:r w:rsidR="00590DC2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еспублики Андреев А.М. </w:t>
            </w:r>
            <w:r w:rsidRPr="003639D0">
              <w:rPr>
                <w:rFonts w:ascii="Arial" w:hAnsi="Arial" w:cs="Arial"/>
                <w:spacing w:val="-10"/>
                <w:sz w:val="24"/>
                <w:szCs w:val="24"/>
              </w:rPr>
              <w:t>и Данилов Г.В.</w:t>
            </w:r>
          </w:p>
          <w:p w:rsidR="001C220D" w:rsidRPr="00327BB5" w:rsidRDefault="0003208C" w:rsidP="00AC7468">
            <w:pPr>
              <w:keepNext/>
              <w:widowControl w:val="0"/>
              <w:spacing w:after="0" w:line="230" w:lineRule="auto"/>
              <w:ind w:left="-79" w:right="-79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депутаты Госуда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ственного Совета Ч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вашской </w:t>
            </w:r>
            <w:r w:rsidR="00590DC2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еспублики Андреев А.М. </w:t>
            </w:r>
            <w:r w:rsidRPr="00327BB5">
              <w:rPr>
                <w:rFonts w:ascii="Arial" w:hAnsi="Arial" w:cs="Arial"/>
                <w:spacing w:val="-10"/>
                <w:sz w:val="24"/>
                <w:szCs w:val="24"/>
              </w:rPr>
              <w:t>и Данилов Г.В.</w:t>
            </w: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right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nil"/>
            </w:tcBorders>
          </w:tcPr>
          <w:p w:rsidR="001C220D" w:rsidRPr="00327BB5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C220D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C220D" w:rsidRPr="00327BB5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113D57" w:rsidRPr="00327BB5" w:rsidRDefault="00113D57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546574" w:rsidRDefault="00546574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4657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Часть 1 статьи 3 проекта з</w:t>
            </w:r>
            <w:r w:rsidRPr="0054657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54657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дополнить пунктом 4 след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ющего содержания:</w:t>
            </w:r>
          </w:p>
          <w:p w:rsidR="001C220D" w:rsidRPr="00546574" w:rsidRDefault="00546574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113D5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"</w:t>
            </w:r>
            <w:r w:rsidRPr="00060B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4)</w:t>
            </w:r>
            <w:r w:rsidRPr="0054657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выплата компенсации в ра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мере 25 </w:t>
            </w:r>
            <w:r w:rsidR="00113D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процентов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произведенных расходов на оплату жилого пом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щения и коммунальных услуг</w:t>
            </w:r>
            <w:proofErr w:type="gramStart"/>
            <w:r w:rsidR="00634C5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;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"</w:t>
            </w:r>
            <w:proofErr w:type="gramEnd"/>
            <w:r w:rsid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C220D" w:rsidRPr="003639D0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Cs w:val="24"/>
                <w:lang w:eastAsia="ru-RU"/>
              </w:rPr>
            </w:pPr>
          </w:p>
          <w:p w:rsidR="001C220D" w:rsidRPr="00327BB5" w:rsidRDefault="001C220D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Cs w:val="24"/>
                <w:lang w:eastAsia="ru-RU"/>
              </w:rPr>
            </w:pPr>
          </w:p>
          <w:p w:rsidR="0003208C" w:rsidRPr="0003208C" w:rsidRDefault="0003208C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Часть 1 статьи 3 проекта </w:t>
            </w:r>
            <w:proofErr w:type="gramStart"/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за-кона</w:t>
            </w:r>
            <w:proofErr w:type="gramEnd"/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дополнить пунктом </w:t>
            </w:r>
            <w:r w:rsidR="00634C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след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ющего содержания:</w:t>
            </w:r>
          </w:p>
          <w:p w:rsidR="001C220D" w:rsidRDefault="0003208C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"</w:t>
            </w:r>
            <w:r w:rsidR="00634C59" w:rsidRPr="00060B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</w:t>
            </w:r>
            <w:r w:rsidRPr="00060B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)</w:t>
            </w:r>
            <w:r w:rsidRPr="0003208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компенсация расходов на оплату коммунальных услуг по 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ращению с твёрдыми коммунал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ными отходами в размере 100</w:t>
            </w:r>
            <w:r w:rsidR="00113D5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процентов</w:t>
            </w:r>
            <w:proofErr w:type="gramStart"/>
            <w:r w:rsidR="00634C5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;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"</w:t>
            </w:r>
            <w:proofErr w:type="gramEnd"/>
            <w:r w:rsidRPr="0003208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</w:p>
          <w:p w:rsidR="0003208C" w:rsidRPr="0003208C" w:rsidRDefault="0003208C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Часть 1 статьи 3 проекта </w:t>
            </w:r>
            <w:proofErr w:type="gramStart"/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за-кона</w:t>
            </w:r>
            <w:proofErr w:type="gramEnd"/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дополнить пунктом </w:t>
            </w:r>
            <w:r w:rsidR="00634C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след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ющего содержания:</w:t>
            </w:r>
          </w:p>
          <w:p w:rsidR="0003208C" w:rsidRDefault="0003208C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"</w:t>
            </w:r>
            <w:r w:rsidR="00634C59" w:rsidRPr="00060B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</w:t>
            </w:r>
            <w:r w:rsidRPr="00060B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)</w:t>
            </w:r>
            <w:r w:rsidRPr="0003208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ежемесячная денежная в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плата в размере 1044 рубля. Ра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мер ежемесячной денежной в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платы подлежит индексации в п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рядке и сроки, которые определ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ются решением Правительства Чувашской Республики. </w:t>
            </w:r>
            <w:proofErr w:type="gramStart"/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Если гражданин одновременно имеет право 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="00590DC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ежемесячную денежную выплату по настоящему Закону и по другому нормативному прав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вому акту Росс</w:t>
            </w:r>
            <w:r w:rsidR="00060B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ийской Федерации или Чувашской Р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еспублики нез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висимо от основания, по которому она устанавливается, по выбору гражданина предоставляется одна ежемесячная денежная выплата либо по настоящему Закону, либо по другому нормативному прав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="00AC03A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вому акту Российской Федерации или Чувашской Республики.</w:t>
            </w:r>
            <w:r w:rsidRPr="0003208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"</w:t>
            </w:r>
            <w:r w:rsidRPr="0003208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5B085D" w:rsidRDefault="00060B2A" w:rsidP="00AC7468">
            <w:pPr>
              <w:keepNext/>
              <w:widowControl w:val="0"/>
              <w:spacing w:after="0" w:line="230" w:lineRule="auto"/>
              <w:ind w:firstLine="255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60B2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08" w:type="dxa"/>
            <w:tcBorders>
              <w:bottom w:val="nil"/>
            </w:tcBorders>
          </w:tcPr>
          <w:p w:rsidR="00113D57" w:rsidRPr="00327BB5" w:rsidRDefault="00113D57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…</w:t>
            </w:r>
          </w:p>
          <w:p w:rsidR="00113D57" w:rsidRPr="00B07262" w:rsidRDefault="00113D57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13D57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Статья 3.</w:t>
            </w:r>
            <w:r w:rsidRPr="00113D57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ab/>
            </w:r>
            <w:r w:rsidRPr="00B07262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 xml:space="preserve">Меры социальной поддержки детей войны </w:t>
            </w:r>
          </w:p>
          <w:p w:rsidR="00113D57" w:rsidRDefault="00113D57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</w:pPr>
            <w:r w:rsidRPr="00B07262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1. Дети войны имеют право на предоставление следующих мер с</w:t>
            </w:r>
            <w:r w:rsidRPr="00B07262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B07262"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  <w:t>циальной поддержки:</w:t>
            </w:r>
          </w:p>
          <w:p w:rsidR="00113D57" w:rsidRDefault="00113D57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13D57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…</w:t>
            </w:r>
          </w:p>
          <w:p w:rsidR="00327BB5" w:rsidRPr="003639D0" w:rsidRDefault="00327BB5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634C59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634C59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4) выплата компенсации в ра</w:t>
            </w:r>
            <w:r w:rsidRPr="00634C59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з</w:t>
            </w:r>
            <w:r w:rsidRPr="00634C59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мере 25 процентов произведенных расходов на оплату жилого помещ</w:t>
            </w:r>
            <w:r w:rsidRPr="00634C59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  <w:t>ния и коммунальных услуг;</w:t>
            </w:r>
          </w:p>
          <w:p w:rsidR="00634C59" w:rsidRPr="003639D0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  <w:p w:rsidR="00634C59" w:rsidRPr="00327BB5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Cs w:val="24"/>
                <w:lang w:eastAsia="ru-RU"/>
              </w:rPr>
            </w:pPr>
          </w:p>
          <w:p w:rsidR="00634C59" w:rsidRPr="00327BB5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Cs w:val="24"/>
                <w:lang w:eastAsia="ru-RU"/>
              </w:rPr>
            </w:pPr>
          </w:p>
          <w:p w:rsidR="00634C59" w:rsidRPr="00327BB5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Cs w:val="24"/>
                <w:lang w:eastAsia="ru-RU"/>
              </w:rPr>
            </w:pPr>
          </w:p>
          <w:p w:rsidR="00634C59" w:rsidRPr="00327BB5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Cs w:val="24"/>
                <w:lang w:eastAsia="ru-RU"/>
              </w:rPr>
            </w:pPr>
          </w:p>
          <w:p w:rsidR="00634C59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</w:t>
            </w:r>
            <w:r w:rsidRPr="0003208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компенсация расходов на оплату коммунальных услуг по 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ращению с твёрдыми коммунал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ными отходами в размере 100 пр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центов;</w:t>
            </w:r>
          </w:p>
          <w:p w:rsidR="00634C59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634C59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634C59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  <w:p w:rsidR="00634C59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060B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6)</w:t>
            </w:r>
            <w:r w:rsidRPr="0003208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ежемесячная денежная в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плата в размере 1044 рубля. Ра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мер ежемесячной денежной выпл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ты подлежит индексации в порядке и сроки, которые определяются р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шением Правительства Чувашской Республики. </w:t>
            </w:r>
            <w:proofErr w:type="gramStart"/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Если гражданин одн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временно имеет право н</w:t>
            </w:r>
            <w:r w:rsidR="00590DC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ежем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сячную денежную выплату по настоящему Закону и по другому нормативному правовому акту Ро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="00060B2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ийской Федерации или Чувашской Р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еспублики независимо от основ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ния, по которому она устанавлив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ется, по выбору гражданина пред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ставляется одна ежемесячная д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нежная выплата либо по насто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щему Закону, либо по другому но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мативному правовому акту Росси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ской Федерации или Чувашской Республики.</w:t>
            </w:r>
            <w:proofErr w:type="gramEnd"/>
          </w:p>
          <w:p w:rsidR="00634C59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  <w:p w:rsidR="00634C59" w:rsidRDefault="00634C59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  <w:p w:rsidR="00060B2A" w:rsidRDefault="00060B2A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ru-RU"/>
              </w:rPr>
            </w:pPr>
          </w:p>
          <w:p w:rsidR="00060B2A" w:rsidRPr="00060B2A" w:rsidRDefault="00060B2A" w:rsidP="00AC7468">
            <w:pPr>
              <w:keepNext/>
              <w:widowControl w:val="0"/>
              <w:autoSpaceDE w:val="0"/>
              <w:autoSpaceDN w:val="0"/>
              <w:adjustRightInd w:val="0"/>
              <w:spacing w:after="0" w:line="23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060B2A">
              <w:rPr>
                <w:rFonts w:ascii="Arial" w:eastAsia="Times New Roman" w:hAnsi="Arial" w:cs="Arial"/>
                <w:b/>
                <w:bCs/>
                <w:iCs/>
                <w:spacing w:val="-2"/>
                <w:sz w:val="24"/>
                <w:szCs w:val="24"/>
                <w:lang w:eastAsia="ru-RU"/>
              </w:rPr>
              <w:t>…</w:t>
            </w:r>
          </w:p>
        </w:tc>
      </w:tr>
      <w:tr w:rsidR="007520EC" w:rsidRPr="00551EC1" w:rsidTr="007520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48" w:type="dxa"/>
            <w:gridSpan w:val="5"/>
            <w:tcBorders>
              <w:top w:val="single" w:sz="4" w:space="0" w:color="auto"/>
            </w:tcBorders>
          </w:tcPr>
          <w:p w:rsidR="007520EC" w:rsidRPr="00551EC1" w:rsidRDefault="007520EC" w:rsidP="006C2FB1">
            <w:pPr>
              <w:spacing w:line="240" w:lineRule="auto"/>
              <w:rPr>
                <w:sz w:val="10"/>
              </w:rPr>
            </w:pPr>
          </w:p>
        </w:tc>
      </w:tr>
    </w:tbl>
    <w:p w:rsidR="007520EC" w:rsidRPr="007C5894" w:rsidRDefault="007520EC" w:rsidP="008865E8">
      <w:pPr>
        <w:rPr>
          <w:sz w:val="2"/>
          <w:szCs w:val="2"/>
        </w:rPr>
      </w:pPr>
    </w:p>
    <w:sectPr w:rsidR="007520EC" w:rsidRPr="007C5894" w:rsidSect="006D728F">
      <w:headerReference w:type="even" r:id="rId9"/>
      <w:headerReference w:type="default" r:id="rId10"/>
      <w:pgSz w:w="16838" w:h="11906" w:orient="landscape" w:code="9"/>
      <w:pgMar w:top="1134" w:right="64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D0" w:rsidRDefault="003639D0">
      <w:pPr>
        <w:spacing w:after="0" w:line="240" w:lineRule="auto"/>
      </w:pPr>
      <w:r>
        <w:separator/>
      </w:r>
    </w:p>
  </w:endnote>
  <w:endnote w:type="continuationSeparator" w:id="0">
    <w:p w:rsidR="003639D0" w:rsidRDefault="0036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D0" w:rsidRDefault="003639D0">
      <w:pPr>
        <w:spacing w:after="0" w:line="240" w:lineRule="auto"/>
      </w:pPr>
      <w:r>
        <w:separator/>
      </w:r>
    </w:p>
  </w:footnote>
  <w:footnote w:type="continuationSeparator" w:id="0">
    <w:p w:rsidR="003639D0" w:rsidRDefault="0036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D0" w:rsidRDefault="003639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9D0" w:rsidRDefault="00363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D0" w:rsidRDefault="003639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27A">
      <w:rPr>
        <w:rStyle w:val="a5"/>
        <w:noProof/>
      </w:rPr>
      <w:t>2</w:t>
    </w:r>
    <w:r>
      <w:rPr>
        <w:rStyle w:val="a5"/>
      </w:rPr>
      <w:fldChar w:fldCharType="end"/>
    </w:r>
  </w:p>
  <w:p w:rsidR="003639D0" w:rsidRDefault="003639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11F"/>
    <w:multiLevelType w:val="hybridMultilevel"/>
    <w:tmpl w:val="07AEF1FC"/>
    <w:lvl w:ilvl="0" w:tplc="656673B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B"/>
    <w:rsid w:val="0003208C"/>
    <w:rsid w:val="00032398"/>
    <w:rsid w:val="00044A3A"/>
    <w:rsid w:val="0004663A"/>
    <w:rsid w:val="00060B2A"/>
    <w:rsid w:val="0006102C"/>
    <w:rsid w:val="00062A11"/>
    <w:rsid w:val="00076BBC"/>
    <w:rsid w:val="0008027A"/>
    <w:rsid w:val="0008635C"/>
    <w:rsid w:val="000B30F3"/>
    <w:rsid w:val="000B6884"/>
    <w:rsid w:val="000B744B"/>
    <w:rsid w:val="000D2BF0"/>
    <w:rsid w:val="000D5E6E"/>
    <w:rsid w:val="000E6AA5"/>
    <w:rsid w:val="00102383"/>
    <w:rsid w:val="00110A67"/>
    <w:rsid w:val="00113D57"/>
    <w:rsid w:val="00137CC7"/>
    <w:rsid w:val="00141011"/>
    <w:rsid w:val="001545F5"/>
    <w:rsid w:val="00186D8E"/>
    <w:rsid w:val="001A692B"/>
    <w:rsid w:val="001B383F"/>
    <w:rsid w:val="001B54EF"/>
    <w:rsid w:val="001C220D"/>
    <w:rsid w:val="001C3BF3"/>
    <w:rsid w:val="001D6619"/>
    <w:rsid w:val="001D7192"/>
    <w:rsid w:val="001F4FAD"/>
    <w:rsid w:val="0020037C"/>
    <w:rsid w:val="002133DC"/>
    <w:rsid w:val="0022418D"/>
    <w:rsid w:val="00274EB3"/>
    <w:rsid w:val="002A30C2"/>
    <w:rsid w:val="002B2D2F"/>
    <w:rsid w:val="002D4730"/>
    <w:rsid w:val="002E75E9"/>
    <w:rsid w:val="003033AA"/>
    <w:rsid w:val="0031300E"/>
    <w:rsid w:val="00316C9A"/>
    <w:rsid w:val="00320323"/>
    <w:rsid w:val="00327BB5"/>
    <w:rsid w:val="00346B33"/>
    <w:rsid w:val="00357292"/>
    <w:rsid w:val="003633EF"/>
    <w:rsid w:val="003639D0"/>
    <w:rsid w:val="00373972"/>
    <w:rsid w:val="003769C3"/>
    <w:rsid w:val="00395F75"/>
    <w:rsid w:val="003A1709"/>
    <w:rsid w:val="003B129C"/>
    <w:rsid w:val="003E19B5"/>
    <w:rsid w:val="003E5A6E"/>
    <w:rsid w:val="003E70C1"/>
    <w:rsid w:val="003F6898"/>
    <w:rsid w:val="00401D01"/>
    <w:rsid w:val="004619F7"/>
    <w:rsid w:val="004659AC"/>
    <w:rsid w:val="00466E43"/>
    <w:rsid w:val="00474BAF"/>
    <w:rsid w:val="004A5D3F"/>
    <w:rsid w:val="004B1ED7"/>
    <w:rsid w:val="004B6251"/>
    <w:rsid w:val="00546574"/>
    <w:rsid w:val="00551EC1"/>
    <w:rsid w:val="00590DC2"/>
    <w:rsid w:val="005A2412"/>
    <w:rsid w:val="005B085D"/>
    <w:rsid w:val="005E2009"/>
    <w:rsid w:val="005F1549"/>
    <w:rsid w:val="00632027"/>
    <w:rsid w:val="006333A9"/>
    <w:rsid w:val="00634C59"/>
    <w:rsid w:val="00655DE1"/>
    <w:rsid w:val="00665004"/>
    <w:rsid w:val="006669C2"/>
    <w:rsid w:val="00683FC8"/>
    <w:rsid w:val="006A46B3"/>
    <w:rsid w:val="006B6D54"/>
    <w:rsid w:val="006B71D1"/>
    <w:rsid w:val="006C2FB1"/>
    <w:rsid w:val="006D095B"/>
    <w:rsid w:val="006D51C1"/>
    <w:rsid w:val="006D728F"/>
    <w:rsid w:val="006E13F1"/>
    <w:rsid w:val="006E7D0E"/>
    <w:rsid w:val="006F41B5"/>
    <w:rsid w:val="006F58C8"/>
    <w:rsid w:val="007023C3"/>
    <w:rsid w:val="007032AC"/>
    <w:rsid w:val="0074569F"/>
    <w:rsid w:val="007462FE"/>
    <w:rsid w:val="0075022F"/>
    <w:rsid w:val="007520EC"/>
    <w:rsid w:val="0078324F"/>
    <w:rsid w:val="007A6825"/>
    <w:rsid w:val="007C0FD7"/>
    <w:rsid w:val="007C5894"/>
    <w:rsid w:val="007F017F"/>
    <w:rsid w:val="00802397"/>
    <w:rsid w:val="008046D0"/>
    <w:rsid w:val="008167EA"/>
    <w:rsid w:val="00827DC1"/>
    <w:rsid w:val="00833390"/>
    <w:rsid w:val="008508A4"/>
    <w:rsid w:val="008512E5"/>
    <w:rsid w:val="00864E07"/>
    <w:rsid w:val="008810BA"/>
    <w:rsid w:val="00882D7B"/>
    <w:rsid w:val="008865E8"/>
    <w:rsid w:val="008F08E2"/>
    <w:rsid w:val="008F426E"/>
    <w:rsid w:val="00901D21"/>
    <w:rsid w:val="00907D2A"/>
    <w:rsid w:val="009112B8"/>
    <w:rsid w:val="00917B65"/>
    <w:rsid w:val="00962A1B"/>
    <w:rsid w:val="009B7266"/>
    <w:rsid w:val="00A01D90"/>
    <w:rsid w:val="00A108D7"/>
    <w:rsid w:val="00A36297"/>
    <w:rsid w:val="00A36727"/>
    <w:rsid w:val="00A55C8A"/>
    <w:rsid w:val="00A56985"/>
    <w:rsid w:val="00A73F54"/>
    <w:rsid w:val="00A93A17"/>
    <w:rsid w:val="00AC03A9"/>
    <w:rsid w:val="00AC7468"/>
    <w:rsid w:val="00AD24E6"/>
    <w:rsid w:val="00AD657E"/>
    <w:rsid w:val="00AE45E1"/>
    <w:rsid w:val="00AF11FD"/>
    <w:rsid w:val="00AF6017"/>
    <w:rsid w:val="00B02FA9"/>
    <w:rsid w:val="00B05CDF"/>
    <w:rsid w:val="00B07262"/>
    <w:rsid w:val="00B31B49"/>
    <w:rsid w:val="00B76BDC"/>
    <w:rsid w:val="00BC447A"/>
    <w:rsid w:val="00C01C0F"/>
    <w:rsid w:val="00C059C5"/>
    <w:rsid w:val="00C11849"/>
    <w:rsid w:val="00C16FF4"/>
    <w:rsid w:val="00C64BF2"/>
    <w:rsid w:val="00C8095E"/>
    <w:rsid w:val="00C815C6"/>
    <w:rsid w:val="00C9359C"/>
    <w:rsid w:val="00C93C0C"/>
    <w:rsid w:val="00C94B2B"/>
    <w:rsid w:val="00C96D30"/>
    <w:rsid w:val="00CA347B"/>
    <w:rsid w:val="00CA4A64"/>
    <w:rsid w:val="00CA5EE0"/>
    <w:rsid w:val="00CB30E3"/>
    <w:rsid w:val="00CB5318"/>
    <w:rsid w:val="00CC29B2"/>
    <w:rsid w:val="00CF76B9"/>
    <w:rsid w:val="00CF7ADC"/>
    <w:rsid w:val="00D33E48"/>
    <w:rsid w:val="00D40088"/>
    <w:rsid w:val="00D42FAE"/>
    <w:rsid w:val="00D43AB1"/>
    <w:rsid w:val="00D53367"/>
    <w:rsid w:val="00D75E82"/>
    <w:rsid w:val="00D83ADE"/>
    <w:rsid w:val="00DA2437"/>
    <w:rsid w:val="00DA3D8D"/>
    <w:rsid w:val="00DA60E9"/>
    <w:rsid w:val="00DB6220"/>
    <w:rsid w:val="00DC4517"/>
    <w:rsid w:val="00E035CB"/>
    <w:rsid w:val="00E11A21"/>
    <w:rsid w:val="00E47658"/>
    <w:rsid w:val="00E628ED"/>
    <w:rsid w:val="00E74946"/>
    <w:rsid w:val="00E76649"/>
    <w:rsid w:val="00E76E21"/>
    <w:rsid w:val="00E95037"/>
    <w:rsid w:val="00EA2416"/>
    <w:rsid w:val="00EB2A71"/>
    <w:rsid w:val="00EC3648"/>
    <w:rsid w:val="00EE7A79"/>
    <w:rsid w:val="00F002B1"/>
    <w:rsid w:val="00F27DDA"/>
    <w:rsid w:val="00F82D7D"/>
    <w:rsid w:val="00F850F9"/>
    <w:rsid w:val="00FD096A"/>
    <w:rsid w:val="00FD276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B2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B2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B2D2F"/>
  </w:style>
  <w:style w:type="paragraph" w:styleId="a6">
    <w:name w:val="List Paragraph"/>
    <w:basedOn w:val="a"/>
    <w:uiPriority w:val="34"/>
    <w:qFormat/>
    <w:rsid w:val="000D2B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7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16C9A"/>
    <w:pPr>
      <w:widowControl w:val="0"/>
      <w:spacing w:after="0" w:line="240" w:lineRule="atLeast"/>
      <w:jc w:val="right"/>
    </w:pPr>
    <w:rPr>
      <w:rFonts w:ascii="Times New Roman" w:eastAsia="Times New Roman" w:hAnsi="Times New Roman" w:cs="Times New Roman"/>
      <w:noProof/>
      <w:sz w:val="25"/>
      <w:szCs w:val="25"/>
      <w:lang w:eastAsia="ru-RU"/>
    </w:rPr>
  </w:style>
  <w:style w:type="character" w:styleId="a9">
    <w:name w:val="Hyperlink"/>
    <w:basedOn w:val="a0"/>
    <w:uiPriority w:val="99"/>
    <w:unhideWhenUsed/>
    <w:rsid w:val="00A0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B2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B2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B2D2F"/>
  </w:style>
  <w:style w:type="paragraph" w:styleId="a6">
    <w:name w:val="List Paragraph"/>
    <w:basedOn w:val="a"/>
    <w:uiPriority w:val="34"/>
    <w:qFormat/>
    <w:rsid w:val="000D2B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7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16C9A"/>
    <w:pPr>
      <w:widowControl w:val="0"/>
      <w:spacing w:after="0" w:line="240" w:lineRule="atLeast"/>
      <w:jc w:val="right"/>
    </w:pPr>
    <w:rPr>
      <w:rFonts w:ascii="Times New Roman" w:eastAsia="Times New Roman" w:hAnsi="Times New Roman" w:cs="Times New Roman"/>
      <w:noProof/>
      <w:sz w:val="25"/>
      <w:szCs w:val="25"/>
      <w:lang w:eastAsia="ru-RU"/>
    </w:rPr>
  </w:style>
  <w:style w:type="character" w:styleId="a9">
    <w:name w:val="Hyperlink"/>
    <w:basedOn w:val="a0"/>
    <w:uiPriority w:val="99"/>
    <w:unhideWhenUsed/>
    <w:rsid w:val="00A0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F6A3-078E-475A-9082-3544A049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</dc:creator>
  <cp:lastModifiedBy>Музыкантов Николай Николаевич</cp:lastModifiedBy>
  <cp:revision>10</cp:revision>
  <cp:lastPrinted>2020-04-14T13:03:00Z</cp:lastPrinted>
  <dcterms:created xsi:type="dcterms:W3CDTF">2020-04-06T12:35:00Z</dcterms:created>
  <dcterms:modified xsi:type="dcterms:W3CDTF">2020-04-14T13:06:00Z</dcterms:modified>
</cp:coreProperties>
</file>