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23C4" w:rsidRPr="000423C4">
        <w:tc>
          <w:tcPr>
            <w:tcW w:w="4677" w:type="dxa"/>
            <w:tcBorders>
              <w:top w:val="nil"/>
              <w:left w:val="nil"/>
              <w:bottom w:val="nil"/>
              <w:right w:val="nil"/>
            </w:tcBorders>
          </w:tcPr>
          <w:p w:rsidR="000423C4" w:rsidRDefault="000423C4">
            <w:pPr>
              <w:pStyle w:val="ConsPlusNormal"/>
              <w:outlineLvl w:val="0"/>
            </w:pPr>
          </w:p>
        </w:tc>
        <w:tc>
          <w:tcPr>
            <w:tcW w:w="4677" w:type="dxa"/>
            <w:tcBorders>
              <w:top w:val="nil"/>
              <w:left w:val="nil"/>
              <w:bottom w:val="nil"/>
              <w:right w:val="nil"/>
            </w:tcBorders>
          </w:tcPr>
          <w:p w:rsidR="000423C4" w:rsidRPr="000423C4" w:rsidRDefault="000423C4">
            <w:pPr>
              <w:pStyle w:val="ConsPlusNormal"/>
              <w:jc w:val="right"/>
              <w:outlineLvl w:val="0"/>
              <w:rPr>
                <w:b/>
                <w:i/>
              </w:rPr>
            </w:pPr>
            <w:r w:rsidRPr="000423C4">
              <w:rPr>
                <w:b/>
                <w:i/>
              </w:rPr>
              <w:t>Извлечение</w:t>
            </w:r>
          </w:p>
        </w:tc>
      </w:tr>
      <w:tr w:rsidR="000423C4">
        <w:tc>
          <w:tcPr>
            <w:tcW w:w="4677" w:type="dxa"/>
            <w:tcBorders>
              <w:top w:val="nil"/>
              <w:left w:val="nil"/>
              <w:bottom w:val="nil"/>
              <w:right w:val="nil"/>
            </w:tcBorders>
          </w:tcPr>
          <w:p w:rsidR="000423C4" w:rsidRDefault="000423C4">
            <w:pPr>
              <w:pStyle w:val="ConsPlusNormal"/>
              <w:outlineLvl w:val="0"/>
            </w:pPr>
            <w:r>
              <w:t>25 ноября 2003 года</w:t>
            </w:r>
          </w:p>
        </w:tc>
        <w:tc>
          <w:tcPr>
            <w:tcW w:w="4677" w:type="dxa"/>
            <w:tcBorders>
              <w:top w:val="nil"/>
              <w:left w:val="nil"/>
              <w:bottom w:val="nil"/>
              <w:right w:val="nil"/>
            </w:tcBorders>
          </w:tcPr>
          <w:p w:rsidR="000423C4" w:rsidRDefault="000423C4">
            <w:pPr>
              <w:pStyle w:val="ConsPlusNormal"/>
              <w:jc w:val="right"/>
              <w:outlineLvl w:val="0"/>
            </w:pPr>
            <w:r>
              <w:t>N 41</w:t>
            </w:r>
          </w:p>
        </w:tc>
      </w:tr>
    </w:tbl>
    <w:p w:rsidR="000423C4" w:rsidRDefault="000423C4">
      <w:pPr>
        <w:pStyle w:val="ConsPlusNormal"/>
        <w:pBdr>
          <w:top w:val="single" w:sz="6" w:space="0" w:color="auto"/>
        </w:pBdr>
        <w:spacing w:before="100" w:after="100"/>
        <w:jc w:val="both"/>
        <w:rPr>
          <w:sz w:val="2"/>
          <w:szCs w:val="2"/>
        </w:rPr>
      </w:pPr>
    </w:p>
    <w:p w:rsidR="000423C4" w:rsidRDefault="000423C4">
      <w:pPr>
        <w:pStyle w:val="ConsPlusNormal"/>
        <w:jc w:val="both"/>
      </w:pPr>
    </w:p>
    <w:p w:rsidR="000423C4" w:rsidRDefault="000423C4">
      <w:pPr>
        <w:pStyle w:val="ConsPlusTitle"/>
        <w:jc w:val="center"/>
      </w:pPr>
      <w:r>
        <w:t>ЗАКОН</w:t>
      </w:r>
    </w:p>
    <w:p w:rsidR="000423C4" w:rsidRDefault="000423C4">
      <w:pPr>
        <w:pStyle w:val="ConsPlusTitle"/>
        <w:jc w:val="center"/>
      </w:pPr>
    </w:p>
    <w:p w:rsidR="000423C4" w:rsidRDefault="000423C4">
      <w:pPr>
        <w:pStyle w:val="ConsPlusTitle"/>
        <w:jc w:val="center"/>
      </w:pPr>
      <w:r>
        <w:t>ЧУВАШСКОЙ РЕСПУБЛИКИ</w:t>
      </w:r>
    </w:p>
    <w:p w:rsidR="000423C4" w:rsidRDefault="000423C4">
      <w:pPr>
        <w:pStyle w:val="ConsPlusTitle"/>
        <w:jc w:val="center"/>
      </w:pPr>
    </w:p>
    <w:p w:rsidR="000423C4" w:rsidRDefault="000423C4">
      <w:pPr>
        <w:pStyle w:val="ConsPlusTitle"/>
        <w:jc w:val="center"/>
      </w:pPr>
      <w:r>
        <w:t>О ВЫБОРАХ В ОРГАНЫ МЕСТНОГО САМОУПРАВЛЕНИЯ</w:t>
      </w:r>
    </w:p>
    <w:p w:rsidR="000423C4" w:rsidRDefault="000423C4">
      <w:pPr>
        <w:pStyle w:val="ConsPlusTitle"/>
        <w:jc w:val="center"/>
      </w:pPr>
      <w:r>
        <w:t>В ЧУВАШСКОЙ РЕСПУБЛИКЕ</w:t>
      </w:r>
    </w:p>
    <w:p w:rsidR="000423C4" w:rsidRDefault="000423C4">
      <w:pPr>
        <w:pStyle w:val="ConsPlusNormal"/>
        <w:jc w:val="both"/>
      </w:pPr>
    </w:p>
    <w:p w:rsidR="000423C4" w:rsidRDefault="000423C4">
      <w:pPr>
        <w:pStyle w:val="ConsPlusNormal"/>
        <w:jc w:val="right"/>
      </w:pPr>
      <w:proofErr w:type="gramStart"/>
      <w:r>
        <w:t>Принят</w:t>
      </w:r>
      <w:proofErr w:type="gramEnd"/>
    </w:p>
    <w:p w:rsidR="000423C4" w:rsidRDefault="000423C4">
      <w:pPr>
        <w:pStyle w:val="ConsPlusNormal"/>
        <w:jc w:val="right"/>
      </w:pPr>
      <w:r>
        <w:t>Государственным Советом</w:t>
      </w:r>
    </w:p>
    <w:p w:rsidR="000423C4" w:rsidRDefault="000423C4">
      <w:pPr>
        <w:pStyle w:val="ConsPlusNormal"/>
        <w:jc w:val="right"/>
      </w:pPr>
      <w:r>
        <w:t>Чувашской Республики</w:t>
      </w:r>
    </w:p>
    <w:p w:rsidR="000423C4" w:rsidRDefault="000423C4">
      <w:pPr>
        <w:pStyle w:val="ConsPlusNormal"/>
        <w:jc w:val="right"/>
      </w:pPr>
      <w:r>
        <w:t>11 ноября 2003 года</w:t>
      </w:r>
    </w:p>
    <w:p w:rsidR="000423C4" w:rsidRDefault="000423C4">
      <w:pPr>
        <w:pStyle w:val="ConsPlusTitle"/>
        <w:jc w:val="center"/>
        <w:outlineLvl w:val="1"/>
      </w:pPr>
      <w:r>
        <w:t>Глава I. ОБЩИЕ ПОЛОЖЕНИЯ</w:t>
      </w:r>
    </w:p>
    <w:p w:rsidR="000423C4" w:rsidRDefault="000423C4" w:rsidP="000423C4">
      <w:pPr>
        <w:pStyle w:val="ConsPlusTitle"/>
        <w:spacing w:before="220"/>
        <w:jc w:val="both"/>
        <w:outlineLvl w:val="2"/>
      </w:pPr>
      <w:r>
        <w:t>…</w:t>
      </w:r>
    </w:p>
    <w:p w:rsidR="000423C4" w:rsidRDefault="000423C4">
      <w:pPr>
        <w:pStyle w:val="ConsPlusTitle"/>
        <w:spacing w:before="220"/>
        <w:ind w:firstLine="540"/>
        <w:jc w:val="both"/>
        <w:outlineLvl w:val="2"/>
      </w:pPr>
      <w:r>
        <w:t>Статья 5. Назначение выборов</w:t>
      </w:r>
    </w:p>
    <w:p w:rsidR="000423C4" w:rsidRDefault="000423C4" w:rsidP="000423C4">
      <w:pPr>
        <w:autoSpaceDE w:val="0"/>
        <w:autoSpaceDN w:val="0"/>
        <w:adjustRightInd w:val="0"/>
        <w:spacing w:after="0" w:line="240" w:lineRule="auto"/>
        <w:ind w:firstLine="540"/>
        <w:jc w:val="both"/>
        <w:rPr>
          <w:rFonts w:ascii="Calibri" w:hAnsi="Calibri" w:cs="Calibri"/>
          <w:bCs/>
        </w:rPr>
      </w:pPr>
    </w:p>
    <w:p w:rsidR="000423C4" w:rsidRDefault="000423C4" w:rsidP="000423C4">
      <w:pPr>
        <w:autoSpaceDE w:val="0"/>
        <w:autoSpaceDN w:val="0"/>
        <w:adjustRightInd w:val="0"/>
        <w:spacing w:after="0" w:line="240" w:lineRule="auto"/>
        <w:ind w:firstLine="540"/>
        <w:jc w:val="both"/>
        <w:rPr>
          <w:rFonts w:ascii="Calibri" w:hAnsi="Calibri" w:cs="Calibri"/>
          <w:bCs/>
        </w:rPr>
      </w:pPr>
      <w:r w:rsidRPr="000423C4">
        <w:rPr>
          <w:rFonts w:ascii="Calibri" w:hAnsi="Calibri" w:cs="Calibri"/>
          <w:bCs/>
        </w:rPr>
        <w:t>1</w:t>
      </w:r>
      <w:r w:rsidRPr="000423C4">
        <w:rPr>
          <w:rFonts w:ascii="Calibri" w:hAnsi="Calibri" w:cs="Calibri"/>
          <w:bCs/>
          <w:vertAlign w:val="superscript"/>
        </w:rPr>
        <w:t>2</w:t>
      </w:r>
      <w:r w:rsidRPr="000423C4">
        <w:rPr>
          <w:rFonts w:ascii="Calibri" w:hAnsi="Calibri" w:cs="Calibri"/>
          <w:bCs/>
        </w:rPr>
        <w:t xml:space="preserve">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0423C4" w:rsidRPr="000423C4" w:rsidRDefault="000423C4" w:rsidP="000423C4">
      <w:pPr>
        <w:autoSpaceDE w:val="0"/>
        <w:autoSpaceDN w:val="0"/>
        <w:adjustRightInd w:val="0"/>
        <w:spacing w:after="0" w:line="240" w:lineRule="auto"/>
        <w:jc w:val="both"/>
        <w:rPr>
          <w:rFonts w:ascii="Calibri" w:hAnsi="Calibri" w:cs="Calibri"/>
          <w:bCs/>
        </w:rPr>
      </w:pPr>
      <w:r>
        <w:rPr>
          <w:rFonts w:ascii="Calibri" w:hAnsi="Calibri" w:cs="Calibri"/>
          <w:bCs/>
        </w:rPr>
        <w:t>…</w:t>
      </w:r>
    </w:p>
    <w:p w:rsidR="000423C4" w:rsidRDefault="000423C4">
      <w:pPr>
        <w:pStyle w:val="ConsPlusTitle"/>
        <w:spacing w:before="220"/>
        <w:contextualSpacing/>
        <w:jc w:val="center"/>
        <w:outlineLvl w:val="1"/>
      </w:pPr>
      <w:r>
        <w:t>Глава II. ГАРАНТИИ ПРАВ ГРАЖДАН РОССИЙСКОЙ ФЕДЕРАЦИИ</w:t>
      </w:r>
    </w:p>
    <w:p w:rsidR="000423C4" w:rsidRDefault="000423C4">
      <w:pPr>
        <w:pStyle w:val="ConsPlusTitle"/>
        <w:contextualSpacing/>
        <w:jc w:val="center"/>
      </w:pPr>
      <w:r>
        <w:t>ПРИ РЕГИСТРАЦИИ (УЧЕТЕ) ИЗБИРАТЕЛЕЙ, СОСТАВЛЕНИИ СПИСКОВ</w:t>
      </w:r>
    </w:p>
    <w:p w:rsidR="000423C4" w:rsidRDefault="000423C4">
      <w:pPr>
        <w:pStyle w:val="ConsPlusTitle"/>
        <w:contextualSpacing/>
        <w:jc w:val="center"/>
      </w:pPr>
      <w:r>
        <w:t xml:space="preserve">ИЗБИРАТЕЛЕЙ, </w:t>
      </w:r>
      <w:proofErr w:type="gramStart"/>
      <w:r>
        <w:t>ОБРАЗОВАНИИ</w:t>
      </w:r>
      <w:proofErr w:type="gramEnd"/>
      <w:r>
        <w:t xml:space="preserve"> ИЗБИРАТЕЛЬНЫХ ОКРУГОВ,</w:t>
      </w:r>
    </w:p>
    <w:p w:rsidR="000423C4" w:rsidRDefault="000423C4">
      <w:pPr>
        <w:pStyle w:val="ConsPlusTitle"/>
        <w:contextualSpacing/>
        <w:jc w:val="center"/>
      </w:pPr>
      <w:r>
        <w:t>ИЗБИРАТЕЛЬНЫХ УЧАСТКОВ</w:t>
      </w:r>
    </w:p>
    <w:p w:rsidR="000423C4" w:rsidRDefault="000423C4" w:rsidP="000423C4">
      <w:pPr>
        <w:pStyle w:val="ConsPlusTitle"/>
        <w:contextualSpacing/>
      </w:pPr>
    </w:p>
    <w:p w:rsidR="000423C4" w:rsidRDefault="000423C4">
      <w:pPr>
        <w:pStyle w:val="ConsPlusTitle"/>
        <w:spacing w:before="220"/>
        <w:ind w:firstLine="540"/>
        <w:contextualSpacing/>
        <w:jc w:val="both"/>
        <w:outlineLvl w:val="2"/>
      </w:pPr>
      <w:r>
        <w:t>Статья 8. Образование (определение) избирательных округов</w:t>
      </w:r>
    </w:p>
    <w:p w:rsidR="000423C4" w:rsidRDefault="000423C4" w:rsidP="000423C4">
      <w:pPr>
        <w:pStyle w:val="ConsPlusNormal"/>
        <w:spacing w:before="220"/>
        <w:contextualSpacing/>
        <w:jc w:val="both"/>
      </w:pPr>
      <w:r>
        <w:t>…</w:t>
      </w:r>
    </w:p>
    <w:p w:rsidR="000423C4" w:rsidRDefault="000423C4">
      <w:pPr>
        <w:pStyle w:val="ConsPlusNormal"/>
        <w:spacing w:before="220"/>
        <w:ind w:firstLine="540"/>
        <w:contextualSpacing/>
        <w:jc w:val="both"/>
      </w:pPr>
      <w:r>
        <w:t>7. В случае</w:t>
      </w:r>
      <w:proofErr w:type="gramStart"/>
      <w:r>
        <w:t>,</w:t>
      </w:r>
      <w:proofErr w:type="gramEnd"/>
      <w:r>
        <w:t xml:space="preserve"> если схема одномандатных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устанавливающего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организующей выборы избирательной комиссии муниципального образования утвердить новую схему одномандатных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организующей выборы избирательной комиссией муниципального образования не позднее чем через 10 дней по истечении указанного срока.</w:t>
      </w:r>
    </w:p>
    <w:p w:rsidR="000423C4" w:rsidRDefault="000423C4" w:rsidP="000423C4">
      <w:pPr>
        <w:pStyle w:val="ConsPlusNormal"/>
        <w:spacing w:before="220"/>
        <w:contextualSpacing/>
        <w:jc w:val="both"/>
      </w:pPr>
      <w:r>
        <w:t>…</w:t>
      </w:r>
    </w:p>
    <w:p w:rsidR="000423C4" w:rsidRDefault="000423C4">
      <w:pPr>
        <w:pStyle w:val="ConsPlusTitle"/>
        <w:spacing w:before="220"/>
        <w:contextualSpacing/>
        <w:jc w:val="center"/>
        <w:outlineLvl w:val="1"/>
      </w:pPr>
      <w:r>
        <w:t>Глава IV. ГАРАНТИИ ПРАВ ГРАЖДАН ПРИ ВЫДВИЖЕНИИ</w:t>
      </w:r>
    </w:p>
    <w:p w:rsidR="000423C4" w:rsidRDefault="000423C4">
      <w:pPr>
        <w:pStyle w:val="ConsPlusTitle"/>
        <w:contextualSpacing/>
        <w:jc w:val="center"/>
      </w:pPr>
      <w:r>
        <w:t>И РЕГИСТРАЦИИ КАНДИДАТОВ</w:t>
      </w:r>
    </w:p>
    <w:p w:rsidR="000423C4" w:rsidRDefault="000423C4">
      <w:pPr>
        <w:pStyle w:val="ConsPlusTitle"/>
        <w:contextualSpacing/>
        <w:jc w:val="center"/>
      </w:pPr>
    </w:p>
    <w:p w:rsidR="000423C4" w:rsidRDefault="000423C4">
      <w:pPr>
        <w:pStyle w:val="ConsPlusTitle"/>
        <w:spacing w:before="220"/>
        <w:ind w:firstLine="540"/>
        <w:contextualSpacing/>
        <w:jc w:val="both"/>
        <w:outlineLvl w:val="2"/>
      </w:pPr>
      <w:r>
        <w:t>Статья 23. Сбор подписей в поддержку выдвижения кандидатов, списков кандидатов</w:t>
      </w:r>
    </w:p>
    <w:p w:rsidR="000423C4" w:rsidRDefault="000423C4">
      <w:pPr>
        <w:pStyle w:val="ConsPlusNormal"/>
        <w:spacing w:before="220"/>
        <w:ind w:firstLine="540"/>
        <w:contextualSpacing/>
        <w:jc w:val="both"/>
      </w:pPr>
      <w:r>
        <w:t>1. В поддержку выдвижения кандидатов, списков кандидатов могут собираться подписи избирателей.</w:t>
      </w:r>
    </w:p>
    <w:p w:rsidR="000423C4" w:rsidRDefault="000423C4">
      <w:pPr>
        <w:pStyle w:val="ConsPlusNormal"/>
        <w:spacing w:before="220"/>
        <w:ind w:firstLine="540"/>
        <w:contextualSpacing/>
        <w:jc w:val="both"/>
      </w:pPr>
      <w:r>
        <w:t xml:space="preserve">Подписные листы </w:t>
      </w:r>
      <w:proofErr w:type="gramStart"/>
      <w:r>
        <w:t>изготавливаются и оформляются</w:t>
      </w:r>
      <w:proofErr w:type="gramEnd"/>
      <w:r>
        <w:t xml:space="preserve"> по формам согласно </w:t>
      </w:r>
      <w:hyperlink r:id="rId5" w:history="1">
        <w:r>
          <w:rPr>
            <w:color w:val="0000FF"/>
          </w:rPr>
          <w:t>приложениям 6</w:t>
        </w:r>
      </w:hyperlink>
      <w:r>
        <w:t xml:space="preserve">, </w:t>
      </w:r>
      <w:hyperlink r:id="rId6" w:history="1">
        <w:r>
          <w:rPr>
            <w:color w:val="0000FF"/>
          </w:rPr>
          <w:t>7.1</w:t>
        </w:r>
      </w:hyperlink>
      <w:r>
        <w:t xml:space="preserve"> и </w:t>
      </w:r>
      <w:hyperlink r:id="rId7" w:history="1">
        <w:r>
          <w:rPr>
            <w:color w:val="0000FF"/>
          </w:rPr>
          <w:t>8</w:t>
        </w:r>
      </w:hyperlink>
      <w:r>
        <w:t xml:space="preserve"> к Федеральному закону.</w:t>
      </w:r>
    </w:p>
    <w:p w:rsidR="000423C4" w:rsidRDefault="000423C4">
      <w:pPr>
        <w:pStyle w:val="ConsPlusNormal"/>
        <w:spacing w:before="220"/>
        <w:ind w:firstLine="540"/>
        <w:contextualSpacing/>
        <w:jc w:val="both"/>
      </w:pPr>
    </w:p>
    <w:p w:rsidR="000423C4" w:rsidRDefault="000423C4">
      <w:pPr>
        <w:pStyle w:val="ConsPlusNormal"/>
        <w:spacing w:before="220"/>
        <w:ind w:firstLine="540"/>
        <w:contextualSpacing/>
        <w:jc w:val="both"/>
      </w:pPr>
    </w:p>
    <w:p w:rsidR="000423C4" w:rsidRDefault="000423C4">
      <w:pPr>
        <w:pStyle w:val="ConsPlusNormal"/>
        <w:spacing w:before="220"/>
        <w:ind w:firstLine="540"/>
        <w:contextualSpacing/>
        <w:jc w:val="both"/>
      </w:pPr>
    </w:p>
    <w:p w:rsidR="000423C4" w:rsidRDefault="000423C4">
      <w:pPr>
        <w:pStyle w:val="ConsPlusTitle"/>
        <w:spacing w:before="220"/>
        <w:ind w:firstLine="540"/>
        <w:contextualSpacing/>
        <w:jc w:val="both"/>
        <w:outlineLvl w:val="2"/>
      </w:pPr>
      <w:r>
        <w:lastRenderedPageBreak/>
        <w:t>Статья 24. Регистрация кандидатов, списка кандидатов</w:t>
      </w:r>
    </w:p>
    <w:p w:rsidR="000423C4" w:rsidRDefault="000423C4" w:rsidP="000423C4">
      <w:pPr>
        <w:pStyle w:val="ConsPlusTitle"/>
        <w:spacing w:before="220"/>
        <w:contextualSpacing/>
        <w:jc w:val="both"/>
        <w:outlineLvl w:val="2"/>
      </w:pPr>
      <w:r>
        <w:t>…</w:t>
      </w:r>
    </w:p>
    <w:p w:rsidR="000423C4" w:rsidRDefault="000423C4">
      <w:pPr>
        <w:pStyle w:val="ConsPlusNormal"/>
        <w:spacing w:before="220"/>
        <w:ind w:firstLine="540"/>
        <w:jc w:val="both"/>
      </w:pPr>
      <w:r>
        <w:t>8. Подписные листы представляются в соответствующие избирательные комиссии в сброшюрованном и пронумерованном виде. Если территория избирательного округа включает несколько административно-территориальных единиц, то подписные листы должны быть сброшюрованы по административно-территориальным единицам, где проводился сбор подписей. Вместе с подписными листами в избирательную комиссию представляется протокол об итогах сбора подписей на бумажном носителе и в машиночитаемом виде.</w:t>
      </w:r>
    </w:p>
    <w:p w:rsidR="000423C4" w:rsidRDefault="000423C4">
      <w:pPr>
        <w:pStyle w:val="ConsPlusNormal"/>
        <w:spacing w:before="220"/>
        <w:ind w:firstLine="540"/>
        <w:contextualSpacing/>
        <w:jc w:val="both"/>
      </w:pPr>
      <w:r>
        <w:t xml:space="preserve">9. Избиратель ставит в подписном </w:t>
      </w:r>
      <w:proofErr w:type="gramStart"/>
      <w:r>
        <w:t>листе</w:t>
      </w:r>
      <w:proofErr w:type="gramEnd"/>
      <w:r>
        <w:t xml:space="preserve">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списка кандидатов, но только один раз в поддержку одного и того же кандидата, списка кандидатов.</w:t>
      </w:r>
    </w:p>
    <w:p w:rsidR="000423C4" w:rsidRDefault="000423C4">
      <w:pPr>
        <w:pStyle w:val="ConsPlusNormal"/>
        <w:spacing w:before="220"/>
        <w:ind w:firstLine="540"/>
        <w:contextualSpacing/>
        <w:jc w:val="both"/>
      </w:pPr>
      <w:r>
        <w:t xml:space="preserve">Каждый подписной лист должен быть заверен подписью лица, осуществлявшего сбор подписей избирателей. </w:t>
      </w:r>
      <w:proofErr w:type="gramStart"/>
      <w: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p>
    <w:p w:rsidR="000423C4" w:rsidRDefault="000423C4" w:rsidP="000423C4">
      <w:pPr>
        <w:pStyle w:val="ConsPlusNormal"/>
        <w:spacing w:before="220"/>
        <w:contextualSpacing/>
        <w:jc w:val="both"/>
      </w:pPr>
      <w:r>
        <w:t>...</w:t>
      </w:r>
    </w:p>
    <w:p w:rsidR="000423C4" w:rsidRDefault="000423C4">
      <w:pPr>
        <w:pStyle w:val="ConsPlusNormal"/>
        <w:spacing w:before="220"/>
        <w:ind w:firstLine="540"/>
        <w:contextualSpacing/>
        <w:jc w:val="both"/>
      </w:pPr>
      <w:r>
        <w:t xml:space="preserve">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t>заверительные</w:t>
      </w:r>
      <w:proofErr w:type="spellEnd"/>
      <w:r>
        <w:t xml:space="preserve"> записи вносятся на оборотной стороне подписного листа непосредственно после последней подписи избирателя.</w:t>
      </w:r>
    </w:p>
    <w:p w:rsidR="000423C4" w:rsidRDefault="000423C4" w:rsidP="000423C4">
      <w:pPr>
        <w:pStyle w:val="ConsPlusNormal"/>
        <w:spacing w:before="220"/>
        <w:contextualSpacing/>
        <w:jc w:val="both"/>
      </w:pPr>
      <w:r>
        <w:t>…</w:t>
      </w:r>
    </w:p>
    <w:p w:rsidR="000423C4" w:rsidRDefault="000423C4">
      <w:pPr>
        <w:pStyle w:val="ConsPlusNormal"/>
        <w:spacing w:before="220"/>
        <w:ind w:firstLine="540"/>
        <w:contextualSpacing/>
        <w:jc w:val="both"/>
      </w:pPr>
      <w:r>
        <w:t>14. Недействительными признаются:</w:t>
      </w:r>
    </w:p>
    <w:p w:rsidR="000423C4" w:rsidRDefault="000423C4" w:rsidP="000423C4">
      <w:pPr>
        <w:pStyle w:val="ConsPlusNormal"/>
        <w:spacing w:before="220"/>
        <w:contextualSpacing/>
        <w:jc w:val="both"/>
      </w:pPr>
      <w:r>
        <w:t>…</w:t>
      </w:r>
    </w:p>
    <w:p w:rsidR="000423C4" w:rsidRDefault="000423C4">
      <w:pPr>
        <w:pStyle w:val="ConsPlusNormal"/>
        <w:spacing w:before="220"/>
        <w:ind w:firstLine="540"/>
        <w:contextualSpacing/>
        <w:jc w:val="both"/>
      </w:pPr>
      <w:proofErr w:type="gramStart"/>
      <w:r>
        <w:t xml:space="preserve">и) все подписи избирателей в подписном листе, форма которого не соответствует требованиям </w:t>
      </w:r>
      <w:hyperlink r:id="rId8" w:history="1">
        <w:r>
          <w:rPr>
            <w:color w:val="0000FF"/>
          </w:rPr>
          <w:t>приложений 6</w:t>
        </w:r>
      </w:hyperlink>
      <w:r>
        <w:t xml:space="preserve">, </w:t>
      </w:r>
      <w:hyperlink r:id="rId9" w:history="1">
        <w:r>
          <w:rPr>
            <w:color w:val="0000FF"/>
          </w:rPr>
          <w:t>7.1</w:t>
        </w:r>
      </w:hyperlink>
      <w:r>
        <w:t xml:space="preserve"> и </w:t>
      </w:r>
      <w:hyperlink r:id="rId10" w:history="1">
        <w:r>
          <w:rPr>
            <w:color w:val="0000FF"/>
          </w:rPr>
          <w:t>8</w:t>
        </w:r>
      </w:hyperlink>
      <w:r>
        <w:t xml:space="preserve"> к Федеральному закону, и (или) в который не внесены сведения, предусмотренные </w:t>
      </w:r>
      <w:hyperlink r:id="rId11" w:history="1">
        <w:r>
          <w:rPr>
            <w:color w:val="0000FF"/>
          </w:rPr>
          <w:t>пунктом 9 статьи 37</w:t>
        </w:r>
      </w:hyperlink>
      <w:r>
        <w:t xml:space="preserve"> Федерального закона, и (или) который изготовлен с несоблюдением требований, предусмотренных </w:t>
      </w:r>
      <w:hyperlink r:id="rId12" w:history="1">
        <w:r>
          <w:rPr>
            <w:color w:val="0000FF"/>
          </w:rPr>
          <w:t>пунктом 5 статьи 37</w:t>
        </w:r>
      </w:hyperlink>
      <w:r>
        <w:t xml:space="preserve"> Федерального закона;</w:t>
      </w:r>
      <w:proofErr w:type="gramEnd"/>
    </w:p>
    <w:p w:rsidR="000423C4" w:rsidRDefault="000423C4" w:rsidP="000423C4">
      <w:pPr>
        <w:pStyle w:val="ConsPlusNormal"/>
        <w:spacing w:before="220"/>
        <w:contextualSpacing/>
        <w:jc w:val="both"/>
      </w:pPr>
      <w:r>
        <w:t>…</w:t>
      </w:r>
    </w:p>
    <w:p w:rsidR="000423C4" w:rsidRDefault="000423C4">
      <w:pPr>
        <w:pStyle w:val="ConsPlusNormal"/>
        <w:spacing w:before="220"/>
        <w:ind w:firstLine="540"/>
        <w:contextualSpacing/>
        <w:jc w:val="both"/>
      </w:pPr>
      <w: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r:id="rId13" w:history="1">
        <w:r>
          <w:rPr>
            <w:color w:val="0000FF"/>
          </w:rPr>
          <w:t>пунктом 7</w:t>
        </w:r>
      </w:hyperlink>
      <w:r>
        <w:t xml:space="preserve"> настоящей статьи;</w:t>
      </w:r>
    </w:p>
    <w:p w:rsidR="000423C4" w:rsidRDefault="000423C4">
      <w:pPr>
        <w:pStyle w:val="ConsPlusTitle"/>
        <w:spacing w:before="220"/>
        <w:contextualSpacing/>
        <w:jc w:val="center"/>
        <w:outlineLvl w:val="1"/>
      </w:pPr>
      <w:r>
        <w:t>Глава VIII. ГАРАНТИИ ПРАВ ГРАЖДАН ПРИ ОРГАНИЗАЦИИ И</w:t>
      </w:r>
    </w:p>
    <w:p w:rsidR="000423C4" w:rsidRDefault="000423C4">
      <w:pPr>
        <w:pStyle w:val="ConsPlusTitle"/>
        <w:contextualSpacing/>
        <w:jc w:val="center"/>
      </w:pPr>
      <w:proofErr w:type="gramStart"/>
      <w:r>
        <w:t>ОСУЩЕСТВЛЕНИИ</w:t>
      </w:r>
      <w:proofErr w:type="gramEnd"/>
      <w:r>
        <w:t xml:space="preserve"> ГОЛОСОВАНИЯ, УСТАНОВЛЕНИИ ИТОГОВ ГОЛОСОВАНИЯ,</w:t>
      </w:r>
    </w:p>
    <w:p w:rsidR="000423C4" w:rsidRDefault="000423C4">
      <w:pPr>
        <w:pStyle w:val="ConsPlusTitle"/>
        <w:contextualSpacing/>
        <w:jc w:val="center"/>
      </w:pPr>
      <w:proofErr w:type="gramStart"/>
      <w:r>
        <w:t>ОПРЕДЕЛЕНИИ</w:t>
      </w:r>
      <w:proofErr w:type="gramEnd"/>
      <w:r>
        <w:t xml:space="preserve"> РЕЗУЛЬТАТОВ ВЫБОРОВ И ИХ ОПУБЛИКОВАНИИ</w:t>
      </w:r>
    </w:p>
    <w:p w:rsidR="000423C4" w:rsidRDefault="000423C4" w:rsidP="000423C4">
      <w:pPr>
        <w:pStyle w:val="ConsPlusNormal"/>
        <w:contextualSpacing/>
      </w:pPr>
      <w:r>
        <w:t>…</w:t>
      </w:r>
    </w:p>
    <w:p w:rsidR="000423C4" w:rsidRDefault="000423C4">
      <w:pPr>
        <w:pStyle w:val="ConsPlusTitle"/>
        <w:ind w:firstLine="540"/>
        <w:contextualSpacing/>
        <w:jc w:val="both"/>
        <w:outlineLvl w:val="2"/>
      </w:pPr>
      <w:r>
        <w:t>Статья 45. Порядок голосования избирателей вне помещения для голосования</w:t>
      </w:r>
    </w:p>
    <w:p w:rsidR="00D24359" w:rsidRDefault="000423C4" w:rsidP="000423C4">
      <w:pPr>
        <w:pStyle w:val="ConsPlusNormal"/>
        <w:spacing w:before="220"/>
        <w:ind w:firstLine="540"/>
        <w:contextualSpacing/>
        <w:jc w:val="both"/>
      </w:pPr>
      <w:r>
        <w:t xml:space="preserve">1. Участковая избирательная комиссия обязана обеспечить возможность участия в </w:t>
      </w:r>
      <w:proofErr w:type="gramStart"/>
      <w:r>
        <w:t>голосовании</w:t>
      </w:r>
      <w:proofErr w:type="gramEnd"/>
      <w:r>
        <w:t xml:space="preserve">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w:t>
      </w:r>
      <w:proofErr w:type="gramStart"/>
      <w:r>
        <w:t>голосовании</w:t>
      </w:r>
      <w:proofErr w:type="gramEnd"/>
      <w:r>
        <w:t xml:space="preserve"> избирателям, которые включены в список избирателей, но в отношении которых в соответствии с Уголовно-процессуальным </w:t>
      </w:r>
      <w:hyperlink r:id="rId14"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bookmarkStart w:id="0" w:name="_GoBack"/>
      <w:bookmarkEnd w:id="0"/>
    </w:p>
    <w:sectPr w:rsidR="00D24359" w:rsidSect="000423C4">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3C4"/>
    <w:rsid w:val="000423C4"/>
    <w:rsid w:val="00D2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3C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3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3C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07D4456FE3EC447567538459E75F70BEE79712ABF2C91E97F2809E51EFA76C43932173F6720102C81A211D3457FF605F7C746074C886CF445L" TargetMode="External"/><Relationship Id="rId13" Type="http://schemas.openxmlformats.org/officeDocument/2006/relationships/hyperlink" Target="consultantplus://offline/ref=55707D4456FE3EC447566B3553F22BF300E12E7D22B522C5BD292E5EBA4EFC23847934427C212910258BF540971B26A649BCCA421150886B5B30C325F446L" TargetMode="External"/><Relationship Id="rId3" Type="http://schemas.openxmlformats.org/officeDocument/2006/relationships/settings" Target="settings.xml"/><Relationship Id="rId7" Type="http://schemas.openxmlformats.org/officeDocument/2006/relationships/hyperlink" Target="consultantplus://offline/ref=55707D4456FE3EC447567538459E75F70BEE79712ABF2C91E97F2809E51EFA76C43932173F6720152781A211D3457FF605F7C746074C886CF445L" TargetMode="External"/><Relationship Id="rId12" Type="http://schemas.openxmlformats.org/officeDocument/2006/relationships/hyperlink" Target="consultantplus://offline/ref=55707D4456FE3EC447567538459E75F70BEE79712ABF2C91E97F2809E51EFA76C43932173F6725142181A211D3457FF605F7C746074C886CF445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707D4456FE3EC447567538459E75F70BEE79712ABF2C91E97F2809E51EFA76C43932173F6723172C81A211D3457FF605F7C746074C886CF445L" TargetMode="External"/><Relationship Id="rId11" Type="http://schemas.openxmlformats.org/officeDocument/2006/relationships/hyperlink" Target="consultantplus://offline/ref=55707D4456FE3EC447567538459E75F70BEE79712ABF2C91E97F2809E51EFA76C43932173F6727172781A211D3457FF605F7C746074C886CF445L" TargetMode="External"/><Relationship Id="rId5" Type="http://schemas.openxmlformats.org/officeDocument/2006/relationships/hyperlink" Target="consultantplus://offline/ref=55707D4456FE3EC447567538459E75F70BEE79712ABF2C91E97F2809E51EFA76C43932173F6720102C81A211D3457FF605F7C746074C886CF445L" TargetMode="External"/><Relationship Id="rId15" Type="http://schemas.openxmlformats.org/officeDocument/2006/relationships/fontTable" Target="fontTable.xml"/><Relationship Id="rId10" Type="http://schemas.openxmlformats.org/officeDocument/2006/relationships/hyperlink" Target="consultantplus://offline/ref=55707D4456FE3EC447567538459E75F70BEE79712ABF2C91E97F2809E51EFA76C43932173F6720152781A211D3457FF605F7C746074C886CF445L" TargetMode="External"/><Relationship Id="rId4" Type="http://schemas.openxmlformats.org/officeDocument/2006/relationships/webSettings" Target="webSettings.xml"/><Relationship Id="rId9" Type="http://schemas.openxmlformats.org/officeDocument/2006/relationships/hyperlink" Target="consultantplus://offline/ref=55707D4456FE3EC447567538459E75F70BEE79712ABF2C91E97F2809E51EFA76C43932173F6723172C81A211D3457FF605F7C746074C886CF445L" TargetMode="External"/><Relationship Id="rId14" Type="http://schemas.openxmlformats.org/officeDocument/2006/relationships/hyperlink" Target="consultantplus://offline/ref=55707D4456FE3EC447567538459E75F70BEF717221B22C91E97F2809E51EFA76D6396A1B3E6D3A112094F44095F14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1129</Words>
  <Characters>6436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1</cp:revision>
  <dcterms:created xsi:type="dcterms:W3CDTF">2020-05-18T11:56:00Z</dcterms:created>
  <dcterms:modified xsi:type="dcterms:W3CDTF">2020-05-18T12:05:00Z</dcterms:modified>
</cp:coreProperties>
</file>