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693" w:rsidRDefault="00073693" w:rsidP="00C7345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Справка </w:t>
      </w:r>
      <w:r w:rsidR="00C73455" w:rsidRPr="00CC647F">
        <w:rPr>
          <w:rFonts w:ascii="Arial" w:hAnsi="Arial" w:cs="Arial"/>
          <w:b/>
          <w:bCs/>
          <w:sz w:val="24"/>
          <w:szCs w:val="24"/>
        </w:rPr>
        <w:t>о деятельности Министерства финансов Чувашской Республики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73455" w:rsidRPr="00CC647F" w:rsidRDefault="00073693" w:rsidP="00C7345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 2019 году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C73455" w:rsidRPr="00CC647F" w:rsidRDefault="00C73455" w:rsidP="00C7345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C647F">
        <w:rPr>
          <w:rFonts w:ascii="Arial" w:hAnsi="Arial" w:cs="Arial"/>
          <w:b/>
          <w:bCs/>
          <w:sz w:val="24"/>
          <w:szCs w:val="24"/>
        </w:rPr>
        <w:t xml:space="preserve">Исполнение консолидированного и республиканского бюджетов Чувашской Республики в 2019 году 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647F">
        <w:rPr>
          <w:rFonts w:ascii="Arial" w:hAnsi="Arial" w:cs="Arial"/>
          <w:bCs/>
          <w:sz w:val="24"/>
          <w:szCs w:val="24"/>
        </w:rPr>
        <w:t>Консолидированный бюджет Чувашской Республики</w:t>
      </w:r>
      <w:r>
        <w:rPr>
          <w:rFonts w:ascii="Arial" w:hAnsi="Arial" w:cs="Arial"/>
          <w:sz w:val="24"/>
          <w:szCs w:val="24"/>
        </w:rPr>
        <w:t xml:space="preserve"> за 2019 год исполнен в целом по доходам в объеме 66 684,9 млн. рублей, или на 101,6% к годовым плановым назначениям (115,4% к уровню 2018 года).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Собственные (налоговые и неналоговые) доходы консолидированного бюджета Чувашской Республики исполнены в сумме 39 217,3 млн. рублей, 100,9% к годовым плановым назначениям (103,5% к 2018 году).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общем объеме собственных доходов консолидированного бюджета республики 91,4%, или 35 831,3 млн. рублей приходится на налоговые доходы, соответственно 8,6%, или 3 386,0 млн. рублей – на неналоговые доходы.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Республиканский бюджет Чувашской Республики за 2019 год исполнен в целом по доходам в объеме 58 719,3 млн. рублей, или на 101,6% к годовым плановым назначениям (118,1% к уровню 2018 года).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Важным направлением работы Кабинета Министров Чувашской Республики также является активное участие республики в реализации федеральных проектов, благодаря чему обеспечивается ежегодный рост межбюджетных трансфертов из федерального центра.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Общий объем безвозмездных поступлений из федерального бюджета и бюджетов целевых федеральных фондов в 2019 году составил 25 239,4 млн. рублей, что больше уровня 2018 года на 5 984,5 млн. рублей, или на 31,1%.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sz w:val="26"/>
          <w:szCs w:val="26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294.75pt" o:ole="">
            <v:imagedata r:id="rId6" o:title=""/>
          </v:shape>
          <o:OLEObject Type="Embed" ProgID="PowerPoint.Slide.12" ShapeID="_x0000_i1025" DrawAspect="Content" ObjectID="_1649144880" r:id="rId7"/>
        </w:objec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73693" w:rsidRDefault="00073693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73693" w:rsidRDefault="00073693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73693" w:rsidRDefault="00073693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CC647F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Расходы консолидированного бюджета Чувашской Республики в 2019 году составили 61 814,3 млн. </w:t>
      </w:r>
      <w:r w:rsidRPr="00CC647F">
        <w:rPr>
          <w:rFonts w:ascii="Arial" w:hAnsi="Arial" w:cs="Arial"/>
          <w:sz w:val="24"/>
          <w:szCs w:val="24"/>
        </w:rPr>
        <w:t xml:space="preserve">рублей, или 92,4% к годовым плановым назначениям (110,8% к уровню 2018 года), в том числе республиканский бюджет Чувашской Республики – 55 183,1 млн. рублей (114,0% к 2018 году). 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C647F">
        <w:rPr>
          <w:rFonts w:ascii="Arial" w:hAnsi="Arial" w:cs="Arial"/>
          <w:sz w:val="24"/>
          <w:szCs w:val="24"/>
        </w:rPr>
        <w:t>В разрезе отраслей расходы консолидированного бюджета Чувашской Республики в 2019 году на социально-культурную сферу составили 43 671,4 млн. рублей (113,3% к 2018 году), из них на образование – 21 203,7 млн. рублей (117,4% к 2018 году), здравоохранение – 4 753,7 млн. рублей (115,6% к 2018 году), социальную политику – 13 475,3 млн. рублей (107,0% к 2018 году).</w:t>
      </w:r>
      <w:proofErr w:type="gramEnd"/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05425" cy="3981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73693" w:rsidRDefault="00073693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DC53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355">
        <w:rPr>
          <w:rFonts w:ascii="Arial" w:hAnsi="Arial" w:cs="Arial"/>
          <w:sz w:val="24"/>
          <w:szCs w:val="24"/>
        </w:rPr>
        <w:t>Формирование и исполнение консолидированного бюджета Чувашской Республики осуществлялось в 2019 году с учетом необходимости реализации приоритетных направлений расходов, в первую очередь, определенных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355">
        <w:rPr>
          <w:rFonts w:ascii="Arial" w:hAnsi="Arial" w:cs="Arial"/>
          <w:sz w:val="24"/>
          <w:szCs w:val="24"/>
        </w:rPr>
        <w:t>В 2019 году на финансирование 11 национальных проектов, направленных на стимулирование экономики, развитие здравоохранения, образования, культуры, из консолидированного бюджета Чувашской Республики выделено 10319,4 млн. рублей.</w:t>
      </w:r>
    </w:p>
    <w:p w:rsidR="00C73455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972050" cy="3733800"/>
            <wp:effectExtent l="0" t="0" r="0" b="0"/>
            <wp:docPr id="2" name="Рисунок 2" descr="E:\Отдел бюджетной политики\К отчету работы КМ ЧР\о результатах деятельности КМ ЧР за 2019 год\слайды 12_03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дел бюджетной политики\К отчету работы КМ ЧР\о результатах деятельности КМ ЧР за 2019 год\слайды 12_03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</w:p>
    <w:p w:rsidR="00C73455" w:rsidRDefault="00C73455" w:rsidP="00C7345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CC647F">
        <w:rPr>
          <w:rFonts w:ascii="Arial" w:hAnsi="Arial" w:cs="Arial"/>
          <w:b/>
          <w:sz w:val="24"/>
          <w:szCs w:val="24"/>
        </w:rPr>
        <w:t>Исполнение консолидированных бюджетов муниципальных районов и бюджетов городских округов в 2019 году</w:t>
      </w:r>
    </w:p>
    <w:p w:rsidR="00C73455" w:rsidRPr="00CC647F" w:rsidRDefault="00C73455" w:rsidP="00C73455">
      <w:pPr>
        <w:pStyle w:val="a3"/>
        <w:spacing w:after="0" w:line="240" w:lineRule="auto"/>
        <w:ind w:left="349"/>
        <w:jc w:val="both"/>
        <w:rPr>
          <w:rFonts w:ascii="Arial" w:hAnsi="Arial" w:cs="Arial"/>
          <w:b/>
          <w:sz w:val="24"/>
          <w:szCs w:val="24"/>
        </w:rPr>
      </w:pPr>
    </w:p>
    <w:p w:rsidR="00C73455" w:rsidRPr="00CC647F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647F">
        <w:rPr>
          <w:rFonts w:ascii="Arial" w:hAnsi="Arial" w:cs="Arial"/>
          <w:sz w:val="24"/>
          <w:szCs w:val="24"/>
        </w:rPr>
        <w:t>За 2019 год в консолидированные бюджеты муниципальных районов и бюджеты городских округов поступили доходы в сумме 31855,8 млн. рублей (98,5% к годовым плановым назначениям), в том числе налоговые и неналоговые доходы – 8604,2 млн. рублей, с ростом к уровню 2018 года на  6,0 %.</w:t>
      </w:r>
    </w:p>
    <w:p w:rsidR="00C73455" w:rsidRPr="00CC647F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647F">
        <w:rPr>
          <w:rFonts w:ascii="Arial" w:hAnsi="Arial" w:cs="Arial"/>
          <w:sz w:val="24"/>
          <w:szCs w:val="24"/>
        </w:rPr>
        <w:t xml:space="preserve">В 22 муниципальных образованиях обеспечено поступление собственных (налоговых и неналоговых) доходов выше уровня 2018 года: наибольший рост в </w:t>
      </w:r>
      <w:proofErr w:type="spellStart"/>
      <w:r w:rsidRPr="00CC647F">
        <w:rPr>
          <w:rFonts w:ascii="Arial" w:hAnsi="Arial" w:cs="Arial"/>
          <w:sz w:val="24"/>
          <w:szCs w:val="24"/>
        </w:rPr>
        <w:t>Ядринском</w:t>
      </w:r>
      <w:proofErr w:type="spellEnd"/>
      <w:r w:rsidRPr="00CC647F">
        <w:rPr>
          <w:rFonts w:ascii="Arial" w:hAnsi="Arial" w:cs="Arial"/>
          <w:sz w:val="24"/>
          <w:szCs w:val="24"/>
        </w:rPr>
        <w:t xml:space="preserve"> (на 13,1%), </w:t>
      </w:r>
      <w:proofErr w:type="spellStart"/>
      <w:r w:rsidRPr="00CC647F">
        <w:rPr>
          <w:rFonts w:ascii="Arial" w:hAnsi="Arial" w:cs="Arial"/>
          <w:sz w:val="24"/>
          <w:szCs w:val="24"/>
        </w:rPr>
        <w:t>Аликовском</w:t>
      </w:r>
      <w:proofErr w:type="spellEnd"/>
      <w:r w:rsidRPr="00CC647F">
        <w:rPr>
          <w:rFonts w:ascii="Arial" w:hAnsi="Arial" w:cs="Arial"/>
          <w:sz w:val="24"/>
          <w:szCs w:val="24"/>
        </w:rPr>
        <w:t xml:space="preserve"> (на 11,3%), Порецком (на 11,1%) районах и  в городе Шумерле (</w:t>
      </w:r>
      <w:proofErr w:type="gramStart"/>
      <w:r w:rsidRPr="00CC647F">
        <w:rPr>
          <w:rFonts w:ascii="Arial" w:hAnsi="Arial" w:cs="Arial"/>
          <w:sz w:val="24"/>
          <w:szCs w:val="24"/>
        </w:rPr>
        <w:t>на</w:t>
      </w:r>
      <w:proofErr w:type="gramEnd"/>
      <w:r w:rsidRPr="00CC647F">
        <w:rPr>
          <w:rFonts w:ascii="Arial" w:hAnsi="Arial" w:cs="Arial"/>
          <w:sz w:val="24"/>
          <w:szCs w:val="24"/>
        </w:rPr>
        <w:t xml:space="preserve"> 12,4%). В 4 муниципальных образованиях поступление собственных доходов ниже уровня 2018 года: наибольшее снижение в </w:t>
      </w:r>
      <w:proofErr w:type="spellStart"/>
      <w:r w:rsidRPr="00CC647F">
        <w:rPr>
          <w:rFonts w:ascii="Arial" w:hAnsi="Arial" w:cs="Arial"/>
          <w:sz w:val="24"/>
          <w:szCs w:val="24"/>
        </w:rPr>
        <w:t>Шумерлинском</w:t>
      </w:r>
      <w:proofErr w:type="spellEnd"/>
      <w:r w:rsidRPr="00CC647F">
        <w:rPr>
          <w:rFonts w:ascii="Arial" w:hAnsi="Arial" w:cs="Arial"/>
          <w:sz w:val="24"/>
          <w:szCs w:val="24"/>
        </w:rPr>
        <w:t xml:space="preserve"> (на 2,3%), Мариинско-Посадском (на 1,3%) районах.</w:t>
      </w:r>
    </w:p>
    <w:p w:rsidR="00C73455" w:rsidRPr="00CC647F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647F">
        <w:rPr>
          <w:rFonts w:ascii="Arial" w:hAnsi="Arial" w:cs="Arial"/>
          <w:sz w:val="24"/>
          <w:szCs w:val="24"/>
        </w:rPr>
        <w:t xml:space="preserve">Поступление налоговых доходов в местные бюджеты составило 6457,0 млн. рублей, рост к уровню 2018 года - на 6,3 % (101,4 % к годовым плановым назначениям),  неналоговых доходов – 2147,1 млн. рублей, рост к уровню 2018 года – на 5,1% (102,8% к годовым плановым назначениям). </w:t>
      </w:r>
      <w:proofErr w:type="gramStart"/>
      <w:r w:rsidRPr="00CC647F">
        <w:rPr>
          <w:rFonts w:ascii="Arial" w:hAnsi="Arial" w:cs="Arial"/>
          <w:sz w:val="24"/>
          <w:szCs w:val="24"/>
        </w:rPr>
        <w:t>Рост собственных доходов обеспечен в основном за счет увеличения поступлений налога на доходы физических лиц – на 5,5 %, или на 221,0 млн. рублей, акцизов – на 15,2%, или на 34,5 млн. рублей, транспортного налога – на 15,1 %, или на 13,8 млн. рублей, налога на имущество физических лиц – на 16,4%, или на 43,6 млн. рублей, земельного налога – на 14,4 %, или на 87,1 млн. рублей</w:t>
      </w:r>
      <w:proofErr w:type="gramEnd"/>
      <w:r w:rsidRPr="00CC647F">
        <w:rPr>
          <w:rFonts w:ascii="Arial" w:hAnsi="Arial" w:cs="Arial"/>
          <w:sz w:val="24"/>
          <w:szCs w:val="24"/>
        </w:rPr>
        <w:t xml:space="preserve">, госпошлины – на 1,4%, или на 2,8 млн. рублей, доходов от продажи материальных и нематериальных активов – на 9,2%, или на 56,8 млн. рублей.  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CC647F">
        <w:rPr>
          <w:rFonts w:ascii="Arial" w:hAnsi="Arial" w:cs="Arial"/>
          <w:sz w:val="24"/>
          <w:szCs w:val="24"/>
        </w:rPr>
        <w:t>Расходы консолидированных бюджетов муниципальных районов и бюджетов городских округов составили 30521,5 млн. рублей, рост к уровню 2018 года на 16,7%. В структуре расходов бюджетов муниципальных образований наибольший удельный вес составили расходы на образование (56,2%), национальную экономику (16,6%), жилищно-коммунальное хозяйство (8,1%).</w:t>
      </w:r>
    </w:p>
    <w:p w:rsidR="00C73455" w:rsidRDefault="00C73455" w:rsidP="00C7345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775980">
        <w:rPr>
          <w:rFonts w:ascii="Arial" w:hAnsi="Arial" w:cs="Arial"/>
          <w:b/>
          <w:sz w:val="24"/>
          <w:szCs w:val="24"/>
        </w:rPr>
        <w:lastRenderedPageBreak/>
        <w:t>Исполнение «майских» указов Президент</w:t>
      </w:r>
      <w:r>
        <w:rPr>
          <w:rFonts w:ascii="Arial" w:hAnsi="Arial" w:cs="Arial"/>
          <w:b/>
          <w:sz w:val="24"/>
          <w:szCs w:val="24"/>
        </w:rPr>
        <w:t>а</w:t>
      </w:r>
      <w:r w:rsidRPr="00775980">
        <w:rPr>
          <w:rFonts w:ascii="Arial" w:hAnsi="Arial" w:cs="Arial"/>
          <w:b/>
          <w:sz w:val="24"/>
          <w:szCs w:val="24"/>
        </w:rPr>
        <w:t xml:space="preserve"> России Владимира Путина </w:t>
      </w:r>
      <w:r>
        <w:rPr>
          <w:rFonts w:ascii="Arial" w:hAnsi="Arial" w:cs="Arial"/>
          <w:b/>
          <w:sz w:val="24"/>
          <w:szCs w:val="24"/>
        </w:rPr>
        <w:br/>
      </w:r>
      <w:r w:rsidRPr="00775980">
        <w:rPr>
          <w:rFonts w:ascii="Arial" w:hAnsi="Arial" w:cs="Arial"/>
          <w:b/>
          <w:sz w:val="24"/>
          <w:szCs w:val="24"/>
        </w:rPr>
        <w:t>в части повышения заработной платы работникам бюджетной сферы</w:t>
      </w:r>
    </w:p>
    <w:p w:rsidR="00C73455" w:rsidRPr="00775980" w:rsidRDefault="00C73455" w:rsidP="00C73455">
      <w:pPr>
        <w:pStyle w:val="a3"/>
        <w:spacing w:after="0" w:line="240" w:lineRule="auto"/>
        <w:ind w:left="349"/>
        <w:jc w:val="both"/>
        <w:rPr>
          <w:rFonts w:ascii="Arial" w:hAnsi="Arial" w:cs="Arial"/>
          <w:b/>
          <w:sz w:val="24"/>
          <w:szCs w:val="24"/>
        </w:rPr>
      </w:pPr>
    </w:p>
    <w:p w:rsidR="00C73455" w:rsidRPr="00DC53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355">
        <w:rPr>
          <w:rFonts w:ascii="Arial" w:hAnsi="Arial" w:cs="Arial"/>
          <w:sz w:val="24"/>
          <w:szCs w:val="24"/>
        </w:rPr>
        <w:t xml:space="preserve">Первоочередное значение в государственной политике имеет повышение заработной платы работникам бюджетной сферы. 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355">
        <w:rPr>
          <w:rFonts w:ascii="Arial" w:hAnsi="Arial" w:cs="Arial"/>
          <w:sz w:val="24"/>
          <w:szCs w:val="24"/>
        </w:rPr>
        <w:t>По сравнению с 2012 годом (с момента подписания</w:t>
      </w:r>
      <w:r w:rsidRPr="00775980">
        <w:rPr>
          <w:rFonts w:ascii="Arial" w:hAnsi="Arial" w:cs="Arial"/>
          <w:sz w:val="24"/>
          <w:szCs w:val="24"/>
        </w:rPr>
        <w:t xml:space="preserve"> Президентом России Владимиром Путиным «майских» указов) расходы бюджета на оплату труда позволили увеличить среднюю зарплату отдельных категорий работников: врачей – в 2,2 раза, младшего медперсонала – в 4,1 раза, работников культуры – в 2,7 раза и другие.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 xml:space="preserve">По данным Росстата средняя заработная плата отдельных категорий работников бюджетной сферы в Чувашской Республике за 2019 год составила </w:t>
      </w:r>
      <w:proofErr w:type="gramStart"/>
      <w:r w:rsidRPr="00775980">
        <w:rPr>
          <w:rFonts w:ascii="Arial" w:hAnsi="Arial" w:cs="Arial"/>
          <w:sz w:val="24"/>
          <w:szCs w:val="24"/>
        </w:rPr>
        <w:t>по</w:t>
      </w:r>
      <w:proofErr w:type="gramEnd"/>
      <w:r w:rsidRPr="00775980">
        <w:rPr>
          <w:rFonts w:ascii="Arial" w:hAnsi="Arial" w:cs="Arial"/>
          <w:sz w:val="24"/>
          <w:szCs w:val="24"/>
        </w:rPr>
        <w:t>: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педагогическим работникам общеобразовательных организаций – 25924,2 рублей, или 100,6% к прогнозному среднемесячному доходу от трудовой деятельности по Чувашской Республике (25767,0 рублей), при плановом значении – 100,0%;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педагогическим работникам дошкольных образовательных организаций – 24102,0 рублей, или 100,6% к средней заработной плате в сфере общего образования Чувашской Республики (23969,8 рублей), при плановом значении – 100,0%;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педагогическим работникам государственных (муниципальных) организаций дополнительного образования детей (в отраслях образования, культуры и спорта) – 26718,1 рублей, или 102,2% к средней заработной плате учителей Чувашской Республики (26152,0 рублей), при плановом значении – 100,0%;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преподавателям образовательных организаций высшего образования – 51535,5 рублей, или 200,0% к прогнозному среднемесячному доходу от трудовой деятельности по Чувашской Республике, при плановом значении – 200,0%;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преподавателям и мастерам производственного обучения образовательных организаций начального и среднего профессионального образования – 26197,7 рублей, или 101,7% к прогнозному среднемесячному доходу от трудовой деятельности по Чувашской Республике, при плановом значении – 100,0%;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научным сотрудникам учреждений – 51442,0 рублей, или 199,6% к прогнозному среднемесячному доходу от трудовой деятельности по Чувашской Республике, при плановом значении – 200,0%;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работникам учреждений культуры – 25984,5 рублей, или 100,8% к прогнозному среднемесячному доходу от трудовой деятельности по Чувашской Республике, при плановом значении – 100,0%;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социальным работникам – 25792,5 рублей, или 100,1% к прогнозному среднемесячному доходу от трудовой деятельности по Чувашской Республике, при плановом значении – 100,0%;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врачам и работникам медицинских организаций, имеющим высшее медицинское (фармацевтическое) или иное высшее образование, предоставляющим медицинские услуги (обеспечивающим предоставление медицинских услуг), – 51688,7 рублей, или 200,6% к прогнозному среднемесячному доходу от трудовой деятельности по Чувашской Республике, при плановом значении – 200,0%;</w:t>
      </w:r>
    </w:p>
    <w:p w:rsidR="00C73455" w:rsidRPr="00775980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t>среднему медицинскому (фармацевтическому) персоналу (персоналу, обеспечивающему условия для предоставления медицинских услуг) – 26248,5 рублей, или 101,9% к прогнозному среднемесячному доходу от трудовой деятельности по Чувашской Республике, при плановом значении – 100,0%;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5980">
        <w:rPr>
          <w:rFonts w:ascii="Arial" w:hAnsi="Arial" w:cs="Arial"/>
          <w:sz w:val="24"/>
          <w:szCs w:val="24"/>
        </w:rPr>
        <w:lastRenderedPageBreak/>
        <w:t xml:space="preserve">младшему медицинскому персоналу (персоналу, обеспечивающему условия для предоставления медицинских услуг) – 26343,0 рублей, или 102,2% к прогнозному среднемесячному доходу от трудовой деятельности по Чувашской </w:t>
      </w:r>
      <w:r w:rsidRPr="00100659">
        <w:rPr>
          <w:rFonts w:ascii="Arial" w:hAnsi="Arial" w:cs="Arial"/>
          <w:sz w:val="24"/>
          <w:szCs w:val="24"/>
        </w:rPr>
        <w:t>Республике, при плановом значении – 100,0%.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В соответствии с поручением Президента Российской Федерации В.В. Путина в Чувашской Республике по итогам 2019 года по всем категориям работников бюджетной сферы сохранены соотношения между уровнем их оплаты труда и уровнем среднемесячного дохода от трудовой деятельности по Чувашской Республике (рост среднемесячного дохода от трудовой деятельности по году составил 107,6%).</w:t>
      </w:r>
    </w:p>
    <w:p w:rsidR="00C73455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sz w:val="26"/>
          <w:szCs w:val="26"/>
        </w:rPr>
        <w:object w:dxaOrig="7216" w:dyaOrig="5407">
          <v:shape id="_x0000_i1026" type="#_x0000_t75" style="width:391.5pt;height:293.25pt" o:ole="">
            <v:imagedata r:id="rId10" o:title=""/>
          </v:shape>
          <o:OLEObject Type="Embed" ProgID="PowerPoint.Slide.12" ShapeID="_x0000_i1026" DrawAspect="Content" ObjectID="_1649144881" r:id="rId11"/>
        </w:objec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100659" w:rsidRDefault="00C73455" w:rsidP="00C7345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Управление г</w:t>
      </w:r>
      <w:r w:rsidRPr="00100659">
        <w:rPr>
          <w:rFonts w:ascii="Arial" w:hAnsi="Arial" w:cs="Arial"/>
          <w:b/>
          <w:sz w:val="24"/>
          <w:szCs w:val="24"/>
        </w:rPr>
        <w:t>осударственны</w:t>
      </w:r>
      <w:r>
        <w:rPr>
          <w:rFonts w:ascii="Arial" w:hAnsi="Arial" w:cs="Arial"/>
          <w:b/>
          <w:sz w:val="24"/>
          <w:szCs w:val="24"/>
        </w:rPr>
        <w:t>м</w:t>
      </w:r>
      <w:r w:rsidRPr="00100659">
        <w:rPr>
          <w:rFonts w:ascii="Arial" w:hAnsi="Arial" w:cs="Arial"/>
          <w:b/>
          <w:sz w:val="24"/>
          <w:szCs w:val="24"/>
        </w:rPr>
        <w:t xml:space="preserve"> долг</w:t>
      </w:r>
      <w:r>
        <w:rPr>
          <w:rFonts w:ascii="Arial" w:hAnsi="Arial" w:cs="Arial"/>
          <w:b/>
          <w:sz w:val="24"/>
          <w:szCs w:val="24"/>
        </w:rPr>
        <w:t>ом</w:t>
      </w:r>
      <w:r w:rsidRPr="00100659">
        <w:rPr>
          <w:rFonts w:ascii="Arial" w:hAnsi="Arial" w:cs="Arial"/>
          <w:b/>
          <w:sz w:val="24"/>
          <w:szCs w:val="24"/>
        </w:rPr>
        <w:t xml:space="preserve"> Чувашской Республики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В 2019 году была продолжена работа по снижению долговой нагрузки на республиканский бюджет Чувашской Республики.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На 1 января 2020 года г</w:t>
      </w:r>
      <w:r w:rsidRPr="00100659">
        <w:rPr>
          <w:rFonts w:ascii="Arial" w:hAnsi="Arial" w:cs="Arial"/>
          <w:bCs/>
          <w:sz w:val="24"/>
          <w:szCs w:val="24"/>
        </w:rPr>
        <w:t>осударственный долг Чувашской Республики</w:t>
      </w:r>
      <w:r w:rsidRPr="00100659">
        <w:rPr>
          <w:rFonts w:ascii="Arial" w:hAnsi="Arial" w:cs="Arial"/>
          <w:sz w:val="24"/>
          <w:szCs w:val="24"/>
        </w:rPr>
        <w:t xml:space="preserve"> составил 10 350,4 млн. рублей, что на 2 559,2 млн. рублей ниже уровня прошлого года (12 909,6 млн. рублей). При этом отношение государственного долга Чувашской Республики к собственным доходам снизилось с 43,4% (в 2018 году) до 33,8% (в 2019 году), т.е. на 9,6 </w:t>
      </w:r>
      <w:proofErr w:type="spellStart"/>
      <w:r w:rsidRPr="00100659">
        <w:rPr>
          <w:rFonts w:ascii="Arial" w:hAnsi="Arial" w:cs="Arial"/>
          <w:sz w:val="24"/>
          <w:szCs w:val="24"/>
        </w:rPr>
        <w:t>п.п</w:t>
      </w:r>
      <w:proofErr w:type="spellEnd"/>
      <w:r w:rsidRPr="00100659">
        <w:rPr>
          <w:rFonts w:ascii="Arial" w:hAnsi="Arial" w:cs="Arial"/>
          <w:sz w:val="24"/>
          <w:szCs w:val="24"/>
        </w:rPr>
        <w:t>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Отношение объема рыночных долговых обязательств (3 300 млн. рублей) к собственным доходам республиканского бюджета Чувашской Республики составило 10,8%.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В целях экономии бюджетных средств на обслуживание государственного долга Чувашии осуществляется эффективное управление финансовыми активами республики и своевременное рефинансирование долговых обязательств Чувашской Республики.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00659">
        <w:rPr>
          <w:rFonts w:ascii="Arial" w:hAnsi="Arial" w:cs="Arial"/>
          <w:sz w:val="24"/>
          <w:szCs w:val="24"/>
        </w:rPr>
        <w:t xml:space="preserve">За счет снижения ставок привлечения коммерческих кредитных ресурсов и активного управления государственным долгом Чувашской Республики уровень расходов на обслуживание государственного долга Чувашской Республики с 2015 года не превышал 1,0% расходов бюджета Чувашской Республики за вычетом </w:t>
      </w:r>
      <w:r w:rsidRPr="00100659">
        <w:rPr>
          <w:rFonts w:ascii="Arial" w:hAnsi="Arial" w:cs="Arial"/>
          <w:sz w:val="24"/>
          <w:szCs w:val="24"/>
        </w:rPr>
        <w:lastRenderedPageBreak/>
        <w:t>расходов за счет субвенций, поступивших из федерального бюджета (ограничение по Бюджетному кодексу Российской Федерации – не более 15% объема расходов бюджета Чувашской Республики за вычетом расходов</w:t>
      </w:r>
      <w:proofErr w:type="gramEnd"/>
      <w:r w:rsidRPr="00100659">
        <w:rPr>
          <w:rFonts w:ascii="Arial" w:hAnsi="Arial" w:cs="Arial"/>
          <w:sz w:val="24"/>
          <w:szCs w:val="24"/>
        </w:rPr>
        <w:t xml:space="preserve"> за счет субвенций, поступивших из федерального бюджета).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За 2019 год объем расходов на обслуживание государственного долга Чувашской Республики составил 20,0 млн. рублей (или 0,04% расходов бюджета Чувашской Республики за исключением расходов, осуществляемых за счет субвенций, предоставленных из федерального бюджета).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Все обязательства по обслуживанию и погашению государственного долга Чувашской Республики выполнены своевременно и в полном объеме.</w:t>
      </w:r>
    </w:p>
    <w:p w:rsidR="00C73455" w:rsidRPr="00100659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sz w:val="26"/>
          <w:szCs w:val="26"/>
        </w:rPr>
        <w:object w:dxaOrig="7216" w:dyaOrig="5407">
          <v:shape id="_x0000_i1027" type="#_x0000_t75" style="width:405pt;height:303pt" o:ole="">
            <v:imagedata r:id="rId12" o:title=""/>
          </v:shape>
          <o:OLEObject Type="Embed" ProgID="PowerPoint.Slide.12" ShapeID="_x0000_i1027" DrawAspect="Content" ObjectID="_1649144882" r:id="rId13"/>
        </w:objec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100659">
        <w:rPr>
          <w:rFonts w:ascii="Arial" w:hAnsi="Arial" w:cs="Arial"/>
          <w:bCs/>
          <w:sz w:val="24"/>
          <w:szCs w:val="24"/>
        </w:rPr>
        <w:t xml:space="preserve">В 2019 году международное рейтинговое агентство </w:t>
      </w:r>
      <w:proofErr w:type="spellStart"/>
      <w:r w:rsidRPr="00100659">
        <w:rPr>
          <w:rFonts w:ascii="Arial" w:hAnsi="Arial" w:cs="Arial"/>
          <w:bCs/>
          <w:sz w:val="24"/>
          <w:szCs w:val="24"/>
        </w:rPr>
        <w:t>Fitch</w:t>
      </w:r>
      <w:proofErr w:type="spellEnd"/>
      <w:r w:rsidRPr="001006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00659">
        <w:rPr>
          <w:rFonts w:ascii="Arial" w:hAnsi="Arial" w:cs="Arial"/>
          <w:bCs/>
          <w:sz w:val="24"/>
          <w:szCs w:val="24"/>
        </w:rPr>
        <w:t>Ratings</w:t>
      </w:r>
      <w:proofErr w:type="spellEnd"/>
      <w:r w:rsidRPr="00100659">
        <w:rPr>
          <w:rFonts w:ascii="Arial" w:hAnsi="Arial" w:cs="Arial"/>
          <w:bCs/>
          <w:sz w:val="24"/>
          <w:szCs w:val="24"/>
        </w:rPr>
        <w:t xml:space="preserve"> и национальное рейтинговое агентство Эксперт РА (RAEX) подтвердили достигнутые Чувашской Республикой в 2018 году рейтинги на уровне «Стабильный».</w:t>
      </w:r>
      <w:r w:rsidRPr="00100659">
        <w:rPr>
          <w:rFonts w:ascii="Arial" w:hAnsi="Arial" w:cs="Arial"/>
          <w:b/>
          <w:bCs/>
          <w:sz w:val="24"/>
          <w:szCs w:val="24"/>
        </w:rPr>
        <w:t xml:space="preserve"> </w:t>
      </w:r>
      <w:r w:rsidRPr="00100659">
        <w:rPr>
          <w:rFonts w:ascii="Arial" w:hAnsi="Arial" w:cs="Arial"/>
          <w:bCs/>
          <w:sz w:val="24"/>
          <w:szCs w:val="24"/>
        </w:rPr>
        <w:t xml:space="preserve">При этом положительную динамику отметило международное рейтинговое агентство </w:t>
      </w:r>
      <w:proofErr w:type="spellStart"/>
      <w:r w:rsidRPr="00100659">
        <w:rPr>
          <w:rFonts w:ascii="Arial" w:hAnsi="Arial" w:cs="Arial"/>
          <w:bCs/>
          <w:sz w:val="24"/>
          <w:szCs w:val="24"/>
        </w:rPr>
        <w:t>Moody’s</w:t>
      </w:r>
      <w:proofErr w:type="spellEnd"/>
      <w:r w:rsidRPr="001006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00659">
        <w:rPr>
          <w:rFonts w:ascii="Arial" w:hAnsi="Arial" w:cs="Arial"/>
          <w:bCs/>
          <w:sz w:val="24"/>
          <w:szCs w:val="24"/>
        </w:rPr>
        <w:t>Investors</w:t>
      </w:r>
      <w:proofErr w:type="spellEnd"/>
      <w:r w:rsidRPr="001006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100659">
        <w:rPr>
          <w:rFonts w:ascii="Arial" w:hAnsi="Arial" w:cs="Arial"/>
          <w:bCs/>
          <w:sz w:val="24"/>
          <w:szCs w:val="24"/>
        </w:rPr>
        <w:t>Service</w:t>
      </w:r>
      <w:proofErr w:type="spellEnd"/>
      <w:r w:rsidRPr="00100659">
        <w:rPr>
          <w:rFonts w:ascii="Arial" w:hAnsi="Arial" w:cs="Arial"/>
          <w:bCs/>
          <w:sz w:val="24"/>
          <w:szCs w:val="24"/>
        </w:rPr>
        <w:t xml:space="preserve">, повысив долгосрочный рейтинг Чувашской Республики в 2019 году с уровня </w:t>
      </w:r>
      <w:r w:rsidRPr="00100659">
        <w:rPr>
          <w:rFonts w:ascii="Arial" w:hAnsi="Arial" w:cs="Arial"/>
          <w:bCs/>
          <w:sz w:val="24"/>
          <w:szCs w:val="24"/>
          <w:lang w:val="en-US"/>
        </w:rPr>
        <w:t>Ba</w:t>
      </w:r>
      <w:r w:rsidRPr="00100659">
        <w:rPr>
          <w:rFonts w:ascii="Arial" w:hAnsi="Arial" w:cs="Arial"/>
          <w:bCs/>
          <w:sz w:val="24"/>
          <w:szCs w:val="24"/>
        </w:rPr>
        <w:t xml:space="preserve">3 «Позитивный» до уровня </w:t>
      </w:r>
      <w:r w:rsidRPr="00100659">
        <w:rPr>
          <w:rFonts w:ascii="Arial" w:hAnsi="Arial" w:cs="Arial"/>
          <w:bCs/>
          <w:sz w:val="24"/>
          <w:szCs w:val="24"/>
          <w:lang w:val="en-US"/>
        </w:rPr>
        <w:t>Ba</w:t>
      </w:r>
      <w:r w:rsidRPr="00100659">
        <w:rPr>
          <w:rFonts w:ascii="Arial" w:hAnsi="Arial" w:cs="Arial"/>
          <w:bCs/>
          <w:sz w:val="24"/>
          <w:szCs w:val="24"/>
        </w:rPr>
        <w:t xml:space="preserve">2 «Стабильный». 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100659">
        <w:rPr>
          <w:rFonts w:ascii="Arial" w:hAnsi="Arial" w:cs="Arial"/>
          <w:bCs/>
          <w:sz w:val="24"/>
          <w:szCs w:val="24"/>
        </w:rPr>
        <w:t>Указанные рейтинги подтверждают эффективность проведения бюджетной и долговой политики в республике.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В 2019 году Минфином России</w:t>
      </w:r>
      <w:r>
        <w:rPr>
          <w:rFonts w:ascii="Arial" w:hAnsi="Arial" w:cs="Arial"/>
          <w:sz w:val="24"/>
          <w:szCs w:val="24"/>
        </w:rPr>
        <w:t xml:space="preserve"> Чувашская Республика отнесена к группе заемщиков с высоким уровнем долговой устойчивости.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722EF1" w:rsidRDefault="00C73455" w:rsidP="00C73455">
      <w:pPr>
        <w:pStyle w:val="a3"/>
        <w:numPr>
          <w:ilvl w:val="0"/>
          <w:numId w:val="1"/>
        </w:numPr>
        <w:spacing w:after="0" w:line="240" w:lineRule="auto"/>
        <w:ind w:left="284" w:firstLine="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Осуществление государственного финансового контроля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В 2019 году с целью проверки эффективного и целевого использования бюджетных средств и материальных ресурсов проведено 62 контрольных мероприятия в отношении расходов республиканского бюджета Чувашской Республики и местных бюджетов, иных внебюджетных средств, связанных с реализацией программных и непрограммных мероприятий Чувашской Республики, из них 19 внеплановых.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lastRenderedPageBreak/>
        <w:t>В рамках контрольных мероприятий проведено 88 проверок в отношении 99 объектов контроля, в том числе: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органы исполнительной власти Чувашской Республики, главные распорядители (получатели) средств республиканского бюджета - 28;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государственные (казенные, бюджетные, автономные) учреждения, организации и предприятия - 35;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00659">
        <w:rPr>
          <w:rFonts w:ascii="Arial" w:hAnsi="Arial" w:cs="Arial"/>
          <w:sz w:val="24"/>
          <w:szCs w:val="24"/>
        </w:rPr>
        <w:t>органы местного самоуправления (муниципальных районов, городских округов, сельских (городских) поселений) и главные распорядители (получатели) средств местных бюджетов - 26;</w:t>
      </w:r>
      <w:proofErr w:type="gramEnd"/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муниципальные (бюджетные, автономные) учреждения - 5;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иные учреждения и организации - 5.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Общий объем средств, проверенных в 2019 году, составил 3368,9 млн. рублей, в том числе проверено 473 государственных (муниципальных) контрактов (договоров) стоимостью 1202,9 млн. рублей.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Нарушения бюджетного законодательства, законодательства о контрактной системе и иных нормативных правовых актов выявлены в рамках 76 проверок, что составило 86,4 % к общему количеству проведенных проверок.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Общий объем выявленных нарушений в денежном выражении составил 285,9 млн. рублей.  Наибольший объем нарушений выявлен при ведении бухгалтерского учета в сумме 107,9 млн. рублей (37,7%), а также нарушений в области использования и сохранности имущества в сумме 50,2 млн. рублей (17,6%). Объем прочих нарушений составил 83,8 млн. рублей (29,3%).</w:t>
      </w:r>
    </w:p>
    <w:p w:rsidR="00C73455" w:rsidRPr="00100659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 xml:space="preserve">В рамках реализации материалов контрольных мероприятий объектам контроля направлено 19 представлений и 18 предписаний, обязательных к рассмотрению (исполнению), с требованиями устранения нарушений бюджетного законодательства и законодательства о контрактной системе, а также 1 уведомление о применении бюджетных мер принуждения за нецелевое использование бюджетных средств. 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0659">
        <w:rPr>
          <w:rFonts w:ascii="Arial" w:hAnsi="Arial" w:cs="Arial"/>
          <w:sz w:val="24"/>
          <w:szCs w:val="24"/>
        </w:rPr>
        <w:t>По итогам контрольных мероприятий в 2019 году возбуждено 17 дел об административных правонарушениях, наложено штрафов на общую сумму 80,0 тыс. рублей. Материалы всех проверок, которыми выявлены нарушения, направлены в адрес прокуратуры Чувашской Республики для принятия мер прокурорского реагирования.</w:t>
      </w:r>
    </w:p>
    <w:p w:rsidR="00C73455" w:rsidRPr="00722EF1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3455" w:rsidRPr="00722EF1" w:rsidRDefault="00C73455" w:rsidP="00C7345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722EF1">
        <w:rPr>
          <w:rFonts w:ascii="Arial" w:hAnsi="Arial" w:cs="Arial"/>
          <w:b/>
          <w:sz w:val="24"/>
          <w:szCs w:val="24"/>
        </w:rPr>
        <w:t>Обеспечение открытости бюджетных данных</w:t>
      </w:r>
    </w:p>
    <w:p w:rsidR="00C73455" w:rsidRDefault="00C73455" w:rsidP="00C73455">
      <w:pPr>
        <w:pStyle w:val="a3"/>
        <w:spacing w:after="0" w:line="240" w:lineRule="auto"/>
        <w:ind w:left="1069"/>
        <w:jc w:val="both"/>
        <w:rPr>
          <w:rFonts w:ascii="Arial" w:hAnsi="Arial" w:cs="Arial"/>
          <w:sz w:val="24"/>
          <w:szCs w:val="24"/>
        </w:rPr>
      </w:pPr>
    </w:p>
    <w:p w:rsidR="00C73455" w:rsidRPr="00722EF1" w:rsidRDefault="00C73455" w:rsidP="00C7345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2EF1">
        <w:rPr>
          <w:rFonts w:ascii="Arial" w:hAnsi="Arial" w:cs="Arial"/>
          <w:sz w:val="24"/>
          <w:szCs w:val="24"/>
        </w:rPr>
        <w:t>Чувашская Республика, придерживаясь установленного Бюджетным кодексом Российской Федерации принципа прозрачности (открытости) бюджета, ежегодно улучшает свою позицию в рейтинге открытости бюджетных данных. Информация о проекте бюджета, утвержденном бюджете, внесении изменений в него и годовом отчете об исполнении бюджета размещается на портале управления общественными финансами в понятной для широкого круга граждан форме.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22EF1">
        <w:rPr>
          <w:rFonts w:ascii="Arial" w:hAnsi="Arial" w:cs="Arial"/>
          <w:sz w:val="24"/>
          <w:szCs w:val="24"/>
        </w:rPr>
        <w:t xml:space="preserve">Согласно данным ФГБУ «Научно-исследовательский финансовый институт» </w:t>
      </w:r>
      <w:r w:rsidRPr="00722EF1">
        <w:rPr>
          <w:rFonts w:ascii="Arial" w:hAnsi="Arial" w:cs="Arial"/>
          <w:bCs/>
          <w:sz w:val="24"/>
          <w:szCs w:val="24"/>
        </w:rPr>
        <w:t>Чувашская Республика в рейтинге открытости бюджетных данных по итогам 2019 года поднялась на 1 место (в 2018 году занимала 5 место)</w:t>
      </w:r>
      <w:r w:rsidRPr="00722EF1">
        <w:rPr>
          <w:rFonts w:ascii="Arial" w:hAnsi="Arial" w:cs="Arial"/>
          <w:bCs/>
          <w:color w:val="1F497D"/>
          <w:sz w:val="24"/>
          <w:szCs w:val="24"/>
        </w:rPr>
        <w:t>,</w:t>
      </w:r>
      <w:r w:rsidRPr="00722EF1">
        <w:rPr>
          <w:rFonts w:ascii="Arial" w:hAnsi="Arial" w:cs="Arial"/>
          <w:bCs/>
          <w:sz w:val="24"/>
          <w:szCs w:val="24"/>
        </w:rPr>
        <w:t xml:space="preserve"> возглавив группу регионов с очень высоким уровнем открытости бюджетных данных</w:t>
      </w:r>
      <w:r w:rsidRPr="00722EF1">
        <w:rPr>
          <w:rFonts w:ascii="Arial" w:hAnsi="Arial" w:cs="Arial"/>
          <w:sz w:val="24"/>
          <w:szCs w:val="24"/>
        </w:rPr>
        <w:t xml:space="preserve">. </w:t>
      </w:r>
    </w:p>
    <w:p w:rsidR="00C73455" w:rsidRDefault="00C73455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29225" cy="3924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93" w:rsidRPr="00722EF1" w:rsidRDefault="00073693" w:rsidP="00C7345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722EF1" w:rsidRDefault="00C73455" w:rsidP="00C7345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22EF1">
        <w:rPr>
          <w:rFonts w:ascii="Arial" w:hAnsi="Arial" w:cs="Arial"/>
          <w:b/>
          <w:sz w:val="24"/>
          <w:szCs w:val="24"/>
        </w:rPr>
        <w:t xml:space="preserve">    Реализация проекта «Безналичная Чувашия»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рамках реализуемого Минфином Чувашии совместно с кредитными организациями, органами исполнительной власти Чувашской Республики, а также территориальными органами федеральных органов исполнительной власти проекта «Безналичная Чувашия» в 2018-2019 годах за 2 года реализации проекта обеспечена положительная динамика следующих показателей: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доля безналичных расчетов в общем объеме операций с использованием банковских карт – увеличение с 24% до 34,4%; 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доля граждан, выплата пенсий и иные социальные выплаты которым осуществляются безналичным способом – увеличение с 36% до 46,2%;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доля кредитных организаций, принимающих участие в доставке пенсий и иных социальных выплат безналичным способом – увеличение с 59% до 74,2%;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доля платежей за услуги в сфере жилищно-коммунального хозяйства, принятых безналичным способом – увеличение с 40% до 73%;</w:t>
      </w:r>
    </w:p>
    <w:p w:rsidR="00C734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доля платежей за проезд на общественном транспорте принятых безналичным способом – увеличение с 55% до 72%.</w:t>
      </w:r>
    </w:p>
    <w:p w:rsidR="00C73455" w:rsidRDefault="00C73455" w:rsidP="00C73455"/>
    <w:p w:rsidR="00C73455" w:rsidRDefault="00C73455" w:rsidP="00C73455"/>
    <w:p w:rsidR="004D5208" w:rsidRDefault="004D5208"/>
    <w:sectPr w:rsidR="004D5208" w:rsidSect="00CC647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7532B"/>
    <w:multiLevelType w:val="hybridMultilevel"/>
    <w:tmpl w:val="B63CCE4E"/>
    <w:lvl w:ilvl="0" w:tplc="E2069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455"/>
    <w:rsid w:val="00073693"/>
    <w:rsid w:val="004D5208"/>
    <w:rsid w:val="00C7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455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45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455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45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2242</Words>
  <Characters>12786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Андреева</dc:creator>
  <cp:lastModifiedBy>Татьяна Андреева</cp:lastModifiedBy>
  <cp:revision>2</cp:revision>
  <dcterms:created xsi:type="dcterms:W3CDTF">2020-04-23T08:00:00Z</dcterms:created>
  <dcterms:modified xsi:type="dcterms:W3CDTF">2020-04-23T08:00:00Z</dcterms:modified>
</cp:coreProperties>
</file>