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CD" w:rsidRDefault="007B17CD">
      <w:pPr>
        <w:pStyle w:val="ConsPlusTitle"/>
        <w:jc w:val="center"/>
        <w:outlineLvl w:val="0"/>
      </w:pPr>
    </w:p>
    <w:p w:rsidR="007B17CD" w:rsidRDefault="007B17CD">
      <w:pPr>
        <w:pStyle w:val="ConsPlusTitle"/>
        <w:jc w:val="center"/>
        <w:outlineLvl w:val="0"/>
      </w:pPr>
      <w:r>
        <w:t>К</w:t>
      </w:r>
      <w:bookmarkStart w:id="0" w:name="_GoBack"/>
      <w:bookmarkEnd w:id="0"/>
      <w:r>
        <w:t>АБИНЕТ МИНИСТРОВ ЧУВАШСКОЙ РЕСПУБЛИКИ</w:t>
      </w:r>
    </w:p>
    <w:p w:rsidR="007B17CD" w:rsidRDefault="007B17CD">
      <w:pPr>
        <w:pStyle w:val="ConsPlusTitle"/>
        <w:jc w:val="center"/>
      </w:pPr>
    </w:p>
    <w:p w:rsidR="007B17CD" w:rsidRDefault="007B17CD">
      <w:pPr>
        <w:pStyle w:val="ConsPlusTitle"/>
        <w:jc w:val="center"/>
      </w:pPr>
      <w:r>
        <w:t>ПОСТАНОВЛЕНИЕ</w:t>
      </w:r>
    </w:p>
    <w:p w:rsidR="007B17CD" w:rsidRDefault="007B17CD">
      <w:pPr>
        <w:pStyle w:val="ConsPlusTitle"/>
        <w:jc w:val="center"/>
      </w:pPr>
      <w:r>
        <w:t>от 29 января 2015 г. N 18</w:t>
      </w:r>
    </w:p>
    <w:p w:rsidR="007B17CD" w:rsidRDefault="007B17CD">
      <w:pPr>
        <w:pStyle w:val="ConsPlusTitle"/>
        <w:jc w:val="center"/>
      </w:pPr>
    </w:p>
    <w:p w:rsidR="007B17CD" w:rsidRDefault="007B17CD">
      <w:pPr>
        <w:pStyle w:val="ConsPlusTitle"/>
        <w:jc w:val="center"/>
      </w:pPr>
      <w:r>
        <w:t>ОБ УТВЕРЖДЕНИИ ПОРЯДКА ПРОВЕДЕНИЯ ПРОВЕРКИ ГОДОВОГО ОТЧЕТА</w:t>
      </w:r>
    </w:p>
    <w:p w:rsidR="007B17CD" w:rsidRDefault="007B17CD">
      <w:pPr>
        <w:pStyle w:val="ConsPlusTitle"/>
        <w:jc w:val="center"/>
      </w:pPr>
      <w:r>
        <w:t>ОБ ИСПОЛНЕНИИ МЕСТНОГО БЮДЖЕТА МИНИСТЕРСТВОМ ФИНАНСОВ</w:t>
      </w:r>
    </w:p>
    <w:p w:rsidR="007B17CD" w:rsidRDefault="007B17CD">
      <w:pPr>
        <w:pStyle w:val="ConsPlusTitle"/>
        <w:jc w:val="center"/>
      </w:pPr>
      <w:r>
        <w:t>ЧУВАШСКОЙ РЕСПУБЛИКИ</w:t>
      </w:r>
    </w:p>
    <w:p w:rsidR="007B17CD" w:rsidRDefault="007B17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17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17CD" w:rsidRDefault="007B17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17CD" w:rsidRDefault="007B17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13.11.2019 N 462)</w:t>
            </w:r>
          </w:p>
        </w:tc>
      </w:tr>
    </w:tbl>
    <w:p w:rsidR="007B17CD" w:rsidRDefault="007B17CD">
      <w:pPr>
        <w:pStyle w:val="ConsPlusNormal"/>
        <w:jc w:val="both"/>
      </w:pPr>
    </w:p>
    <w:p w:rsidR="007B17CD" w:rsidRDefault="007B17C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3 пункта 4 статьи 136</w:t>
        </w:r>
      </w:hyperlink>
      <w:r>
        <w:t xml:space="preserve"> Бюджетного кодекса Российской Федерации Кабинет Министров Чувашской Республики постановляет: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проверки годового отчета об исполнении местного бюджета Министерством финансов Чувашской Республики.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7B17CD" w:rsidRDefault="007B17CD">
      <w:pPr>
        <w:pStyle w:val="ConsPlusNormal"/>
        <w:jc w:val="both"/>
      </w:pPr>
    </w:p>
    <w:p w:rsidR="007B17CD" w:rsidRDefault="007B17CD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 Кабинета Министров</w:t>
      </w:r>
    </w:p>
    <w:p w:rsidR="007B17CD" w:rsidRDefault="007B17CD">
      <w:pPr>
        <w:pStyle w:val="ConsPlusNormal"/>
        <w:jc w:val="right"/>
      </w:pPr>
      <w:r>
        <w:t>Чувашской Республики</w:t>
      </w:r>
    </w:p>
    <w:p w:rsidR="007B17CD" w:rsidRDefault="007B17CD">
      <w:pPr>
        <w:pStyle w:val="ConsPlusNormal"/>
        <w:jc w:val="right"/>
      </w:pPr>
      <w:r>
        <w:t>О.МАРКОВ</w:t>
      </w:r>
    </w:p>
    <w:p w:rsidR="007B17CD" w:rsidRDefault="007B17CD">
      <w:pPr>
        <w:pStyle w:val="ConsPlusNormal"/>
        <w:jc w:val="both"/>
      </w:pPr>
    </w:p>
    <w:p w:rsidR="007B17CD" w:rsidRDefault="007B17CD">
      <w:pPr>
        <w:pStyle w:val="ConsPlusNormal"/>
        <w:jc w:val="both"/>
      </w:pPr>
    </w:p>
    <w:p w:rsidR="007B17CD" w:rsidRDefault="007B17CD">
      <w:pPr>
        <w:pStyle w:val="ConsPlusNormal"/>
        <w:jc w:val="both"/>
      </w:pPr>
    </w:p>
    <w:p w:rsidR="007B17CD" w:rsidRDefault="007B17CD">
      <w:pPr>
        <w:pStyle w:val="ConsPlusNormal"/>
        <w:jc w:val="both"/>
      </w:pPr>
    </w:p>
    <w:p w:rsidR="007B17CD" w:rsidRDefault="007B17CD">
      <w:pPr>
        <w:pStyle w:val="ConsPlusNormal"/>
        <w:jc w:val="both"/>
      </w:pPr>
    </w:p>
    <w:p w:rsidR="007B17CD" w:rsidRDefault="007B17CD">
      <w:pPr>
        <w:pStyle w:val="ConsPlusNormal"/>
        <w:jc w:val="right"/>
        <w:outlineLvl w:val="0"/>
      </w:pPr>
      <w:r>
        <w:t>Утвержден</w:t>
      </w:r>
    </w:p>
    <w:p w:rsidR="007B17CD" w:rsidRDefault="007B17CD">
      <w:pPr>
        <w:pStyle w:val="ConsPlusNormal"/>
        <w:jc w:val="right"/>
      </w:pPr>
      <w:r>
        <w:t>постановлением</w:t>
      </w:r>
    </w:p>
    <w:p w:rsidR="007B17CD" w:rsidRDefault="007B17CD">
      <w:pPr>
        <w:pStyle w:val="ConsPlusNormal"/>
        <w:jc w:val="right"/>
      </w:pPr>
      <w:r>
        <w:t>Кабинета Министров</w:t>
      </w:r>
    </w:p>
    <w:p w:rsidR="007B17CD" w:rsidRDefault="007B17CD">
      <w:pPr>
        <w:pStyle w:val="ConsPlusNormal"/>
        <w:jc w:val="right"/>
      </w:pPr>
      <w:r>
        <w:t>Чувашской Республики</w:t>
      </w:r>
    </w:p>
    <w:p w:rsidR="007B17CD" w:rsidRDefault="007B17CD">
      <w:pPr>
        <w:pStyle w:val="ConsPlusNormal"/>
        <w:jc w:val="right"/>
      </w:pPr>
      <w:r>
        <w:t>от 29.01.2015 N 18</w:t>
      </w:r>
    </w:p>
    <w:p w:rsidR="007B17CD" w:rsidRDefault="007B17CD">
      <w:pPr>
        <w:pStyle w:val="ConsPlusNormal"/>
        <w:jc w:val="both"/>
      </w:pPr>
    </w:p>
    <w:p w:rsidR="007B17CD" w:rsidRDefault="007B17CD">
      <w:pPr>
        <w:pStyle w:val="ConsPlusTitle"/>
        <w:jc w:val="center"/>
      </w:pPr>
      <w:bookmarkStart w:id="1" w:name="P30"/>
      <w:bookmarkEnd w:id="1"/>
      <w:r>
        <w:t>ПОРЯДОК</w:t>
      </w:r>
    </w:p>
    <w:p w:rsidR="007B17CD" w:rsidRDefault="007B17CD">
      <w:pPr>
        <w:pStyle w:val="ConsPlusTitle"/>
        <w:jc w:val="center"/>
      </w:pPr>
      <w:r>
        <w:t>ПРОВЕДЕНИЯ ПРОВЕРКИ ГОДОВОГО ОТЧЕТА ОБ ИСПОЛНЕНИИ МЕСТНОГО</w:t>
      </w:r>
    </w:p>
    <w:p w:rsidR="007B17CD" w:rsidRDefault="007B17CD">
      <w:pPr>
        <w:pStyle w:val="ConsPlusTitle"/>
        <w:jc w:val="center"/>
      </w:pPr>
      <w:r>
        <w:t>БЮДЖЕТА МИНИСТЕРСТВОМ ФИНАНСОВ ЧУВАШСКОЙ РЕСПУБЛИКИ</w:t>
      </w:r>
    </w:p>
    <w:p w:rsidR="007B17CD" w:rsidRDefault="007B17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17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17CD" w:rsidRDefault="007B17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17CD" w:rsidRDefault="007B17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13.11.2019 N 462)</w:t>
            </w:r>
          </w:p>
        </w:tc>
      </w:tr>
    </w:tbl>
    <w:p w:rsidR="007B17CD" w:rsidRDefault="007B17CD">
      <w:pPr>
        <w:pStyle w:val="ConsPlusNormal"/>
        <w:jc w:val="both"/>
      </w:pPr>
    </w:p>
    <w:p w:rsidR="007B17CD" w:rsidRDefault="007B17CD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8" w:history="1">
        <w:r>
          <w:rPr>
            <w:color w:val="0000FF"/>
          </w:rPr>
          <w:t>подпунктом 3 пункта 4 статьи 136</w:t>
        </w:r>
      </w:hyperlink>
      <w:r>
        <w:t xml:space="preserve"> Бюджетного кодекса Российской Федерации и устанавливает порядок проведения Министерством финансов Чувашской Республики (далее - Министерство) проверки годового отчета об исполнении бюджета муниципального образования Чувашской Республики (далее соответственно - проверка, местный бюджет, муниципальное образование).</w:t>
      </w:r>
    </w:p>
    <w:p w:rsidR="007B17CD" w:rsidRDefault="007B17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13.11.2019 N 462)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>2. Целями проверки являются: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lastRenderedPageBreak/>
        <w:t>определение достоверности показателей годового отчета об исполнении местного бюджета за отчетный финансовый год, документов и материалов, представляемых одновременно с ним;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>определение соответствия организации исполнения местного бюджета требованиям бюджетного законодательства Российской Федерации и иным нормативным правовым актам, регулирующим бюджетные правоотношения;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13.11.2019 N 462.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>3. Проверка проводится в отношении финансовых органов муниципальных образований и главных администраторов средств местного бюджета (далее - объект проверки).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 xml:space="preserve">4. Проверка осуществляется на основании плана контрольных мероприятий Министерства (далее - план), утверждаемого министром финансов Чувашской Республики не позднее 31 декабря текущего календарного года, и перечня муниципальных образований, утвержденного Министерством в соответствии с </w:t>
      </w:r>
      <w:hyperlink r:id="rId11" w:history="1">
        <w:r>
          <w:rPr>
            <w:color w:val="0000FF"/>
          </w:rPr>
          <w:t>абзацем пятым пункта 5 статьи 136</w:t>
        </w:r>
      </w:hyperlink>
      <w:r>
        <w:t xml:space="preserve"> Бюджетного кодекса Российской Федерации.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>5. Периодичность проведения проверок составляет не реже одного раза в два года.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>6. Проверки проводятся в виде камеральных и выездных, в том числе встречных, проверок, проводимых для установления и (или) подтверждения фактов, связанных с деятельностью объекта проверки.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>7. Решение о назначении проверки принимается министром финансов Чувашской Республики или уполномоченным им должностным лицом на основании плана и оформляется приказом Министерства о назначении проверки, в котором указываются основание проведения проверки, наименование объекта (объектов) проверки, тема проверки, проверяемый период, должностное лицо, уполномоченное на проведение проверки, срок проведения проверки.</w:t>
      </w:r>
    </w:p>
    <w:p w:rsidR="007B17CD" w:rsidRDefault="007B17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13.11.2019 N 462)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>В случае проведения проверки несколькими должностными лицами в приказе Министерства о назначении проверки указывается должностное лицо, осуществляющее руководство.</w:t>
      </w:r>
    </w:p>
    <w:p w:rsidR="007B17CD" w:rsidRDefault="007B17C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13.11.2019 N 462)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>8. В ходе проверки проводятся: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>проверочные действия в отношении объекта проверки по документальному изучению финансовых, бухгалтерских, отчетных документов, документов о планировании и осуществлении закупок и иных документов объекта проверки (далее - документы объекта проверки);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>анализ и оценка информации, полученной из документов объекта проверки, устных и письменных объяснений, справок и сведений, полученных от должностных, материально ответственных и иных лиц объекта проверки.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>9. В ходе проверки осуществляется изучение следующих документов: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>а) годовой отчет об исполнении местного бюджета;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>б) документы, подтверждающие исполнение решения о местном бюджете главными администраторами средств местного бюджета;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>в) нормативные правовые акты, регламентирующие процесс исполнения местного бюджета;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>г) сводная бюджетная роспись местного бюджета;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lastRenderedPageBreak/>
        <w:t>д) реестр расходных обязательств муниципального образования и реестры расходных обязатель</w:t>
      </w:r>
      <w:proofErr w:type="gramStart"/>
      <w:r>
        <w:t>ств гл</w:t>
      </w:r>
      <w:proofErr w:type="gramEnd"/>
      <w:r>
        <w:t>авных администраторов средств местного бюджета;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>е) первичные документы, подтверждающие операции на счетах по учету доходов, расходов и источников финансирования дефицита местного бюджета, регистры бюджетного учета, документы, являющиеся основанием для постановки на учет и регистрации долговых обязательств муниципального образования;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>ж) годовая бюджетная отчетность главного администратора средств местного бюджета;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>з) иная финансовая отчетность, предусмотренная нормативными правовыми актами муниципального образования.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>10. Результаты проверки оформляются актом проверки в срок не позднее последнего дня срока проведения камеральной проверки и в течение 3 рабочих дней со дня окончания срока проведения выездной проверки, в двух экземплярах, по одному экземпляру для Министерства и объекта проверки.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 xml:space="preserve">11. Заключительная часть акта проверки должна содержать вывод о достоверности (недостоверности) годового отчета об исполнении местного бюджета за отчетный (предшествующий </w:t>
      </w:r>
      <w:proofErr w:type="gramStart"/>
      <w:r>
        <w:t>отчетному</w:t>
      </w:r>
      <w:proofErr w:type="gramEnd"/>
      <w:r>
        <w:t>) финансовый год.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>Кроме того, в заключительной части приводятся результаты проверки, подтверждающие: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>а) соответствие (несоответствие) нормативных правовых актов муниципального образования (правовых актов главных администраторов средств местного бюджета), регулирующих вопросы организации бюджетного процесса в муниципальном образовании, требованиям бюджетного законодательства Российской Федерации и иным нормативным правовым актам, регулирующим бюджетные правоотношения;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13.11.2019 N 462;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 xml:space="preserve">в) соответствие (несоответствие) показателей бюджетной отчетности главных администраторов средств местного бюджета показателям годового отчета об исполнении местного бюджета за отчетный (предшествующий </w:t>
      </w:r>
      <w:proofErr w:type="gramStart"/>
      <w:r>
        <w:t>отчетному</w:t>
      </w:r>
      <w:proofErr w:type="gramEnd"/>
      <w:r>
        <w:t>) финансовый год;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 xml:space="preserve">г) отклонения годового отчета об исполнении местного бюджета за отчетный (предшествующий </w:t>
      </w:r>
      <w:proofErr w:type="gramStart"/>
      <w:r>
        <w:t>отчетному</w:t>
      </w:r>
      <w:proofErr w:type="gramEnd"/>
      <w:r>
        <w:t>) финансовый год от установленных показателей местного бюджета (при наличии).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>12. В случаях выявления бюджетных нарушений Министерством объекту проверки направляются представления и (или) предписания.</w:t>
      </w:r>
    </w:p>
    <w:p w:rsidR="007B17CD" w:rsidRDefault="007B17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13.11.2019 N 462)</w:t>
      </w:r>
    </w:p>
    <w:p w:rsidR="007B17CD" w:rsidRDefault="007B17CD">
      <w:pPr>
        <w:pStyle w:val="ConsPlusNormal"/>
        <w:spacing w:before="220"/>
        <w:ind w:firstLine="540"/>
        <w:jc w:val="both"/>
      </w:pPr>
      <w:r>
        <w:t>13. В случае если при проведении проверки были выявлены нарушения, содержащие признаки административных правонарушений, Министерством осуществляется производство по делам об административных правонарушениях в соответствии с законодательством Российской Федерации об административных правонарушениях.</w:t>
      </w:r>
    </w:p>
    <w:p w:rsidR="007B17CD" w:rsidRDefault="007B17CD">
      <w:pPr>
        <w:pStyle w:val="ConsPlusNormal"/>
        <w:jc w:val="both"/>
      </w:pPr>
    </w:p>
    <w:p w:rsidR="007B17CD" w:rsidRDefault="007B17CD">
      <w:pPr>
        <w:pStyle w:val="ConsPlusNormal"/>
        <w:jc w:val="both"/>
      </w:pPr>
    </w:p>
    <w:p w:rsidR="007B17CD" w:rsidRDefault="007B17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3D0" w:rsidRDefault="007B17CD"/>
    <w:sectPr w:rsidR="00C703D0" w:rsidSect="00AD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CD"/>
    <w:rsid w:val="007B17CD"/>
    <w:rsid w:val="00B82CC7"/>
    <w:rsid w:val="00C3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E9163F2185F0BD6EE0ACAFCA7BB6E1E2363130EC8B948E038B15CBBFF32EDC8BF582B31DD5B43CBB9F41713C33BAFE9766FCCE789UAS2G" TargetMode="External"/><Relationship Id="rId13" Type="http://schemas.openxmlformats.org/officeDocument/2006/relationships/hyperlink" Target="consultantplus://offline/ref=B49E9163F2185F0BD6EE14C7EACBE56A152A3A170AC1BB1BB46BB70BE4AF34B888FF5E7C749854499FE8B0431FCA67E0AD227CCCEF95A2586CC0F602UDS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9E9163F2185F0BD6EE14C7EACBE56A152A3A170AC1BB1BB46BB70BE4AF34B888FF5E7C749854499FE8B04219CA67E0AD227CCCEF95A2586CC0F602UDS1G" TargetMode="External"/><Relationship Id="rId12" Type="http://schemas.openxmlformats.org/officeDocument/2006/relationships/hyperlink" Target="consultantplus://offline/ref=B49E9163F2185F0BD6EE14C7EACBE56A152A3A170AC1BB1BB46BB70BE4AF34B888FF5E7C749854499FE8B0431FCA67E0AD227CCCEF95A2586CC0F602UDS1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E9163F2185F0BD6EE0ACAFCA7BB6E1E2363130EC8B948E038B15CBBFF32EDC8BF582B31DD5B43CBB9F41713C33BAFE9766FCCE789UAS2G" TargetMode="External"/><Relationship Id="rId11" Type="http://schemas.openxmlformats.org/officeDocument/2006/relationships/hyperlink" Target="consultantplus://offline/ref=B49E9163F2185F0BD6EE0ACAFCA7BB6E1E2363130EC8B948E038B15CBBFF32EDC8BF582B34D55D43CBB9F41713C33BAFE9766FCCE789UAS2G" TargetMode="External"/><Relationship Id="rId5" Type="http://schemas.openxmlformats.org/officeDocument/2006/relationships/hyperlink" Target="consultantplus://offline/ref=B49E9163F2185F0BD6EE14C7EACBE56A152A3A170AC1BB1BB46BB70BE4AF34B888FF5E7C749854499FE8B04218CA67E0AD227CCCEF95A2586CC0F602UDS1G" TargetMode="External"/><Relationship Id="rId15" Type="http://schemas.openxmlformats.org/officeDocument/2006/relationships/hyperlink" Target="consultantplus://offline/ref=B49E9163F2185F0BD6EE14C7EACBE56A152A3A170AC1BB1BB46BB70BE4AF34B888FF5E7C749854499FE8B0431DCA67E0AD227CCCEF95A2586CC0F602UDS1G" TargetMode="External"/><Relationship Id="rId10" Type="http://schemas.openxmlformats.org/officeDocument/2006/relationships/hyperlink" Target="consultantplus://offline/ref=B49E9163F2185F0BD6EE14C7EACBE56A152A3A170AC1BB1BB46BB70BE4AF34B888FF5E7C749854499FE8B0431ECA67E0AD227CCCEF95A2586CC0F602UDS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9E9163F2185F0BD6EE14C7EACBE56A152A3A170AC1BB1BB46BB70BE4AF34B888FF5E7C749854499FE8B04216CA67E0AD227CCCEF95A2586CC0F602UDS1G" TargetMode="External"/><Relationship Id="rId14" Type="http://schemas.openxmlformats.org/officeDocument/2006/relationships/hyperlink" Target="consultantplus://offline/ref=B49E9163F2185F0BD6EE14C7EACBE56A152A3A170AC1BB1BB46BB70BE4AF34B888FF5E7C749854499FE8B0431CCA67E0AD227CCCEF95A2586CC0F602UDS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Идиятуллина Вероника Владимировна</dc:creator>
  <cp:lastModifiedBy>Идиятуллина Вероника Владимировна</cp:lastModifiedBy>
  <cp:revision>1</cp:revision>
  <dcterms:created xsi:type="dcterms:W3CDTF">2020-01-28T06:18:00Z</dcterms:created>
  <dcterms:modified xsi:type="dcterms:W3CDTF">2020-01-28T06:18:00Z</dcterms:modified>
</cp:coreProperties>
</file>