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7D" w:rsidRDefault="0076317D" w:rsidP="007631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Информация </w:t>
      </w:r>
      <w:proofErr w:type="gramStart"/>
      <w:r>
        <w:rPr>
          <w:b/>
          <w:bCs/>
        </w:rPr>
        <w:t>по организации работы по развитию заправочной инфраструктуры компримированного природного газа в Чувашской Республике по переоборудованию транспортных средств на метан</w:t>
      </w:r>
      <w:proofErr w:type="gramEnd"/>
      <w:r>
        <w:rPr>
          <w:b/>
          <w:bCs/>
        </w:rPr>
        <w:t xml:space="preserve"> </w:t>
      </w:r>
    </w:p>
    <w:p w:rsidR="0076317D" w:rsidRDefault="0076317D" w:rsidP="0076317D">
      <w:pPr>
        <w:jc w:val="center"/>
        <w:rPr>
          <w:b/>
          <w:bCs/>
        </w:rPr>
      </w:pPr>
      <w:r>
        <w:rPr>
          <w:b/>
          <w:bCs/>
        </w:rPr>
        <w:t>в 2020 году</w:t>
      </w:r>
    </w:p>
    <w:p w:rsidR="00B06DCF" w:rsidRPr="0076317D" w:rsidRDefault="00B06DCF" w:rsidP="0076317D">
      <w:pPr>
        <w:ind w:firstLine="708"/>
        <w:jc w:val="both"/>
        <w:rPr>
          <w:bCs/>
        </w:rPr>
      </w:pPr>
      <w:r w:rsidRPr="0076317D">
        <w:rPr>
          <w:bCs/>
        </w:rPr>
        <w:t xml:space="preserve">В соответствии с Постановлением Правительства Российской Федерации от  11 декабря 2019 г. N 1641 «О внесении изменений в государственную программу Российской Федерации «Развитие энергетики» и об утверждении перечня  субъектов Российской Федерации. </w:t>
      </w:r>
      <w:proofErr w:type="gramStart"/>
      <w:r w:rsidRPr="0076317D">
        <w:rPr>
          <w:bCs/>
        </w:rPr>
        <w:t xml:space="preserve">В которых формирование заправочной инфраструктуры компримированного природного газа (метана) осуществляется в первоочередном порядке»  утверждены  изменения в части утверждения правил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76317D">
        <w:rPr>
          <w:bCs/>
        </w:rPr>
        <w:t>софинансирования</w:t>
      </w:r>
      <w:proofErr w:type="spellEnd"/>
      <w:r w:rsidRPr="0076317D">
        <w:rPr>
          <w:bCs/>
        </w:rP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 и правил предоставления и распределения субсидий из федерального бюджета бюджетам субъектов Российской Федерации в</w:t>
      </w:r>
      <w:proofErr w:type="gramEnd"/>
      <w:r w:rsidRPr="0076317D">
        <w:rPr>
          <w:bCs/>
        </w:rPr>
        <w:t xml:space="preserve"> </w:t>
      </w:r>
      <w:proofErr w:type="gramStart"/>
      <w:r w:rsidRPr="0076317D">
        <w:rPr>
          <w:bCs/>
        </w:rPr>
        <w:t>целях</w:t>
      </w:r>
      <w:proofErr w:type="gramEnd"/>
      <w:r w:rsidRPr="0076317D">
        <w:rPr>
          <w:bCs/>
        </w:rPr>
        <w:t xml:space="preserve"> </w:t>
      </w:r>
      <w:proofErr w:type="spellStart"/>
      <w:r w:rsidRPr="0076317D">
        <w:rPr>
          <w:bCs/>
        </w:rPr>
        <w:t>софинансирования</w:t>
      </w:r>
      <w:proofErr w:type="spellEnd"/>
      <w:r w:rsidRPr="0076317D">
        <w:rPr>
          <w:bCs/>
        </w:rPr>
        <w:t xml:space="preserve">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топлива. </w:t>
      </w:r>
    </w:p>
    <w:p w:rsidR="00B06DCF" w:rsidRPr="00B06DCF" w:rsidRDefault="00B06DCF" w:rsidP="0076317D">
      <w:pPr>
        <w:ind w:firstLine="708"/>
        <w:jc w:val="both"/>
      </w:pPr>
      <w:r>
        <w:t xml:space="preserve">Министерство транспорта и дорожного хозяйства Чувашской Республики, как  уполномоченный орган ответственный за развитие рынка газомоторного топлива в Чувашской Республике ведет работу с инвесторами по строительству АГНКС в республике и по переоборудованию транспортных средств на метан.   В 2020 году необходимо построить 3 АГНКС и переоборудовать 595 транспортных средств.  </w:t>
      </w:r>
    </w:p>
    <w:p w:rsidR="00B06DCF" w:rsidRDefault="00746113" w:rsidP="0076317D">
      <w:pPr>
        <w:ind w:firstLine="708"/>
        <w:jc w:val="both"/>
      </w:pPr>
      <w:bookmarkStart w:id="0" w:name="_GoBack"/>
      <w:r>
        <w:t xml:space="preserve">На указанные мероприятия по развитию заправочной инфраструктуры </w:t>
      </w:r>
      <w:proofErr w:type="gramStart"/>
      <w:r>
        <w:t>предусмотрены субсидии в 2020 году предусмотрены</w:t>
      </w:r>
      <w:proofErr w:type="gramEnd"/>
      <w:r>
        <w:t xml:space="preserve"> субсидии в размере 120 млн. рублей</w:t>
      </w:r>
      <w:r w:rsidRPr="00746113">
        <w:t xml:space="preserve"> </w:t>
      </w:r>
      <w:r>
        <w:t>(</w:t>
      </w:r>
      <w:r w:rsidRPr="00B06DCF">
        <w:t>не более 40 млн. рублей</w:t>
      </w:r>
      <w:r>
        <w:t xml:space="preserve"> на строительство 1 АГНКС).  </w:t>
      </w:r>
    </w:p>
    <w:bookmarkEnd w:id="0"/>
    <w:p w:rsidR="00746113" w:rsidRPr="00B06DCF" w:rsidRDefault="00746113" w:rsidP="0076317D">
      <w:pPr>
        <w:ind w:firstLine="708"/>
      </w:pPr>
      <w:r>
        <w:t xml:space="preserve">На мероприятия по переоборудованию транспортных средств  на метан </w:t>
      </w:r>
      <w:r w:rsidR="0076317D">
        <w:t xml:space="preserve">в 2020 году предусмотрено субсидий в размере </w:t>
      </w:r>
      <w:r>
        <w:t>20</w:t>
      </w:r>
      <w:r w:rsidR="00AB1342">
        <w:t> </w:t>
      </w:r>
      <w:r>
        <w:t>680</w:t>
      </w:r>
      <w:r w:rsidR="00AB1342">
        <w:t>, 0 тыс.</w:t>
      </w:r>
      <w:r>
        <w:t xml:space="preserve"> рублей</w:t>
      </w:r>
      <w:r w:rsidR="00622B16">
        <w:t xml:space="preserve">. </w:t>
      </w:r>
    </w:p>
    <w:p w:rsidR="00622B16" w:rsidRDefault="00622B16" w:rsidP="0076317D">
      <w:pPr>
        <w:jc w:val="both"/>
      </w:pPr>
      <w:r>
        <w:t xml:space="preserve">Требования к объектам заправки транспортных </w:t>
      </w:r>
      <w:proofErr w:type="gramStart"/>
      <w:r>
        <w:t>средств</w:t>
      </w:r>
      <w:proofErr w:type="gramEnd"/>
      <w:r>
        <w:t xml:space="preserve">  компримированным природным  газом:</w:t>
      </w:r>
    </w:p>
    <w:p w:rsidR="00B06DCF" w:rsidRPr="00B06DCF" w:rsidRDefault="00B06DCF" w:rsidP="0076317D">
      <w:pPr>
        <w:jc w:val="both"/>
      </w:pPr>
      <w:r w:rsidRPr="00B06DCF">
        <w:t xml:space="preserve">1. Суммарная выходная мощность компрессорного оборудования на верхней границе диапазона входного давления и (или) </w:t>
      </w:r>
      <w:proofErr w:type="spellStart"/>
      <w:r w:rsidRPr="00B06DCF">
        <w:t>регазификационного</w:t>
      </w:r>
      <w:proofErr w:type="spellEnd"/>
      <w:r w:rsidRPr="00B06DCF">
        <w:t xml:space="preserve"> оборудования объекта заправки транспортных средств компримированным природным газом (далее - объект заправки) не менее 500 м</w:t>
      </w:r>
      <w:r w:rsidRPr="00B06DCF">
        <w:rPr>
          <w:vertAlign w:val="superscript"/>
        </w:rPr>
        <w:t>3</w:t>
      </w:r>
      <w:r w:rsidRPr="00B06DCF">
        <w:t>/ч.</w:t>
      </w:r>
    </w:p>
    <w:p w:rsidR="00B06DCF" w:rsidRPr="00B06DCF" w:rsidRDefault="00B06DCF" w:rsidP="0076317D">
      <w:pPr>
        <w:jc w:val="both"/>
      </w:pPr>
      <w:r w:rsidRPr="00B06DCF">
        <w:t>2. Количество постов заправки компримированным природным газом (пистолетов) на объекте заправки не менее 4.</w:t>
      </w:r>
    </w:p>
    <w:p w:rsidR="00B06DCF" w:rsidRPr="00B06DCF" w:rsidRDefault="00B06DCF" w:rsidP="0076317D">
      <w:pPr>
        <w:jc w:val="both"/>
      </w:pPr>
      <w:r w:rsidRPr="00B06DCF">
        <w:t>3. Общий объем блоков аккумуляторов газа на объекте заправки не менее 2000 литров (в случае указанной в пункте 1 настоящих требований мощности объекта заправки не менее 1000 м</w:t>
      </w:r>
      <w:r w:rsidRPr="00B06DCF">
        <w:rPr>
          <w:vertAlign w:val="superscript"/>
        </w:rPr>
        <w:t>3</w:t>
      </w:r>
      <w:r w:rsidRPr="00B06DCF">
        <w:t>/ч - не менее 1000 литров).</w:t>
      </w:r>
    </w:p>
    <w:p w:rsidR="00B06DCF" w:rsidRPr="00B06DCF" w:rsidRDefault="00B06DCF" w:rsidP="0076317D">
      <w:pPr>
        <w:jc w:val="both"/>
      </w:pPr>
      <w:r w:rsidRPr="00B06DCF">
        <w:t xml:space="preserve">4. В случае строительства объекта заправки в виде </w:t>
      </w:r>
      <w:proofErr w:type="spellStart"/>
      <w:r w:rsidRPr="00B06DCF">
        <w:t>криоАЗС</w:t>
      </w:r>
      <w:proofErr w:type="spellEnd"/>
      <w:r w:rsidRPr="00B06DCF">
        <w:t xml:space="preserve"> - объем криогенных резервуаров не менее 50 м</w:t>
      </w:r>
      <w:r w:rsidRPr="00B06DCF">
        <w:rPr>
          <w:vertAlign w:val="superscript"/>
        </w:rPr>
        <w:t>3</w:t>
      </w:r>
      <w:r w:rsidRPr="00B06DCF">
        <w:t>.</w:t>
      </w:r>
    </w:p>
    <w:p w:rsidR="00B06DCF" w:rsidRPr="00B06DCF" w:rsidRDefault="00B06DCF" w:rsidP="0076317D">
      <w:pPr>
        <w:jc w:val="both"/>
      </w:pPr>
      <w:r w:rsidRPr="00B06DCF">
        <w:t xml:space="preserve">5. </w:t>
      </w:r>
      <w:proofErr w:type="gramStart"/>
      <w:r w:rsidRPr="00B06DCF">
        <w:t xml:space="preserve">Оборудование (узлы учета и блоки входных кранов, блоки осушки (очистки), </w:t>
      </w:r>
      <w:proofErr w:type="spellStart"/>
      <w:r w:rsidRPr="00B06DCF">
        <w:t>газосборники</w:t>
      </w:r>
      <w:proofErr w:type="spellEnd"/>
      <w:r w:rsidRPr="00B06DCF">
        <w:t xml:space="preserve">, компрессоры, системы управления компрессорами, системы охлаждения, панели приоритетов, газовые баллоны, газораздаточные колонки, криогенные резервуары, </w:t>
      </w:r>
      <w:proofErr w:type="spellStart"/>
      <w:r w:rsidRPr="00B06DCF">
        <w:t>регазификаторы</w:t>
      </w:r>
      <w:proofErr w:type="spellEnd"/>
      <w:r w:rsidRPr="00B06DCF">
        <w:t>, регулирующая и запорная арматура) - новое (ранее не бывшее в употреблении).</w:t>
      </w:r>
      <w:proofErr w:type="gramEnd"/>
    </w:p>
    <w:p w:rsidR="00622B16" w:rsidRDefault="00622B16" w:rsidP="0076317D">
      <w:pPr>
        <w:ind w:firstLine="708"/>
        <w:jc w:val="both"/>
      </w:pPr>
      <w:r>
        <w:t>Минимальные квалификационные и иные требования, предъявляемые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топлива:</w:t>
      </w:r>
    </w:p>
    <w:p w:rsidR="00B06DCF" w:rsidRPr="00B06DCF" w:rsidRDefault="00B06DCF" w:rsidP="0076317D">
      <w:pPr>
        <w:jc w:val="both"/>
      </w:pPr>
      <w:r w:rsidRPr="00B06DCF">
        <w:lastRenderedPageBreak/>
        <w:t>1. В части материально-технической базы 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 (далее соответственно - переоборудование, лица, выполняющие переоборудование):</w:t>
      </w:r>
    </w:p>
    <w:p w:rsidR="00B06DCF" w:rsidRPr="00B06DCF" w:rsidRDefault="00B06DCF" w:rsidP="0076317D">
      <w:pPr>
        <w:jc w:val="both"/>
      </w:pPr>
      <w:r w:rsidRPr="00B06DCF">
        <w:t>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B06DCF" w:rsidRPr="00B06DCF" w:rsidRDefault="00B06DCF" w:rsidP="0076317D">
      <w:pPr>
        <w:jc w:val="both"/>
      </w:pPr>
      <w:r w:rsidRPr="00B06DCF">
        <w:t>наличие накопительной площадки для не менее 3 легковых транспортных средств и наличие клиентской зоны площадью не менее 10 м</w:t>
      </w:r>
      <w:proofErr w:type="gramStart"/>
      <w:r w:rsidRPr="00B06DCF">
        <w:rPr>
          <w:vertAlign w:val="superscript"/>
        </w:rPr>
        <w:t>2</w:t>
      </w:r>
      <w:proofErr w:type="gramEnd"/>
      <w:r w:rsidRPr="00B06DCF">
        <w:t>.</w:t>
      </w:r>
    </w:p>
    <w:p w:rsidR="00B06DCF" w:rsidRPr="00B06DCF" w:rsidRDefault="00B06DCF" w:rsidP="0076317D">
      <w:pPr>
        <w:jc w:val="both"/>
      </w:pPr>
      <w:r w:rsidRPr="00B06DCF">
        <w:t>2. В части наличия у лиц, выполняющих переоборудование, опыта и соответствия выполняемых работ по переоборудованию установленным требованиям:</w:t>
      </w:r>
    </w:p>
    <w:p w:rsidR="00B06DCF" w:rsidRPr="00B06DCF" w:rsidRDefault="00B06DCF" w:rsidP="0076317D">
      <w:pPr>
        <w:jc w:val="both"/>
      </w:pPr>
      <w:r w:rsidRPr="00B06DCF">
        <w:t>наличие сертификата соответствия на проведение работ по переоборудованию автомобилей для работы на сжатом природном газе;</w:t>
      </w:r>
    </w:p>
    <w:p w:rsidR="00B06DCF" w:rsidRPr="00B06DCF" w:rsidRDefault="00B06DCF" w:rsidP="0076317D">
      <w:pPr>
        <w:jc w:val="both"/>
      </w:pPr>
      <w:r w:rsidRPr="00B06DCF">
        <w:t>наличие опыта переоборудования с 1 января 2019 г. не менее 5 единиц транспортных средств.</w:t>
      </w:r>
    </w:p>
    <w:p w:rsidR="00B06DCF" w:rsidRPr="00B06DCF" w:rsidRDefault="00B06DCF" w:rsidP="0076317D">
      <w:pPr>
        <w:ind w:firstLine="708"/>
        <w:jc w:val="both"/>
      </w:pPr>
      <w:proofErr w:type="gramStart"/>
      <w:r w:rsidRPr="00B06DCF">
        <w:t>Размер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определяется равным размеру скидки, предоставленной юридическими лицами и индивидуальными предпринимателями, выполняющими работы по переоборудованию транспортных средств на использование природного газа (метана) в качестве моторного топлива, но не более одной трети общей стоимости работ по такому переоборудованию (включая стоимость</w:t>
      </w:r>
      <w:proofErr w:type="gramEnd"/>
      <w:r w:rsidRPr="00B06DCF">
        <w:t xml:space="preserve"> газобаллонного оборудования) и не </w:t>
      </w:r>
      <w:proofErr w:type="gramStart"/>
      <w:r w:rsidRPr="00B06DCF">
        <w:t>более максимального</w:t>
      </w:r>
      <w:proofErr w:type="gramEnd"/>
      <w:r w:rsidRPr="00B06DCF">
        <w:t xml:space="preserve"> размера, указанного в таблице.</w:t>
      </w:r>
    </w:p>
    <w:p w:rsidR="00B06DCF" w:rsidRPr="00B06DCF" w:rsidRDefault="00B06DCF" w:rsidP="0076317D">
      <w:pPr>
        <w:jc w:val="both"/>
      </w:pPr>
      <w:r w:rsidRPr="00B06DCF">
        <w:t>Таблица</w:t>
      </w:r>
    </w:p>
    <w:p w:rsidR="00B06DCF" w:rsidRPr="00B06DCF" w:rsidRDefault="00B06DCF" w:rsidP="0076317D">
      <w:pPr>
        <w:jc w:val="both"/>
      </w:pPr>
      <w:r w:rsidRPr="00B06DCF">
        <w:t>(тыс.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1"/>
        <w:gridCol w:w="2098"/>
      </w:tblGrid>
      <w:tr w:rsidR="00B06DCF" w:rsidRPr="00B06DCF">
        <w:tc>
          <w:tcPr>
            <w:tcW w:w="6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CF" w:rsidRPr="00B06DCF" w:rsidRDefault="00B06DCF" w:rsidP="0076317D">
            <w:pPr>
              <w:jc w:val="both"/>
            </w:pPr>
            <w:r w:rsidRPr="00B06DCF">
              <w:t>Вид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DCF" w:rsidRPr="00B06DCF" w:rsidRDefault="00B06DCF" w:rsidP="0076317D">
            <w:pPr>
              <w:jc w:val="both"/>
            </w:pPr>
            <w:r w:rsidRPr="00B06DCF">
              <w:t>Размер субсидии</w:t>
            </w:r>
          </w:p>
        </w:tc>
      </w:tr>
      <w:tr w:rsidR="00B06DCF" w:rsidRPr="00B06DCF">
        <w:tc>
          <w:tcPr>
            <w:tcW w:w="6961" w:type="dxa"/>
            <w:tcBorders>
              <w:top w:val="single" w:sz="4" w:space="0" w:color="auto"/>
            </w:tcBorders>
          </w:tcPr>
          <w:p w:rsidR="00B06DCF" w:rsidRPr="00B06DCF" w:rsidRDefault="00B06DCF" w:rsidP="0076317D">
            <w:pPr>
              <w:jc w:val="both"/>
            </w:pPr>
            <w:r w:rsidRPr="00B06DCF">
              <w:t>Легковой автомобиль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06DCF" w:rsidRPr="00B06DCF" w:rsidRDefault="00B06DCF" w:rsidP="0076317D">
            <w:pPr>
              <w:jc w:val="both"/>
            </w:pPr>
          </w:p>
        </w:tc>
      </w:tr>
      <w:tr w:rsidR="00B06DCF" w:rsidRPr="00B06DCF">
        <w:tc>
          <w:tcPr>
            <w:tcW w:w="6961" w:type="dxa"/>
          </w:tcPr>
          <w:p w:rsidR="00B06DCF" w:rsidRPr="00B06DCF" w:rsidRDefault="00B06DCF" w:rsidP="0076317D">
            <w:pPr>
              <w:jc w:val="both"/>
            </w:pPr>
            <w:r w:rsidRPr="00B06DCF">
              <w:t>массой до 1800 кг</w:t>
            </w:r>
          </w:p>
        </w:tc>
        <w:tc>
          <w:tcPr>
            <w:tcW w:w="2098" w:type="dxa"/>
          </w:tcPr>
          <w:p w:rsidR="00B06DCF" w:rsidRPr="00B06DCF" w:rsidRDefault="00B06DCF" w:rsidP="0076317D">
            <w:pPr>
              <w:jc w:val="both"/>
            </w:pPr>
            <w:r w:rsidRPr="00B06DCF">
              <w:t>27</w:t>
            </w:r>
          </w:p>
        </w:tc>
      </w:tr>
      <w:tr w:rsidR="00B06DCF" w:rsidRPr="00B06DCF">
        <w:tc>
          <w:tcPr>
            <w:tcW w:w="6961" w:type="dxa"/>
          </w:tcPr>
          <w:p w:rsidR="00B06DCF" w:rsidRPr="00B06DCF" w:rsidRDefault="00B06DCF" w:rsidP="0076317D">
            <w:pPr>
              <w:jc w:val="both"/>
            </w:pPr>
            <w:r w:rsidRPr="00B06DCF">
              <w:t>массой от 1801 кг до 2499 кг</w:t>
            </w:r>
          </w:p>
        </w:tc>
        <w:tc>
          <w:tcPr>
            <w:tcW w:w="2098" w:type="dxa"/>
          </w:tcPr>
          <w:p w:rsidR="00B06DCF" w:rsidRPr="00B06DCF" w:rsidRDefault="00B06DCF" w:rsidP="0076317D">
            <w:pPr>
              <w:jc w:val="both"/>
            </w:pPr>
            <w:r w:rsidRPr="00B06DCF">
              <w:t>34</w:t>
            </w:r>
          </w:p>
        </w:tc>
      </w:tr>
      <w:tr w:rsidR="00B06DCF" w:rsidRPr="00B06DCF">
        <w:tc>
          <w:tcPr>
            <w:tcW w:w="6961" w:type="dxa"/>
          </w:tcPr>
          <w:p w:rsidR="00B06DCF" w:rsidRPr="00B06DCF" w:rsidRDefault="00B06DCF" w:rsidP="0076317D">
            <w:pPr>
              <w:jc w:val="both"/>
            </w:pPr>
            <w:r w:rsidRPr="00B06DCF">
              <w:t>массой 2500 кг и выше</w:t>
            </w:r>
          </w:p>
        </w:tc>
        <w:tc>
          <w:tcPr>
            <w:tcW w:w="2098" w:type="dxa"/>
          </w:tcPr>
          <w:p w:rsidR="00B06DCF" w:rsidRPr="00B06DCF" w:rsidRDefault="00B06DCF" w:rsidP="0076317D">
            <w:pPr>
              <w:jc w:val="both"/>
            </w:pPr>
            <w:r w:rsidRPr="00B06DCF">
              <w:t>42</w:t>
            </w:r>
          </w:p>
        </w:tc>
      </w:tr>
      <w:tr w:rsidR="00B06DCF" w:rsidRPr="00B06DCF">
        <w:tc>
          <w:tcPr>
            <w:tcW w:w="6961" w:type="dxa"/>
          </w:tcPr>
          <w:p w:rsidR="00B06DCF" w:rsidRPr="00B06DCF" w:rsidRDefault="00B06DCF" w:rsidP="00B06DCF">
            <w:r w:rsidRPr="00B06DCF">
              <w:t>Легкий грузовой транспорт</w:t>
            </w:r>
          </w:p>
        </w:tc>
        <w:tc>
          <w:tcPr>
            <w:tcW w:w="2098" w:type="dxa"/>
          </w:tcPr>
          <w:p w:rsidR="00B06DCF" w:rsidRPr="00B06DCF" w:rsidRDefault="00B06DCF" w:rsidP="00B06DCF">
            <w:r w:rsidRPr="00B06DCF">
              <w:t>48</w:t>
            </w:r>
          </w:p>
        </w:tc>
      </w:tr>
      <w:tr w:rsidR="00B06DCF" w:rsidRPr="00B06DCF">
        <w:tc>
          <w:tcPr>
            <w:tcW w:w="6961" w:type="dxa"/>
          </w:tcPr>
          <w:p w:rsidR="00B06DCF" w:rsidRPr="00B06DCF" w:rsidRDefault="00B06DCF" w:rsidP="00B06DCF">
            <w:r w:rsidRPr="00B06DCF">
              <w:t>Автобус (до 8 м)</w:t>
            </w:r>
          </w:p>
        </w:tc>
        <w:tc>
          <w:tcPr>
            <w:tcW w:w="2098" w:type="dxa"/>
          </w:tcPr>
          <w:p w:rsidR="00B06DCF" w:rsidRPr="00B06DCF" w:rsidRDefault="00B06DCF" w:rsidP="00B06DCF">
            <w:r w:rsidRPr="00B06DCF">
              <w:t>63</w:t>
            </w:r>
          </w:p>
        </w:tc>
      </w:tr>
      <w:tr w:rsidR="00B06DCF" w:rsidRPr="00B06DCF">
        <w:tc>
          <w:tcPr>
            <w:tcW w:w="6961" w:type="dxa"/>
          </w:tcPr>
          <w:p w:rsidR="00B06DCF" w:rsidRPr="00B06DCF" w:rsidRDefault="00B06DCF" w:rsidP="00B06DCF">
            <w:r w:rsidRPr="00B06DCF">
              <w:t>Автобус (свыше 8 м)</w:t>
            </w:r>
          </w:p>
        </w:tc>
        <w:tc>
          <w:tcPr>
            <w:tcW w:w="2098" w:type="dxa"/>
          </w:tcPr>
          <w:p w:rsidR="00B06DCF" w:rsidRPr="00B06DCF" w:rsidRDefault="00B06DCF" w:rsidP="00B06DCF">
            <w:r w:rsidRPr="00B06DCF">
              <w:t>111</w:t>
            </w:r>
          </w:p>
        </w:tc>
      </w:tr>
      <w:tr w:rsidR="00B06DCF" w:rsidRPr="00B06DCF">
        <w:tc>
          <w:tcPr>
            <w:tcW w:w="6961" w:type="dxa"/>
          </w:tcPr>
          <w:p w:rsidR="00B06DCF" w:rsidRPr="00B06DCF" w:rsidRDefault="00B06DCF" w:rsidP="00B06DCF">
            <w:r w:rsidRPr="00B06DCF">
              <w:t xml:space="preserve">Грузовой автомобиль (перевод в газовый и </w:t>
            </w:r>
            <w:proofErr w:type="spellStart"/>
            <w:r w:rsidRPr="00B06DCF">
              <w:t>битопливный</w:t>
            </w:r>
            <w:proofErr w:type="spellEnd"/>
            <w:r w:rsidRPr="00B06DCF">
              <w:t>, в том числе газодизельный цикл)</w:t>
            </w:r>
          </w:p>
        </w:tc>
        <w:tc>
          <w:tcPr>
            <w:tcW w:w="2098" w:type="dxa"/>
          </w:tcPr>
          <w:p w:rsidR="00B06DCF" w:rsidRPr="00B06DCF" w:rsidRDefault="00B06DCF" w:rsidP="00B06DCF">
            <w:r w:rsidRPr="00B06DCF">
              <w:t>114</w:t>
            </w:r>
          </w:p>
        </w:tc>
      </w:tr>
      <w:tr w:rsidR="00B06DCF" w:rsidRPr="00B06DCF">
        <w:tc>
          <w:tcPr>
            <w:tcW w:w="6961" w:type="dxa"/>
          </w:tcPr>
          <w:p w:rsidR="00B06DCF" w:rsidRPr="00B06DCF" w:rsidRDefault="00B06DCF" w:rsidP="00B06DCF">
            <w:r w:rsidRPr="00B06DCF">
              <w:lastRenderedPageBreak/>
              <w:t xml:space="preserve">Грузовой автомобиль (перевод в газовый цикл - </w:t>
            </w:r>
            <w:proofErr w:type="spellStart"/>
            <w:r w:rsidRPr="00B06DCF">
              <w:t>ремоторизация</w:t>
            </w:r>
            <w:proofErr w:type="spellEnd"/>
            <w:r w:rsidRPr="00B06DCF">
              <w:t>)</w:t>
            </w:r>
          </w:p>
        </w:tc>
        <w:tc>
          <w:tcPr>
            <w:tcW w:w="2098" w:type="dxa"/>
          </w:tcPr>
          <w:p w:rsidR="00B06DCF" w:rsidRPr="00B06DCF" w:rsidRDefault="00B06DCF" w:rsidP="00B06DCF">
            <w:r w:rsidRPr="00B06DCF">
              <w:t>200</w:t>
            </w:r>
          </w:p>
        </w:tc>
      </w:tr>
      <w:tr w:rsidR="00B06DCF" w:rsidRPr="00B06DCF">
        <w:tc>
          <w:tcPr>
            <w:tcW w:w="6961" w:type="dxa"/>
            <w:tcBorders>
              <w:bottom w:val="single" w:sz="4" w:space="0" w:color="auto"/>
            </w:tcBorders>
          </w:tcPr>
          <w:p w:rsidR="00B06DCF" w:rsidRPr="00B06DCF" w:rsidRDefault="00B06DCF" w:rsidP="00B06DCF">
            <w:r w:rsidRPr="00B06DCF">
              <w:t>Магистральный тягач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06DCF" w:rsidRPr="00B06DCF" w:rsidRDefault="00B06DCF" w:rsidP="00B06DCF">
            <w:r w:rsidRPr="00B06DCF">
              <w:t>147</w:t>
            </w:r>
          </w:p>
        </w:tc>
      </w:tr>
    </w:tbl>
    <w:p w:rsidR="00B06DCF" w:rsidRPr="00B06DCF" w:rsidRDefault="00B06DCF" w:rsidP="00B06DCF"/>
    <w:p w:rsidR="00B06DCF" w:rsidRPr="00B06DCF" w:rsidRDefault="00B06DCF" w:rsidP="00B06DCF">
      <w:r w:rsidRPr="00B06DCF">
        <w:t>Масса транспортного средства определяется согласно свидетельству о регистрации транспортного средства.</w:t>
      </w:r>
    </w:p>
    <w:p w:rsidR="00B06DCF" w:rsidRDefault="00B06DCF" w:rsidP="00B06DCF"/>
    <w:p w:rsidR="00B06DCF" w:rsidRPr="00B06DCF" w:rsidRDefault="00622B16" w:rsidP="0076317D">
      <w:pPr>
        <w:ind w:firstLine="708"/>
        <w:jc w:val="both"/>
      </w:pPr>
      <w:r>
        <w:t>Требования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</w:t>
      </w:r>
      <w:r w:rsidR="0076317D">
        <w:t>:</w:t>
      </w:r>
      <w:r>
        <w:t xml:space="preserve"> </w:t>
      </w:r>
    </w:p>
    <w:p w:rsidR="00B06DCF" w:rsidRPr="00B06DCF" w:rsidRDefault="00B06DCF" w:rsidP="0076317D">
      <w:pPr>
        <w:jc w:val="both"/>
      </w:pPr>
      <w:r w:rsidRPr="00B06DCF">
        <w:t>соответствие типа газобаллонного оборудования требованиям Правил Европейской экономической комисс</w:t>
      </w:r>
      <w:proofErr w:type="gramStart"/>
      <w:r w:rsidRPr="00B06DCF">
        <w:t>ии ОО</w:t>
      </w:r>
      <w:proofErr w:type="gramEnd"/>
      <w:r w:rsidRPr="00B06DCF">
        <w:t xml:space="preserve">Н (ЕЭК ООН N 115-02) "Единообразные предписания, касающиеся официального утверждения специальных модифицированных систем </w:t>
      </w:r>
      <w:proofErr w:type="spellStart"/>
      <w:r w:rsidRPr="00B06DCF">
        <w:t>спг</w:t>
      </w:r>
      <w:proofErr w:type="spellEnd"/>
      <w:r w:rsidRPr="00B06DCF">
        <w:t xml:space="preserve"> (сжатый природный газ), предназначенных для установки на механических транспортных средствах, в двигателях которых используется </w:t>
      </w:r>
      <w:proofErr w:type="spellStart"/>
      <w:r w:rsidRPr="00B06DCF">
        <w:t>спг</w:t>
      </w:r>
      <w:proofErr w:type="spellEnd"/>
      <w:r w:rsidRPr="00B06DCF">
        <w:t>", подтвержденное сертификатом соответствия;</w:t>
      </w:r>
    </w:p>
    <w:p w:rsidR="00B06DCF" w:rsidRPr="00B06DCF" w:rsidRDefault="00B06DCF" w:rsidP="0076317D">
      <w:pPr>
        <w:jc w:val="both"/>
      </w:pPr>
      <w:r w:rsidRPr="00B06DCF">
        <w:t>соответствие использованных элементов (компонентов) оборудования требованиям Правил Европейской экономической комисс</w:t>
      </w:r>
      <w:proofErr w:type="gramStart"/>
      <w:r w:rsidRPr="00B06DCF">
        <w:t>ии ОО</w:t>
      </w:r>
      <w:proofErr w:type="gramEnd"/>
      <w:r w:rsidRPr="00B06DCF">
        <w:t xml:space="preserve">Н (ЕЭК ООН N 110) "Единообразные предписания, касающиеся официального утверждения: </w:t>
      </w:r>
      <w:proofErr w:type="gramStart"/>
      <w:r w:rsidRPr="00B06DCF">
        <w:t>I. элементов специального оборудования механических транспортных средств, двигатели которых работают на компримированном природном газе (КПГ) и/или сжиженном природном газе (СПГ) II.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(СПГ)", подтвержденное сертификатом соответствия;</w:t>
      </w:r>
      <w:proofErr w:type="gramEnd"/>
    </w:p>
    <w:p w:rsidR="00B06DCF" w:rsidRPr="00B06DCF" w:rsidRDefault="00B06DCF" w:rsidP="0076317D">
      <w:pPr>
        <w:jc w:val="both"/>
      </w:pPr>
      <w:r w:rsidRPr="00B06DCF">
        <w:t>оборудование должно быть новым (ранее не бывшим в употреблении);</w:t>
      </w:r>
    </w:p>
    <w:p w:rsidR="00B06DCF" w:rsidRPr="00B06DCF" w:rsidRDefault="00B06DCF" w:rsidP="0076317D">
      <w:pPr>
        <w:jc w:val="both"/>
      </w:pPr>
      <w:r w:rsidRPr="00B06DCF">
        <w:t xml:space="preserve">газовый баллон должен иметь год выпуска не ранее года, предшествующего </w:t>
      </w:r>
      <w:proofErr w:type="gramStart"/>
      <w:r w:rsidRPr="00B06DCF">
        <w:t>текущему</w:t>
      </w:r>
      <w:proofErr w:type="gramEnd"/>
      <w:r w:rsidRPr="00B06DCF">
        <w:t>, и должен быть оснащен автоматическим вентилем с предохранительным устройством;</w:t>
      </w:r>
    </w:p>
    <w:p w:rsidR="00B06DCF" w:rsidRPr="00B06DCF" w:rsidRDefault="00B06DCF" w:rsidP="0076317D">
      <w:pPr>
        <w:jc w:val="both"/>
      </w:pPr>
      <w:r w:rsidRPr="00B06DCF">
        <w:t>газовый баллон должен быть отечественного производства для баллона I типа - начиная с 2021 года, для баллона II типа - начиная с 2022 года, для баллона III типа - начиная с 2020 года.</w:t>
      </w:r>
    </w:p>
    <w:p w:rsidR="00B06DCF" w:rsidRPr="00B06DCF" w:rsidRDefault="00B06DCF" w:rsidP="0076317D">
      <w:pPr>
        <w:jc w:val="both"/>
      </w:pPr>
      <w:r w:rsidRPr="00B06DCF">
        <w:t xml:space="preserve">2. Требование к иным комплектующим - при </w:t>
      </w:r>
      <w:proofErr w:type="spellStart"/>
      <w:r w:rsidRPr="00B06DCF">
        <w:t>ремоторизации</w:t>
      </w:r>
      <w:proofErr w:type="spellEnd"/>
      <w:r w:rsidRPr="00B06DCF">
        <w:t xml:space="preserve"> транспортного средства устанавливаемый двигатель должен быть новым (ранее не бывшим в употреблении) и произведенным на территории Российской Федерации.</w:t>
      </w:r>
    </w:p>
    <w:p w:rsidR="00B06DCF" w:rsidRPr="00B06DCF" w:rsidRDefault="00B06DCF" w:rsidP="0076317D">
      <w:pPr>
        <w:jc w:val="both"/>
      </w:pPr>
      <w:r w:rsidRPr="00B06DCF">
        <w:t>3. Требования к выполняемым работам по переоборудованию транспортных средств на использование природного газа в качестве моторного топлива:</w:t>
      </w:r>
    </w:p>
    <w:p w:rsidR="00B06DCF" w:rsidRPr="00B06DCF" w:rsidRDefault="00B06DCF" w:rsidP="0076317D">
      <w:pPr>
        <w:jc w:val="both"/>
      </w:pPr>
      <w:r w:rsidRPr="00B06DCF">
        <w:t xml:space="preserve">работы должны выполняться в соответствии с требованиями технического </w:t>
      </w:r>
      <w:hyperlink r:id="rId5" w:history="1">
        <w:r w:rsidRPr="00B06DCF">
          <w:rPr>
            <w:rStyle w:val="a3"/>
          </w:rPr>
          <w:t>регламента</w:t>
        </w:r>
      </w:hyperlink>
      <w:r w:rsidRPr="00B06DCF">
        <w:t xml:space="preserve"> Таможенного союза "О безопасности колесных транспортных средств" и </w:t>
      </w:r>
      <w:hyperlink r:id="rId6" w:history="1">
        <w:r w:rsidRPr="00B06DCF">
          <w:rPr>
            <w:rStyle w:val="a3"/>
          </w:rPr>
          <w:t>ГОСТ 31972-2013</w:t>
        </w:r>
      </w:hyperlink>
      <w:r w:rsidRPr="00B06DCF">
        <w:t xml:space="preserve"> "Автомобильные транспортные средства. Порядок и процедуры методов контроля установки газобаллонного оборудования";</w:t>
      </w:r>
    </w:p>
    <w:p w:rsidR="00B06DCF" w:rsidRPr="00B06DCF" w:rsidRDefault="00B06DCF" w:rsidP="0076317D">
      <w:pPr>
        <w:jc w:val="both"/>
      </w:pPr>
      <w:r w:rsidRPr="00B06DCF">
        <w:t>минимальный гарантийный срок на выполняемые работы - 1 год или 30000 км (в зависимости от того, что наступит ранее);</w:t>
      </w:r>
    </w:p>
    <w:p w:rsidR="00613E54" w:rsidRPr="00AB1342" w:rsidRDefault="00B06DCF" w:rsidP="0076317D">
      <w:pPr>
        <w:jc w:val="both"/>
      </w:pPr>
      <w:r w:rsidRPr="00B06DCF">
        <w:t>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</w:t>
      </w:r>
      <w:proofErr w:type="gramStart"/>
      <w:r w:rsidRPr="00B06DCF">
        <w:t>.".</w:t>
      </w:r>
      <w:proofErr w:type="gramEnd"/>
    </w:p>
    <w:sectPr w:rsidR="00613E54" w:rsidRPr="00AB1342" w:rsidSect="0076317D">
      <w:pgSz w:w="11906" w:h="16838"/>
      <w:pgMar w:top="426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A7"/>
    <w:rsid w:val="004714A9"/>
    <w:rsid w:val="00613E54"/>
    <w:rsid w:val="00622B16"/>
    <w:rsid w:val="00746113"/>
    <w:rsid w:val="0076317D"/>
    <w:rsid w:val="00AB1342"/>
    <w:rsid w:val="00B06DCF"/>
    <w:rsid w:val="00F973A7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D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D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94AD78EA33AC5E48E747397FCD3200ECF3258DDB6C98EC9B15BE95B3EA54B963893D069240C65B8D6A4EByFg8I" TargetMode="External"/><Relationship Id="rId5" Type="http://schemas.openxmlformats.org/officeDocument/2006/relationships/hyperlink" Target="consultantplus://offline/ref=5C294AD78EA33AC5E48E77668EFCD3200FCE355ED7BE9484C1E857EB5C31FA4E912993D06E3A0C65A3DFF0B8BCB12871E08DBDEC551204D7yDg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 ЧР Королёва Эльмира</dc:creator>
  <cp:keywords/>
  <dc:description/>
  <cp:lastModifiedBy>Минтранс ЧР Петрова Наталия</cp:lastModifiedBy>
  <cp:revision>3</cp:revision>
  <dcterms:created xsi:type="dcterms:W3CDTF">2020-03-17T08:33:00Z</dcterms:created>
  <dcterms:modified xsi:type="dcterms:W3CDTF">2020-07-14T05:52:00Z</dcterms:modified>
</cp:coreProperties>
</file>