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10"/>
        <w:gridCol w:w="1540"/>
        <w:gridCol w:w="4005"/>
      </w:tblGrid>
      <w:tr>
        <w:trPr>
          <w:trHeight w:val="1977" w:hRule="atLeast"/>
        </w:trPr>
        <w:tc>
          <w:tcPr>
            <w:tcW w:w="4310" w:type="dxa"/>
            <w:tcBorders/>
            <w:shd w:fill="auto" w:val="clear"/>
          </w:tcPr>
          <w:p>
            <w:pPr>
              <w:pStyle w:val="Normal"/>
              <w:shd w:val="clear" w:color="auto" w:fill="FFFFFF"/>
              <w:ind w:firstLine="720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Чăваш Республикин</w:t>
            </w:r>
          </w:p>
          <w:p>
            <w:pPr>
              <w:pStyle w:val="Normal"/>
              <w:shd w:val="clear" w:color="auto" w:fill="FFFFFF"/>
              <w:ind w:firstLine="720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Çĕнĕ Шупашкар хула</w:t>
            </w:r>
          </w:p>
          <w:p>
            <w:pPr>
              <w:pStyle w:val="Normal"/>
              <w:shd w:val="clear" w:color="auto" w:fill="FFFFFF"/>
              <w:ind w:firstLine="720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администрацийĕ</w:t>
            </w:r>
          </w:p>
          <w:p>
            <w:pPr>
              <w:pStyle w:val="Normal"/>
              <w:shd w:val="clear" w:color="auto" w:fill="FFFFFF"/>
              <w:ind w:firstLine="720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ind w:firstLine="720"/>
              <w:jc w:val="center"/>
              <w:rPr>
                <w:rFonts w:ascii="Times New Roman" w:hAnsi="Times New Roman" w:cs="Times New Roman"/>
                <w:b/>
                <w:b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3"/>
                <w:sz w:val="26"/>
                <w:szCs w:val="26"/>
              </w:rPr>
              <w:t>ХУШУ</w:t>
            </w:r>
          </w:p>
          <w:p>
            <w:pPr>
              <w:pStyle w:val="Normal"/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</w:r>
          </w:p>
        </w:tc>
        <w:tc>
          <w:tcPr>
            <w:tcW w:w="1540" w:type="dxa"/>
            <w:tcBorders/>
            <w:shd w:fill="auto" w:val="clear"/>
          </w:tcPr>
          <w:p>
            <w:pPr>
              <w:pStyle w:val="Normal"/>
              <w:shd w:val="clear" w:color="auto" w:fill="FFFFFF"/>
              <w:ind w:hanging="68"/>
              <w:jc w:val="both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/>
              <w:object>
                <v:shape id="ole_rId2" style="width:60.75pt;height:78pt" o:ole="">
                  <v:imagedata r:id="rId3" o:title=""/>
                </v:shape>
                <o:OLEObject Type="Embed" ProgID="Word.Picture.8" ShapeID="ole_rId2" DrawAspect="Content" ObjectID="_427669485" r:id="rId2"/>
              </w:object>
            </w:r>
          </w:p>
        </w:tc>
        <w:tc>
          <w:tcPr>
            <w:tcW w:w="4005" w:type="dxa"/>
            <w:tcBorders/>
            <w:shd w:fill="auto" w:val="clear"/>
          </w:tcPr>
          <w:p>
            <w:pPr>
              <w:pStyle w:val="Normal"/>
              <w:shd w:val="clear" w:color="auto" w:fill="FFFFFF"/>
              <w:ind w:firstLine="720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Администрация</w:t>
            </w:r>
          </w:p>
          <w:p>
            <w:pPr>
              <w:pStyle w:val="Normal"/>
              <w:shd w:val="clear" w:color="auto" w:fill="FFFFFF"/>
              <w:ind w:firstLine="720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города Новочебоксарска</w:t>
            </w:r>
          </w:p>
          <w:p>
            <w:pPr>
              <w:pStyle w:val="Normal"/>
              <w:shd w:val="clear" w:color="auto" w:fill="FFFFFF"/>
              <w:ind w:firstLine="720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Чувашской Республики</w:t>
            </w:r>
          </w:p>
          <w:p>
            <w:pPr>
              <w:pStyle w:val="Normal"/>
              <w:shd w:val="clear" w:color="auto" w:fill="FFFFFF"/>
              <w:ind w:firstLine="720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ind w:firstLine="720"/>
              <w:jc w:val="center"/>
              <w:rPr>
                <w:rFonts w:ascii="Times New Roman" w:hAnsi="Times New Roman" w:cs="Times New Roman"/>
                <w:b/>
                <w:b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3"/>
                <w:sz w:val="26"/>
                <w:szCs w:val="26"/>
              </w:rPr>
              <w:t>РАСПОРЯЖЕНИЕ</w:t>
            </w:r>
          </w:p>
          <w:p>
            <w:pPr>
              <w:pStyle w:val="Normal"/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</w:r>
          </w:p>
        </w:tc>
      </w:tr>
    </w:tbl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</w:r>
    </w:p>
    <w:p>
      <w:pPr>
        <w:pStyle w:val="Normal"/>
        <w:shd w:val="clear" w:color="auto" w:fill="FFFFFF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6"/>
          <w:szCs w:val="26"/>
          <w:lang w:eastAsia="ru-RU"/>
        </w:rPr>
        <w:t xml:space="preserve">27.01.2019 </w:t>
      </w:r>
      <w:r>
        <w:rPr>
          <w:rFonts w:cs="Times New Roman" w:ascii="Times New Roman" w:hAnsi="Times New Roman"/>
          <w:b/>
          <w:bCs/>
          <w:color w:val="000000"/>
          <w:spacing w:val="-3"/>
          <w:sz w:val="26"/>
          <w:szCs w:val="26"/>
        </w:rPr>
        <w:t xml:space="preserve">№ 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6"/>
          <w:szCs w:val="26"/>
          <w:lang w:eastAsia="ru-RU"/>
        </w:rPr>
        <w:t>8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>
        <w:rPr>
          <w:rFonts w:cs="Times New Roman" w:ascii="Times New Roman" w:hAnsi="Times New Roman"/>
          <w:color w:val="000000"/>
          <w:spacing w:val="-3"/>
          <w:sz w:val="18"/>
          <w:szCs w:val="18"/>
        </w:rPr>
      </w:r>
    </w:p>
    <w:tbl>
      <w:tblPr>
        <w:tblStyle w:val="a4"/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69"/>
        <w:gridCol w:w="4218"/>
      </w:tblGrid>
      <w:tr>
        <w:trPr>
          <w:trHeight w:val="2212" w:hRule="atLeast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Об итогах деятельности Новочебоксарского городского звена ТП РСЧС Чувашской Республики в области гражданской обороны, предупреждения и ликвидации чрезвычайных ситуаций, обеспечения  пожарной безопасности и безопасности людей на водных объектах по итогам 2019 года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</w:r>
          </w:p>
        </w:tc>
      </w:tr>
    </w:tbl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</w:r>
    </w:p>
    <w:p>
      <w:pPr>
        <w:pStyle w:val="BlockText"/>
        <w:spacing w:before="0" w:after="0"/>
        <w:ind w:left="0" w:right="5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lockText"/>
        <w:spacing w:before="0" w:after="0"/>
        <w:ind w:left="0" w:right="5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Новочебоксарское городское звено ТП РСЧС Чувашской Республики и его объектовые звенья проводили работу по совершенствованию системы гражданской обороны, обучению населения, защите территорий от чрезвычайных ситуаций. На территории города Новочебоксарска за отчетный год не допущено возникновения чрезвычайных ситуаций.</w:t>
      </w:r>
    </w:p>
    <w:p>
      <w:pPr>
        <w:pStyle w:val="BlockText"/>
        <w:spacing w:before="0" w:after="0"/>
        <w:ind w:left="0" w:right="5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итогам 2019 года  Новочебоксарское городское звено награждено дипломом второй степени.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>За достигнутые успехи в совершенствовании системы гражданской обороны, защиты населения и территорий от чрезвычайных ситуаций и  по итогам деятельности Новочебоксарского городского звена территориальной подсистемы Чувашской Республики единой государственной системы предупреждения и ликвидации чрезвычайных ситуаций за 2019 год: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>1. Наградить переходящими кубками и дипломами: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>1.1. В номинации «Лучшее объектовое звено среди промышленных предприятий»: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переходящим кубком и дипломом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– ПАО «Химпром», генеральный директор Науман Сергей Владимирович;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дипломом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Чебоксарский район гидротехнических сооружений и судоходства филиал ФБУ «Администрации Волжского бассейна», начальник района Смирнов Алексей Борисович;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дипломом 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III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 -  филиал ПАО «РусГидро» - «Чебоксарская ГЭС»,  директор Бардюков Вадим Григорьевич.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>1.2. В номинации «Лучшее объектовое звено среди предприятий ЖКХ и бытового обслуживания»: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переходящим кубком и дипломом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- МУП «Коммунальные сети города Новочебоксарска»,  генеральный директор Александров Герман Геннадиевич;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дипломом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– филиал АО «Газпром газораспределение Чебоксары» в г. Новочебоксарске»,  директор Ковшиков Сергей Николаевич;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дипломом 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III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 - ООО «УК  ЖКХ»,  директор Васильев Сергей Станиславович.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>1.3. В номинации «Лучшее объектовое звено среди строительных предприятий, предприятий транспорта и связи»: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переходящим кубком и дипломом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- Новочебоксарское муниципальное унитарное предприятие троллейбусного транспорта,  директор Петров Эдуард Анатольевич;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дипломом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– линейно-технический цех г. Новочебоксарска городского центра технической эксплуатации телекоммуникаций г. Чебоксары филиала ПАО «Ростелеком» Чувашской Республики, начальник цеха Ермолаев Сергей Валентинович;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дипломом 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III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 - ООО «Автолайн»,  генеральный директор Ладин Владимир Викторович.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>1.4. В номинации «Лучшее объектовое звено среди предприятий торговли и общественного питания»: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переходящим кубком и дипломом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–  ООО «ПроСервис «Поволжье»,  директор Браткова Елена Владимировна;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дипломом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 ООО «Фабрика школьного питания»,  директор Казакова Татьяна Александровна;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дипломом 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III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 - не присуждается. 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>1.5. В номинации «Лучшее объектовое звено среди учреждений образования, культуры и спорта»:</w:t>
      </w:r>
    </w:p>
    <w:p>
      <w:pPr>
        <w:pStyle w:val="Normal"/>
        <w:ind w:firstLine="720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переходящим кубком и дипломом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– МБОУ «Новочебоксарский кадет- ский лицей»,   директор</w:t>
      </w:r>
      <w:r>
        <w:rPr>
          <w:b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Андреев Альберт  Викентьевич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>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дипломом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- МБОУ «Средняя общеобразовательная школа №16», ди-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ректор Пайков Игорь Анатольевич;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дипломом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III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- МБОУ «Средняя общеобразовательная школа №19», ди-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ректор Осокин Александр Александрович.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>1.6. В номинации «Лучшее объектовое звено среди лечебно-профилактических учреждений»: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переходящим кубком и дипломом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- БУ ЧР «Новочебоксарская городская больница» Минздрава Чувашии, главный врач Белов Константин Ильич;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дипломом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 -  АУ «Новочебоксарская стоматологическая городская поликлиника» Минздрава Чувашии, главный врач Яковлева Лидия Андреевна;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дипломом 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III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– Новочебоксарская подстанция №1 БУ ЧР «Республиканский центр медицины катастроф и скорой медицинской помощи»  Минздрава Чувашии, заведующий подстанцием Тайгачкин Андрей Дмитриевич.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>1.7. В номинации «Лучшая спасательная служба гражданской обороны»: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дипломом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– противопожарная служба – начальник службы  Кирин Василий Александрович, начальник 11 пожарно-спасательной части  5 ПСО ФПС ГПС ГУ МЧС России по Чувашской Республике - Чувашии;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дипломом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- служба охраны общественного порядка, начальник службы Чурбанов Владимир Васильевич, начальник отдела МВД России по городу Новочебоксарск;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-  дипломом  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  <w:lang w:val="en-US"/>
        </w:rPr>
        <w:t>III</w:t>
      </w: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 xml:space="preserve"> степени – медицинская служба, начальник службы Белов Константин Ильич, главный врач БУ ЧР «Новочебоксарская городская больница» Минздрава Чувашии.</w:t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</w:r>
    </w:p>
    <w:p>
      <w:pPr>
        <w:pStyle w:val="Norma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>2. Сектору пресс-службы администрации города Новочебоксарска   разместить настоящее распоряжение на сайте администрации города Новочебоксарска Чувашской Республики.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>3. Контроль за исполнением настоящего распоряжения возложить на заместителя главы администрации города Новочебоксарска Чувашской Республике по вопросам градостроительства, ЖКХ и инфраструктуры.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>Глава администрации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>города Новочебоксарска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3"/>
          <w:sz w:val="26"/>
          <w:szCs w:val="26"/>
        </w:rPr>
        <w:t>Чувашской Республики</w:t>
        <w:tab/>
        <w:tab/>
        <w:tab/>
        <w:tab/>
        <w:tab/>
        <w:tab/>
        <w:tab/>
        <w:t>О.В. Чепрасова</w:t>
      </w:r>
    </w:p>
    <w:p>
      <w:pPr>
        <w:pStyle w:val="Normal"/>
        <w:ind w:firstLine="720"/>
        <w:jc w:val="both"/>
        <w:rPr>
          <w:rFonts w:ascii="Times New Roman" w:hAnsi="Times New Roman" w:eastAsia="Batang" w:cs="Times New Roman"/>
          <w:color w:val="000000"/>
          <w:sz w:val="26"/>
          <w:szCs w:val="26"/>
        </w:rPr>
      </w:pPr>
      <w:r>
        <w:rPr>
          <w:rFonts w:eastAsia="Batang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 w:eastAsia="Batang" w:cs="Times New Roman"/>
          <w:color w:val="000000"/>
          <w:sz w:val="26"/>
          <w:szCs w:val="26"/>
        </w:rPr>
      </w:pPr>
      <w:r>
        <w:rPr>
          <w:rFonts w:eastAsia="Batang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 w:eastAsia="Batang" w:cs="Times New Roman"/>
          <w:color w:val="000000"/>
          <w:sz w:val="26"/>
          <w:szCs w:val="26"/>
        </w:rPr>
      </w:pPr>
      <w:r>
        <w:rPr>
          <w:rFonts w:eastAsia="Batang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 w:eastAsia="Batang" w:cs="Times New Roman"/>
          <w:color w:val="000000"/>
          <w:sz w:val="26"/>
          <w:szCs w:val="26"/>
        </w:rPr>
      </w:pPr>
      <w:r>
        <w:rPr>
          <w:rFonts w:eastAsia="Batang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 w:eastAsia="Batang" w:cs="Times New Roman"/>
          <w:color w:val="000000"/>
          <w:sz w:val="26"/>
          <w:szCs w:val="26"/>
        </w:rPr>
      </w:pPr>
      <w:r>
        <w:rPr>
          <w:rFonts w:eastAsia="Batang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 w:eastAsia="Batang" w:cs="Times New Roman"/>
          <w:color w:val="000000"/>
          <w:sz w:val="26"/>
          <w:szCs w:val="26"/>
        </w:rPr>
      </w:pPr>
      <w:r>
        <w:rPr>
          <w:rFonts w:eastAsia="Batang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 w:eastAsia="Batang" w:cs="Times New Roman"/>
          <w:color w:val="000000"/>
          <w:sz w:val="26"/>
          <w:szCs w:val="26"/>
        </w:rPr>
      </w:pPr>
      <w:r>
        <w:rPr>
          <w:rFonts w:eastAsia="Batang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 w:eastAsia="Batang" w:cs="Times New Roman"/>
          <w:color w:val="000000"/>
          <w:sz w:val="26"/>
          <w:szCs w:val="26"/>
        </w:rPr>
      </w:pPr>
      <w:r>
        <w:rPr>
          <w:rFonts w:eastAsia="Batang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 w:eastAsia="Batang" w:cs="Times New Roman"/>
          <w:color w:val="000000"/>
          <w:sz w:val="26"/>
          <w:szCs w:val="26"/>
        </w:rPr>
      </w:pPr>
      <w:r>
        <w:rPr>
          <w:rFonts w:eastAsia="Batang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 w:eastAsia="Batang" w:cs="Times New Roman"/>
          <w:color w:val="000000"/>
          <w:sz w:val="26"/>
          <w:szCs w:val="26"/>
        </w:rPr>
      </w:pPr>
      <w:r>
        <w:rPr>
          <w:rFonts w:eastAsia="Batang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 w:eastAsia="Batang" w:cs="Times New Roman"/>
          <w:color w:val="000000"/>
          <w:sz w:val="26"/>
          <w:szCs w:val="26"/>
        </w:rPr>
      </w:pPr>
      <w:r>
        <w:rPr>
          <w:rFonts w:eastAsia="Batang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 w:eastAsia="Batang" w:cs="Times New Roman"/>
          <w:color w:val="000000"/>
          <w:sz w:val="26"/>
          <w:szCs w:val="26"/>
        </w:rPr>
      </w:pPr>
      <w:r>
        <w:rPr>
          <w:rFonts w:eastAsia="Batang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 w:eastAsia="Batang" w:cs="Times New Roman"/>
          <w:color w:val="000000"/>
          <w:sz w:val="26"/>
          <w:szCs w:val="26"/>
        </w:rPr>
      </w:pPr>
      <w:r>
        <w:rPr>
          <w:rFonts w:eastAsia="Batang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 w:eastAsia="Batang" w:cs="Times New Roman"/>
          <w:color w:val="000000"/>
          <w:sz w:val="26"/>
          <w:szCs w:val="26"/>
        </w:rPr>
      </w:pPr>
      <w:r>
        <w:rPr>
          <w:rFonts w:eastAsia="Batang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 w:eastAsia="Batang" w:cs="Times New Roman"/>
          <w:color w:val="000000"/>
          <w:sz w:val="26"/>
          <w:szCs w:val="26"/>
        </w:rPr>
      </w:pPr>
      <w:r>
        <w:rPr>
          <w:rFonts w:eastAsia="Batang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/>
      </w:pPr>
      <w:r>
        <w:rPr/>
      </w:r>
    </w:p>
    <w:sectPr>
      <w:type w:val="nextPage"/>
      <w:pgSz w:w="11906" w:h="16838"/>
      <w:pgMar w:left="1588" w:right="79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735b"/>
    <w:pPr>
      <w:widowControl w:val="false"/>
      <w:suppressAutoHyphens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3735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lockText">
    <w:name w:val="Block Text"/>
    <w:basedOn w:val="Normal"/>
    <w:semiHidden/>
    <w:qFormat/>
    <w:rsid w:val="00b03cb4"/>
    <w:pPr>
      <w:widowControl/>
      <w:suppressAutoHyphens w:val="true"/>
      <w:spacing w:before="0" w:after="222"/>
      <w:ind w:left="3740" w:right="5" w:hanging="0"/>
    </w:pPr>
    <w:rPr>
      <w:rFonts w:ascii="Times New Roman" w:hAnsi="Times New Roman" w:cs="Times New Roman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c5d0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LibreOffice/6.3.0.4$Windows_X86_64 LibreOffice_project/057fc023c990d676a43019934386b85b21a9ee99</Application>
  <Pages>3</Pages>
  <Words>600</Words>
  <Characters>4431</Characters>
  <CharactersWithSpaces>11186</CharactersWithSpaces>
  <Paragraphs>48</Paragraphs>
  <Company>Управление ГОЧС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2020-01-21T14:00:00Z</dcterms:created>
  <dc:creator>Боярская</dc:creator>
  <dc:description/>
  <dc:language>ru-RU</dc:language>
  <cp:lastModifiedBy/>
  <cp:lastPrinted>2020-01-21T13:52:00Z</cp:lastPrinted>
  <dcterms:modified xsi:type="dcterms:W3CDTF">2020-01-31T13:30:51Z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Управление ГОЧС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