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416"/>
        <w:gridCol w:w="3972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rFonts w:ascii="Arial Cyr Chuv" w:hAnsi="Arial Cyr Chuv"/>
                <w:sz w:val="25"/>
                <w:szCs w:val="25"/>
              </w:rPr>
            </w:pPr>
            <w:r>
              <w:rPr>
                <w:rFonts w:ascii="Arial Cyr Chuv" w:hAnsi="Arial Cyr Chuv"/>
                <w:sz w:val="25"/>
                <w:szCs w:val="25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</w:r>
          </w:p>
          <w:p>
            <w:pPr>
              <w:pStyle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ЙЫШЁНУ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559393230" r:id="rId2"/>
              </w:object>
            </w:r>
          </w:p>
        </w:tc>
        <w:tc>
          <w:tcPr>
            <w:tcW w:w="397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5"/>
                <w:szCs w:val="25"/>
              </w:rPr>
            </w:pPr>
            <w:r>
              <w:rPr>
                <w:rFonts w:ascii="Arial Cyr Chuv" w:hAnsi="Arial Cyr Chuv"/>
                <w:sz w:val="25"/>
                <w:szCs w:val="25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города Новочебоксарска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3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</w:t>
            </w:r>
          </w:p>
          <w:p>
            <w:pPr>
              <w:pStyle w:val="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</w:tbl>
    <w:p>
      <w:pPr>
        <w:pStyle w:val="Normal"/>
        <w:jc w:val="center"/>
        <w:rPr/>
      </w:pPr>
      <w:bookmarkStart w:id="0" w:name="__DdeLink__1105_3288974037"/>
      <w:r>
        <w:rPr>
          <w:rFonts w:eastAsia="Times New Roman" w:cs="Times New Roman"/>
          <w:sz w:val="25"/>
          <w:szCs w:val="25"/>
          <w:lang w:eastAsia="ru-RU"/>
        </w:rPr>
        <w:t xml:space="preserve">30.03.2020 </w:t>
      </w:r>
      <w:r>
        <w:rPr>
          <w:sz w:val="25"/>
          <w:szCs w:val="25"/>
        </w:rPr>
        <w:t xml:space="preserve"> №  </w:t>
      </w:r>
      <w:r>
        <w:rPr>
          <w:rFonts w:eastAsia="Times New Roman" w:cs="Times New Roman"/>
          <w:sz w:val="25"/>
          <w:szCs w:val="25"/>
          <w:lang w:eastAsia="ru-RU"/>
        </w:rPr>
        <w:t>382</w:t>
      </w:r>
      <w:bookmarkEnd w:id="0"/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62865</wp:posOffset>
                </wp:positionH>
                <wp:positionV relativeFrom="paragraph">
                  <wp:posOffset>121920</wp:posOffset>
                </wp:positionV>
                <wp:extent cx="2847975" cy="8210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210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ind w:left="-142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О внесении изменений в постановление администрации города Новочебоксарска Чувашской Республики от 26.09.2018 г. № 1403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24.25pt;height:64.65pt;mso-wrap-distance-left:9pt;mso-wrap-distance-right:9pt;mso-wrap-distance-top:0pt;mso-wrap-distance-bottom:0pt;margin-top:9.6pt;mso-position-vertical-relative:text;margin-left:4.95pt;mso-position-horizontal-relative:text">
                <v:textbox>
                  <w:txbxContent>
                    <w:p>
                      <w:pPr>
                        <w:pStyle w:val="Style23"/>
                        <w:ind w:left="-142" w:hanging="0"/>
                        <w:jc w:val="both"/>
                        <w:rPr/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О внесении изменений в постановление администрации города Новочебоксарска Чувашской Республики от 26.09.2018 г. № 1403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со статьей 295 Гражданского кодекса Российской Федерации, статьей 42 Бюджетного кодекса Российской Федерации, статьями 17, 20, 21, 26 Федерального закона от 14.11.2002 № 161-ФЗ «О государственных и муниципальных унитарных предприятиях», статьей 51 Закона Чувашской Республики от 18.10.2004 № 19 «Об организации местного самоуправления в Чувашской Республике», с постановлением Кабинета Министров Чувашской Республики от 12.04.2002 № 110 «Об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Республики», руководствуясь статьей 43 Устава города Новочебоксарска, администрация города Новочебоксарска Чувашской Республики п о с т а н о в л я е т: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Внести в Положение о муниципальной балансовой комиссии (далее – Положение), утвержденное постановлением администрации города Новочебоксарска Чувашской Республики от 26.09.2018 г. №1403 «Об утверждении Положения о муниципальной балансовой комиссии» следующие изменения: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разделе 2 Положения: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абзацы 2 – 3 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«оценка итогов деятельности учреждений на основании рассмотрения отчетов о выполнении муниципальных заданий на оказание муниципальных услуг (выполнение работ) и о достижении установленных показателей эффективности деятельности учреждений, а также выработка рекомендаций по премированию (депремированию) руководителей учреждений;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выработка рекомендаций по утверждению программ деятельности предприятий, 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значений показателей экономической эффективности деятельности обществ, </w:t>
      </w:r>
      <w:r>
        <w:rPr>
          <w:rStyle w:val="Style14"/>
          <w:i w:val="false"/>
          <w:color w:val="000000"/>
          <w:sz w:val="25"/>
          <w:szCs w:val="25"/>
        </w:rPr>
        <w:t>показателей деятельности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предприятий, включающих показатели экономической эффективности деятельности и дополнительные показатели деятельности предприятий (далее - показатели деятельности предприятия), ключевых показателей эффективности деятельности обществ, включающих финансово-экономические и отраслевые ключевые показатели эффективности (далее - ключевые показатели эффективности деятельности обществ) (Приложение 1 – для предприятий и обществ), показателей депремирования руководителей предприятий и обществ (далее - показатели депремирования) на очередной финансовый год и аналогичных прогнозных значений на два последующих года;»</w:t>
      </w:r>
    </w:p>
    <w:p>
      <w:pPr>
        <w:pStyle w:val="Normal"/>
        <w:ind w:firstLine="709"/>
        <w:jc w:val="both"/>
        <w:rPr>
          <w:rFonts w:eastAsia="Calibri"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абзацы 4-5 </w:t>
      </w:r>
      <w:r>
        <w:rPr>
          <w:rFonts w:eastAsia="Calibri" w:eastAsiaTheme="minorHAnsi"/>
          <w:sz w:val="25"/>
          <w:szCs w:val="25"/>
          <w:lang w:eastAsia="en-US"/>
        </w:rPr>
        <w:t>после слова «бухгалтерской» дополнить словом «(финансовой)»;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абзаце 6 слово «других» заменить словом «иных»;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абзаце 9 слова «ключевых показателей эффективности деятельности предприятий и обществ» заменить словами «показателей деятельности предприятий, ключевых показателей эффективности деятельности обществ, показателей депремирования»;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дополнить абзацем 13 следующего содержания: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«выработка рекомендаций по утверждению программы отчуждения непрофильных активов предприятий, реестра непрофильных активов предприятий, оценка реализации предприятиями программ отчуждения непрофильных активов.»;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разделе 4 Положения: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подпункт «в» пункта 4.1.1. после слова «бухгалтерская» дополнить словом «(финансовая)»;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пункты 4.2. - 4.4. изложить в следующей редакции: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1" w:name="sub_42"/>
      <w:bookmarkEnd w:id="1"/>
      <w:r>
        <w:rPr>
          <w:rFonts w:eastAsia="Calibri" w:eastAsiaTheme="minorHAnsi"/>
          <w:sz w:val="25"/>
          <w:szCs w:val="25"/>
          <w:lang w:eastAsia="en-US"/>
        </w:rPr>
        <w:t>«4.2. Предприятия и общества в установленные сроки представляют в рабочую (экспертную) группу комиссии необходимый комплект документов, в том числе: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2" w:name="sub_42"/>
      <w:bookmarkStart w:id="3" w:name="sub_421"/>
      <w:bookmarkEnd w:id="2"/>
      <w:bookmarkEnd w:id="3"/>
      <w:r>
        <w:rPr>
          <w:rFonts w:eastAsia="Calibri" w:eastAsiaTheme="minorHAnsi"/>
          <w:sz w:val="25"/>
          <w:szCs w:val="25"/>
          <w:lang w:eastAsia="en-US"/>
        </w:rPr>
        <w:t xml:space="preserve">а) бухгалтерскую (финансовую) отчетность </w:t>
      </w:r>
      <w:r>
        <w:rPr>
          <w:color w:val="000000"/>
          <w:sz w:val="25"/>
          <w:szCs w:val="25"/>
        </w:rPr>
        <w:t>за прошедший финансовый год и за отчетный период текущего года;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4" w:name="sub_421"/>
      <w:bookmarkStart w:id="5" w:name="sub_422"/>
      <w:bookmarkEnd w:id="4"/>
      <w:bookmarkEnd w:id="5"/>
      <w:r>
        <w:rPr>
          <w:rFonts w:eastAsia="Calibri" w:eastAsiaTheme="minorHAnsi"/>
          <w:sz w:val="25"/>
          <w:szCs w:val="25"/>
          <w:lang w:eastAsia="en-US"/>
        </w:rPr>
        <w:t xml:space="preserve">б) </w:t>
      </w:r>
      <w:r>
        <w:rPr>
          <w:color w:val="000000"/>
          <w:sz w:val="25"/>
          <w:szCs w:val="25"/>
        </w:rPr>
        <w:t>программу деятельности предприятия на очередной финансовый год</w:t>
      </w:r>
      <w:r>
        <w:rPr>
          <w:rFonts w:eastAsia="Calibri" w:eastAsiaTheme="minorHAnsi"/>
          <w:sz w:val="25"/>
          <w:szCs w:val="25"/>
          <w:lang w:eastAsia="en-US"/>
        </w:rPr>
        <w:t>;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6" w:name="sub_422"/>
      <w:bookmarkStart w:id="7" w:name="sub_423"/>
      <w:bookmarkEnd w:id="6"/>
      <w:bookmarkEnd w:id="7"/>
      <w:r>
        <w:rPr>
          <w:rFonts w:eastAsia="Calibri" w:eastAsiaTheme="minorHAnsi"/>
          <w:sz w:val="25"/>
          <w:szCs w:val="25"/>
          <w:lang w:eastAsia="en-US"/>
        </w:rPr>
        <w:t xml:space="preserve">в) </w:t>
      </w:r>
      <w:r>
        <w:rPr>
          <w:color w:val="000000"/>
          <w:sz w:val="25"/>
          <w:szCs w:val="25"/>
        </w:rPr>
        <w:t>справку-расшифровку по объектам незавершенного строительства с указанием сроков введения их в эксплуатацию в соответствии с планом капитального строительства;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8" w:name="sub_423"/>
      <w:bookmarkStart w:id="9" w:name="sub_426"/>
      <w:bookmarkEnd w:id="8"/>
      <w:bookmarkEnd w:id="9"/>
      <w:r>
        <w:rPr>
          <w:rFonts w:eastAsia="Calibri" w:eastAsiaTheme="minorHAnsi"/>
          <w:sz w:val="25"/>
          <w:szCs w:val="25"/>
          <w:lang w:eastAsia="en-US"/>
        </w:rPr>
        <w:t>г) приказ об учетной политике на текущий год;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10" w:name="sub_426"/>
      <w:bookmarkStart w:id="11" w:name="sub_427"/>
      <w:bookmarkEnd w:id="10"/>
      <w:bookmarkEnd w:id="11"/>
      <w:r>
        <w:rPr>
          <w:rFonts w:eastAsia="Calibri" w:eastAsiaTheme="minorHAnsi"/>
          <w:sz w:val="25"/>
          <w:szCs w:val="25"/>
          <w:lang w:eastAsia="en-US"/>
        </w:rPr>
        <w:t>д) расшифровку отвлеченных средств из чистой прибыли;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r>
        <w:rPr>
          <w:rFonts w:eastAsia="Calibri" w:eastAsiaTheme="minorHAnsi"/>
          <w:sz w:val="25"/>
          <w:szCs w:val="25"/>
          <w:lang w:eastAsia="en-US"/>
        </w:rPr>
        <w:t xml:space="preserve">е) </w:t>
      </w:r>
      <w:r>
        <w:rPr>
          <w:color w:val="000000"/>
          <w:sz w:val="25"/>
          <w:szCs w:val="25"/>
        </w:rPr>
        <w:t>расшифровку долгосрочных финансовых вложений;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12" w:name="sub_427"/>
      <w:bookmarkStart w:id="13" w:name="sub_428"/>
      <w:bookmarkEnd w:id="12"/>
      <w:r>
        <w:rPr>
          <w:rFonts w:eastAsia="Calibri" w:eastAsiaTheme="minorHAnsi"/>
          <w:sz w:val="25"/>
          <w:szCs w:val="25"/>
          <w:lang w:eastAsia="en-US"/>
        </w:rPr>
        <w:t xml:space="preserve">ж) </w:t>
      </w:r>
      <w:r>
        <w:rPr>
          <w:color w:val="000000"/>
          <w:sz w:val="25"/>
          <w:szCs w:val="25"/>
        </w:rPr>
        <w:t>акты проверки налоговыми органами, имеющиеся аудиторские отчеты и заключения;</w:t>
      </w:r>
      <w:r>
        <w:rPr>
          <w:rFonts w:eastAsia="Calibri" w:eastAsiaTheme="minorHAnsi"/>
          <w:sz w:val="25"/>
          <w:szCs w:val="25"/>
          <w:lang w:eastAsia="en-US"/>
        </w:rPr>
        <w:t xml:space="preserve"> </w:t>
      </w:r>
      <w:bookmarkStart w:id="14" w:name="sub_429"/>
      <w:bookmarkEnd w:id="13"/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r>
        <w:rPr>
          <w:rFonts w:eastAsia="Calibri" w:eastAsiaTheme="minorHAnsi"/>
          <w:sz w:val="25"/>
          <w:szCs w:val="25"/>
          <w:lang w:eastAsia="en-US"/>
        </w:rPr>
        <w:t>з) справку о начисленных и уплаченных в бюджет города Новочебоксарска Чувашской Республики дивидендах (для обществ).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15" w:name="sub_4210"/>
      <w:bookmarkEnd w:id="14"/>
      <w:bookmarkEnd w:id="15"/>
      <w:r>
        <w:rPr>
          <w:rFonts w:eastAsia="Calibri" w:eastAsiaTheme="minorHAnsi"/>
          <w:sz w:val="25"/>
          <w:szCs w:val="25"/>
          <w:lang w:eastAsia="en-US"/>
        </w:rPr>
        <w:t xml:space="preserve">и) </w:t>
      </w:r>
      <w:r>
        <w:rPr>
          <w:color w:val="000000"/>
          <w:sz w:val="25"/>
          <w:szCs w:val="25"/>
        </w:rPr>
        <w:t xml:space="preserve">сведения о выполнении </w:t>
      </w:r>
      <w:r>
        <w:rPr>
          <w:rStyle w:val="Style14"/>
          <w:i w:val="false"/>
          <w:color w:val="000000"/>
          <w:sz w:val="25"/>
          <w:szCs w:val="25"/>
        </w:rPr>
        <w:t>показателей деятельности предприятий</w:t>
      </w:r>
      <w:r>
        <w:rPr>
          <w:rStyle w:val="Style14"/>
          <w:color w:val="000000"/>
          <w:sz w:val="25"/>
          <w:szCs w:val="25"/>
        </w:rPr>
        <w:t>,</w:t>
      </w:r>
      <w:r>
        <w:rPr>
          <w:color w:val="000000"/>
          <w:sz w:val="25"/>
          <w:szCs w:val="25"/>
        </w:rPr>
        <w:t xml:space="preserve"> ключевых показателей эффективности деятельности </w:t>
      </w:r>
      <w:r>
        <w:rPr>
          <w:rStyle w:val="Style14"/>
          <w:i w:val="false"/>
          <w:color w:val="000000"/>
          <w:sz w:val="25"/>
          <w:szCs w:val="25"/>
        </w:rPr>
        <w:t>обществ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и</w:t>
      </w:r>
      <w:r>
        <w:rPr>
          <w:i/>
          <w:color w:val="000000"/>
          <w:sz w:val="25"/>
          <w:szCs w:val="25"/>
        </w:rPr>
        <w:t xml:space="preserve"> </w:t>
      </w:r>
      <w:r>
        <w:rPr>
          <w:rStyle w:val="Style14"/>
          <w:i w:val="false"/>
          <w:color w:val="000000"/>
          <w:sz w:val="25"/>
          <w:szCs w:val="25"/>
        </w:rPr>
        <w:t>показателей депремирования</w:t>
      </w:r>
      <w:r>
        <w:rPr>
          <w:color w:val="000000"/>
          <w:sz w:val="25"/>
          <w:szCs w:val="25"/>
        </w:rPr>
        <w:t>;</w:t>
      </w:r>
      <w:r>
        <w:rPr>
          <w:rFonts w:eastAsia="Calibri" w:eastAsiaTheme="minorHAnsi"/>
          <w:sz w:val="25"/>
          <w:szCs w:val="25"/>
          <w:lang w:eastAsia="en-US"/>
        </w:rPr>
        <w:t xml:space="preserve"> 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16" w:name="sub_4210"/>
      <w:bookmarkStart w:id="17" w:name="sub_4211"/>
      <w:bookmarkEnd w:id="16"/>
      <w:bookmarkEnd w:id="17"/>
      <w:r>
        <w:rPr>
          <w:rFonts w:eastAsia="Calibri" w:eastAsiaTheme="minorHAnsi"/>
          <w:sz w:val="25"/>
          <w:szCs w:val="25"/>
          <w:lang w:eastAsia="en-US"/>
        </w:rPr>
        <w:t>к) утвержденную программу отчуждения непрофильных активов и отчет о ее выполнении;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bookmarkStart w:id="18" w:name="sub_4211"/>
      <w:bookmarkEnd w:id="18"/>
      <w:r>
        <w:rPr>
          <w:rFonts w:eastAsia="Calibri" w:eastAsiaTheme="minorHAnsi"/>
          <w:sz w:val="25"/>
          <w:szCs w:val="25"/>
          <w:lang w:eastAsia="en-US"/>
        </w:rPr>
        <w:t>л) сведения о среднемесячной заработной плате руководителей, их заместителей, главных бухгалтеров предприятий, формируемой за счет всех источников финансового обеспечения и рассчитываемой за календарный год, и среднемесячной заработной плате работников предприятий (без учета заработной платы соответствующего руководителя, его заместителей, главного бухгалтера).</w:t>
      </w:r>
      <w:bookmarkStart w:id="19" w:name="sub_4212"/>
      <w:bookmarkEnd w:id="19"/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4.3. При необходимости для проведения анализа финансово-хозяйственной деятельности у учреждений, предприятий и обществ могут запрашиваться дополнительные материалы.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4.4. Рабочая (экспертная) группа на основании полученных материалов проводит финансовый анализ автоматизированным способом по единой программе. В ходе проведения финансового анализа осуществляется: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а) общая оценка финансового состояния предприятия и общества и тенденции (динамика) изменения финансовых показателей за определенный период времени;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б) анализ оборачиваемости оборотных активов;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в) анализ платежеспособности и финансовой устойчивости;</w:t>
      </w:r>
    </w:p>
    <w:p>
      <w:pPr>
        <w:pStyle w:val="Normal"/>
        <w:ind w:firstLine="709"/>
        <w:jc w:val="both"/>
        <w:rPr/>
      </w:pPr>
      <w:r>
        <w:rPr>
          <w:color w:val="000000"/>
          <w:sz w:val="25"/>
          <w:szCs w:val="25"/>
        </w:rPr>
        <w:t xml:space="preserve">г) анализ кредитоспособности и </w:t>
      </w:r>
      <w:r>
        <w:rPr>
          <w:color w:val="000000" w:themeColor="text1"/>
          <w:sz w:val="25"/>
          <w:szCs w:val="25"/>
        </w:rPr>
        <w:t xml:space="preserve">ликвидности </w:t>
      </w:r>
      <w:r>
        <w:fldChar w:fldCharType="begin"/>
      </w:r>
      <w:r>
        <w:rPr>
          <w:rStyle w:val="Style11"/>
          <w:sz w:val="25"/>
          <w:u w:val="none"/>
          <w:szCs w:val="25"/>
        </w:rPr>
        <w:instrText> HYPERLINK "http://mobileonline.garant.ru/" \l "/document/12177762/entry/10000"</w:instrText>
      </w:r>
      <w:r>
        <w:rPr>
          <w:rStyle w:val="Style11"/>
          <w:sz w:val="25"/>
          <w:u w:val="none"/>
          <w:szCs w:val="25"/>
        </w:rPr>
        <w:fldChar w:fldCharType="separate"/>
      </w:r>
      <w:r>
        <w:rPr>
          <w:rStyle w:val="Style11"/>
          <w:color w:val="000000" w:themeColor="text1"/>
          <w:sz w:val="25"/>
          <w:szCs w:val="25"/>
          <w:u w:val="none"/>
        </w:rPr>
        <w:t>бухгалтерского баланса</w:t>
      </w:r>
      <w:r>
        <w:rPr>
          <w:rStyle w:val="Style11"/>
          <w:sz w:val="25"/>
          <w:u w:val="none"/>
          <w:szCs w:val="25"/>
        </w:rPr>
        <w:fldChar w:fldCharType="end"/>
      </w:r>
      <w:r>
        <w:rPr>
          <w:color w:val="000000" w:themeColor="text1"/>
          <w:sz w:val="25"/>
          <w:szCs w:val="25"/>
        </w:rPr>
        <w:t>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д) анализ финансовых результатов;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е) оценка деловой активности предприятия, общества;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ж) анализ уровня соотношения среднемесячной заработной платы руководителей, их заместителей, главных бухгалтеров учреждений и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и предприятий (без учета заработной платы соответствующего руководителя, его заместителей, главного бухгалтера);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з) оценка выполнения учреждением государственного задания </w:t>
      </w:r>
      <w:r>
        <w:rPr>
          <w:rStyle w:val="Style14"/>
          <w:i w:val="false"/>
          <w:color w:val="000000"/>
          <w:sz w:val="25"/>
          <w:szCs w:val="25"/>
        </w:rPr>
        <w:t>на оказание государственных услуг (выполнение работ)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и достижения установленных показателей эффективности деятельности учреждения;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и) анализ реализации </w:t>
      </w:r>
      <w:r>
        <w:rPr>
          <w:rStyle w:val="Style14"/>
          <w:i w:val="false"/>
          <w:color w:val="000000"/>
          <w:sz w:val="25"/>
          <w:szCs w:val="25"/>
        </w:rPr>
        <w:t>предприятиями и</w:t>
      </w:r>
      <w:r>
        <w:rPr>
          <w:color w:val="000000"/>
          <w:sz w:val="25"/>
          <w:szCs w:val="25"/>
        </w:rPr>
        <w:t xml:space="preserve"> обществами программ отчуждения непрофильных активов;</w:t>
      </w:r>
    </w:p>
    <w:p>
      <w:pPr>
        <w:pStyle w:val="Normal"/>
        <w:ind w:firstLine="709"/>
        <w:jc w:val="both"/>
        <w:rPr/>
      </w:pPr>
      <w:r>
        <w:rPr>
          <w:color w:val="000000"/>
          <w:sz w:val="25"/>
          <w:szCs w:val="25"/>
        </w:rPr>
        <w:t xml:space="preserve">к) анализ причин образования не использованных по состоянию на 1 января текущего финансового года остатков субсидий, предоставленных учреждениям в соответствии </w:t>
      </w:r>
      <w:r>
        <w:rPr>
          <w:color w:val="000000" w:themeColor="text1"/>
          <w:sz w:val="25"/>
          <w:szCs w:val="25"/>
        </w:rPr>
        <w:t xml:space="preserve">с </w:t>
      </w:r>
      <w:r>
        <w:fldChar w:fldCharType="begin"/>
      </w:r>
      <w:r>
        <w:rPr>
          <w:rStyle w:val="Style11"/>
          <w:sz w:val="25"/>
          <w:u w:val="none"/>
          <w:szCs w:val="25"/>
        </w:rPr>
        <w:instrText> HYPERLINK "http://mobileonline.garant.ru/" \l "/document/12112604/entry/7811"</w:instrText>
      </w:r>
      <w:r>
        <w:rPr>
          <w:rStyle w:val="Style11"/>
          <w:sz w:val="25"/>
          <w:u w:val="none"/>
          <w:szCs w:val="25"/>
        </w:rPr>
        <w:fldChar w:fldCharType="separate"/>
      </w:r>
      <w:r>
        <w:rPr>
          <w:rStyle w:val="Style11"/>
          <w:color w:val="000000" w:themeColor="text1"/>
          <w:sz w:val="25"/>
          <w:szCs w:val="25"/>
          <w:u w:val="none"/>
        </w:rPr>
        <w:t>абзацем первым пункта 1 статьи 78.1</w:t>
      </w:r>
      <w:r>
        <w:rPr>
          <w:rStyle w:val="Style11"/>
          <w:sz w:val="25"/>
          <w:u w:val="none"/>
          <w:szCs w:val="25"/>
        </w:rPr>
        <w:fldChar w:fldCharType="end"/>
      </w:r>
      <w:r>
        <w:rPr>
          <w:color w:val="000000" w:themeColor="text1"/>
          <w:sz w:val="25"/>
          <w:szCs w:val="25"/>
        </w:rPr>
        <w:t xml:space="preserve"> Бюджетного</w:t>
      </w:r>
      <w:r>
        <w:rPr>
          <w:color w:val="000000"/>
          <w:sz w:val="25"/>
          <w:szCs w:val="25"/>
        </w:rPr>
        <w:t xml:space="preserve"> кодекса Российской Федерации на финансовое обеспечение выполнения ими государственных заданий на оказание государственных услуг (выполнение работ), и полноты их возврата в доход республиканского бюджета Чувашской Республики в связи с недостижением установленных государственным заданием </w:t>
      </w:r>
      <w:r>
        <w:rPr>
          <w:rStyle w:val="Style14"/>
          <w:i w:val="false"/>
          <w:color w:val="000000"/>
          <w:sz w:val="25"/>
          <w:szCs w:val="25"/>
        </w:rPr>
        <w:t>на оказание муниципальных услуг (выполнение работ)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показателей, характеризующих объем муниципальных услуг (работ);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л) анализ обоснований для внесения изменений в муниципальные задания на оказание муниципальных услуг (выполнение работ) в течение текущего года».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пункты 4.6.,4.7. </w:t>
      </w:r>
      <w:r>
        <w:rPr>
          <w:sz w:val="25"/>
          <w:szCs w:val="25"/>
        </w:rPr>
        <w:t>изложить в следующей редакции:</w:t>
      </w:r>
    </w:p>
    <w:p>
      <w:pPr>
        <w:pStyle w:val="Normal"/>
        <w:ind w:firstLine="708"/>
        <w:jc w:val="both"/>
        <w:rPr>
          <w:rFonts w:eastAsia="Calibri"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>«</w:t>
      </w:r>
      <w:r>
        <w:rPr>
          <w:color w:val="000000"/>
          <w:sz w:val="25"/>
          <w:szCs w:val="25"/>
        </w:rPr>
        <w:t xml:space="preserve">4.6. На заседании комиссии по итогам фактических результатов деятельности предприятия за 9 месяцев текущего года и оценки ожидаемого выполнения показателей текущего года заслушивается отчет руководителя предприятия и с учетом представленных рабочей (экспертной) группой аналитических материалов комиссия выносит рекомендации по утверждению программы деятельности предприятия и </w:t>
      </w:r>
      <w:r>
        <w:rPr>
          <w:rStyle w:val="Style14"/>
          <w:i w:val="false"/>
          <w:color w:val="000000"/>
          <w:sz w:val="25"/>
          <w:szCs w:val="25"/>
        </w:rPr>
        <w:t>значений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показателей деятельности предприятия</w:t>
      </w:r>
      <w:r>
        <w:rPr>
          <w:rStyle w:val="Style14"/>
          <w:color w:val="000000"/>
          <w:sz w:val="25"/>
          <w:szCs w:val="25"/>
        </w:rPr>
        <w:t>,</w:t>
      </w:r>
      <w:r>
        <w:rPr>
          <w:rStyle w:val="Style14"/>
          <w:i w:val="false"/>
          <w:color w:val="000000"/>
          <w:sz w:val="25"/>
          <w:szCs w:val="25"/>
        </w:rPr>
        <w:t xml:space="preserve"> показателей депремирования руководителя предприятия</w:t>
      </w:r>
      <w:r>
        <w:rPr>
          <w:color w:val="000000"/>
          <w:sz w:val="25"/>
          <w:szCs w:val="25"/>
        </w:rPr>
        <w:t xml:space="preserve"> на очередной финансовый год и аналогичных прогнозных </w:t>
      </w:r>
      <w:r>
        <w:rPr>
          <w:rStyle w:val="Style14"/>
          <w:i w:val="false"/>
          <w:color w:val="000000"/>
          <w:sz w:val="25"/>
          <w:szCs w:val="25"/>
        </w:rPr>
        <w:t>значений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на два последующих года. Программа деятельности предприятия и </w:t>
      </w:r>
      <w:r>
        <w:rPr>
          <w:rStyle w:val="Style14"/>
          <w:i w:val="false"/>
          <w:color w:val="000000"/>
          <w:sz w:val="25"/>
          <w:szCs w:val="25"/>
        </w:rPr>
        <w:t>значения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показателей деятельности предприятия</w:t>
      </w:r>
      <w:r>
        <w:rPr>
          <w:rStyle w:val="Style14"/>
          <w:color w:val="000000"/>
          <w:sz w:val="25"/>
          <w:szCs w:val="25"/>
        </w:rPr>
        <w:t xml:space="preserve">, </w:t>
      </w:r>
      <w:r>
        <w:rPr>
          <w:rStyle w:val="Style14"/>
          <w:i w:val="false"/>
          <w:color w:val="000000"/>
          <w:sz w:val="25"/>
          <w:szCs w:val="25"/>
        </w:rPr>
        <w:t>показателей депремирования руководителя предприятия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на очередной финансовый год и аналогичные прогнозные </w:t>
      </w:r>
      <w:r>
        <w:rPr>
          <w:rStyle w:val="Style14"/>
          <w:i w:val="false"/>
          <w:color w:val="000000"/>
          <w:sz w:val="25"/>
          <w:szCs w:val="25"/>
        </w:rPr>
        <w:t>значения</w:t>
      </w:r>
      <w:r>
        <w:rPr>
          <w:color w:val="000000"/>
          <w:sz w:val="25"/>
          <w:szCs w:val="25"/>
        </w:rPr>
        <w:t xml:space="preserve"> на два последующих года утверждаются главой администрации города Новочебоксарска Чувашской Республики </w:t>
      </w:r>
      <w:r>
        <w:rPr>
          <w:rFonts w:eastAsia="Calibri" w:eastAsiaTheme="minorHAnsi"/>
          <w:sz w:val="25"/>
          <w:szCs w:val="25"/>
          <w:lang w:eastAsia="en-US"/>
        </w:rPr>
        <w:t>или курирующим заместителем главы администрации города Новочебоксарска Чувашской Республики ежегодно до 25 декабря текущего года.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Комиссия также выносит рекомендации по </w:t>
      </w:r>
      <w:r>
        <w:rPr>
          <w:rStyle w:val="Style14"/>
          <w:i w:val="false"/>
          <w:color w:val="000000"/>
          <w:sz w:val="25"/>
          <w:szCs w:val="25"/>
        </w:rPr>
        <w:t>утверждению значений</w:t>
      </w:r>
      <w:r>
        <w:rPr>
          <w:color w:val="000000"/>
          <w:sz w:val="25"/>
          <w:szCs w:val="25"/>
        </w:rPr>
        <w:t xml:space="preserve"> показателей экономической эффективности деятельности обществ</w:t>
      </w:r>
      <w:r>
        <w:rPr>
          <w:rStyle w:val="Style14"/>
          <w:color w:val="000000"/>
          <w:sz w:val="25"/>
          <w:szCs w:val="25"/>
        </w:rPr>
        <w:t xml:space="preserve">, </w:t>
      </w:r>
      <w:r>
        <w:rPr>
          <w:rStyle w:val="Style14"/>
          <w:i w:val="false"/>
          <w:color w:val="000000"/>
          <w:sz w:val="25"/>
          <w:szCs w:val="25"/>
        </w:rPr>
        <w:t>ключевых показателей эффективности деятельности обществ, показателей депремирования руководителя общества</w:t>
      </w:r>
      <w:r>
        <w:rPr>
          <w:color w:val="000000"/>
          <w:sz w:val="25"/>
          <w:szCs w:val="25"/>
        </w:rPr>
        <w:t xml:space="preserve"> на очередной финансовый год и </w:t>
      </w:r>
      <w:r>
        <w:rPr>
          <w:rStyle w:val="Style14"/>
          <w:i w:val="false"/>
          <w:color w:val="000000"/>
          <w:sz w:val="25"/>
          <w:szCs w:val="25"/>
        </w:rPr>
        <w:t>аналогичных прогнозных значений</w:t>
      </w:r>
      <w:r>
        <w:rPr>
          <w:color w:val="000000"/>
          <w:sz w:val="25"/>
          <w:szCs w:val="25"/>
        </w:rPr>
        <w:t xml:space="preserve"> на два последующих года, которые утверждаются главой администрации города Новочебоксарска Чувашской Республики </w:t>
      </w:r>
      <w:r>
        <w:rPr>
          <w:rFonts w:eastAsia="Calibri" w:eastAsiaTheme="minorHAnsi"/>
          <w:sz w:val="25"/>
          <w:szCs w:val="25"/>
          <w:lang w:eastAsia="en-US"/>
        </w:rPr>
        <w:t>или курирующим заместителем главы администрации города Новочебоксарска Чувашской Республики ежегодно до 25 декабря текущего года</w:t>
      </w:r>
      <w:r>
        <w:rPr>
          <w:color w:val="000000"/>
          <w:sz w:val="25"/>
          <w:szCs w:val="25"/>
        </w:rPr>
        <w:t>.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4.7. На заседании комиссии: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а) заслушивается отчет руководителя: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учреждения и с учетом представленных рабочей (экспертной) группой аналитических материалов комиссия оценивает качество выполнения учреждением муниципального задания </w:t>
      </w:r>
      <w:r>
        <w:rPr>
          <w:rStyle w:val="Style14"/>
          <w:i w:val="false"/>
          <w:color w:val="000000"/>
          <w:sz w:val="25"/>
          <w:szCs w:val="25"/>
        </w:rPr>
        <w:t>на оказание муниципальных услуг (выполнение работ)</w:t>
      </w:r>
      <w:r>
        <w:rPr>
          <w:i/>
          <w:color w:val="000000"/>
          <w:sz w:val="25"/>
          <w:szCs w:val="25"/>
        </w:rPr>
        <w:t>,</w:t>
      </w:r>
      <w:r>
        <w:rPr>
          <w:color w:val="000000"/>
          <w:sz w:val="25"/>
          <w:szCs w:val="25"/>
        </w:rPr>
        <w:t xml:space="preserve"> плана финансово-хозяйственной деятельности, показателей эффективности деятельности учреждения по итогам квартала;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предприятия и с учетом представленных рабочей (экспертной) группой аналитических материалов комиссия оценивает качество системы управления предприятием, а также уровень профессиональной компетенции руководителя предприятия по итогам финансового года;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общества </w:t>
      </w:r>
      <w:r>
        <w:rPr>
          <w:rStyle w:val="Style14"/>
          <w:i w:val="false"/>
          <w:color w:val="000000"/>
          <w:sz w:val="25"/>
          <w:szCs w:val="25"/>
        </w:rPr>
        <w:t>и предприятия</w:t>
      </w:r>
      <w:r>
        <w:rPr>
          <w:color w:val="000000"/>
          <w:sz w:val="25"/>
          <w:szCs w:val="25"/>
        </w:rPr>
        <w:t xml:space="preserve"> о реализации программы отчуждения непрофильных активов по итогам финансового года;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б) оценивается уровень соотношения среднемесячной заработной платы руководителей, их заместителей, главных бухгалтеров учреждений и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и предприятий (без учета заработной платы соответствующего руководителя, его заместителей, главного бухгалтера) по итогам финансового года.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 итогам квартала, исходя из фактических результатов деятельности и выполнения учреждением показателей эффективности деятельности учреждения за прошедший квартал, комиссия выносит рекомендации по премированию (депремированию) руководителей учреждений.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 итогам финансового года, исходя из программы деятельности предприятий и фактических результатов деятельности предприятий и обществ за прошедший финансовый год, комиссия выносит рекомендации по: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утверждению годовой бухгалтерской </w:t>
      </w:r>
      <w:r>
        <w:rPr>
          <w:rStyle w:val="Style14"/>
          <w:i w:val="false"/>
          <w:color w:val="000000"/>
          <w:sz w:val="25"/>
          <w:szCs w:val="25"/>
        </w:rPr>
        <w:t>(финансовой)</w:t>
      </w:r>
      <w:r>
        <w:rPr>
          <w:color w:val="000000"/>
          <w:sz w:val="25"/>
          <w:szCs w:val="25"/>
        </w:rPr>
        <w:t xml:space="preserve"> отчетности (для предприятий);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rStyle w:val="Style14"/>
          <w:i w:val="false"/>
          <w:i w:val="false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уточнению программ деятельности предприятий, значений показателей </w:t>
      </w:r>
      <w:r>
        <w:rPr>
          <w:rStyle w:val="Style14"/>
          <w:i w:val="false"/>
          <w:color w:val="000000"/>
          <w:sz w:val="25"/>
          <w:szCs w:val="25"/>
        </w:rPr>
        <w:t>деятельности предприятий, показателей депремирования руководителя предприятия на очередной финансовый год и плановый период;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rStyle w:val="Style14"/>
          <w:i w:val="false"/>
          <w:color w:val="000000"/>
          <w:sz w:val="25"/>
          <w:szCs w:val="25"/>
        </w:rPr>
        <w:t>уточнению значений показателей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экономической эффективности деятельности обществ на очередной финансовый год и плановый период</w:t>
      </w:r>
      <w:r>
        <w:rPr>
          <w:rStyle w:val="Style14"/>
          <w:i w:val="false"/>
          <w:color w:val="000000"/>
          <w:sz w:val="25"/>
          <w:szCs w:val="25"/>
        </w:rPr>
        <w:t>, ключевых показателей эффективности деятельности обществ, показателей депремирования руководителя общества на два последующих года</w:t>
      </w:r>
      <w:r>
        <w:rPr>
          <w:color w:val="000000"/>
          <w:sz w:val="25"/>
          <w:szCs w:val="25"/>
        </w:rPr>
        <w:t>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5"/>
          <w:szCs w:val="25"/>
        </w:rPr>
        <w:t xml:space="preserve">распределению </w:t>
      </w:r>
      <w:r>
        <w:rPr>
          <w:rStyle w:val="Style14"/>
          <w:i w:val="false"/>
          <w:color w:val="000000"/>
          <w:sz w:val="25"/>
          <w:szCs w:val="25"/>
        </w:rPr>
        <w:t>части</w:t>
      </w:r>
      <w:r>
        <w:rPr>
          <w:color w:val="000000"/>
          <w:sz w:val="25"/>
          <w:szCs w:val="25"/>
        </w:rPr>
        <w:t xml:space="preserve"> прибыли, остающейся в распоряжении предприятия после уплаты налогов и </w:t>
      </w:r>
      <w:r>
        <w:rPr>
          <w:rStyle w:val="Style14"/>
          <w:i w:val="false"/>
          <w:color w:val="000000"/>
          <w:sz w:val="25"/>
          <w:szCs w:val="25"/>
        </w:rPr>
        <w:t>иных</w:t>
      </w:r>
      <w:r>
        <w:rPr>
          <w:color w:val="000000"/>
          <w:sz w:val="25"/>
          <w:szCs w:val="25"/>
        </w:rPr>
        <w:t xml:space="preserve"> обязательных платежей (строка </w:t>
      </w:r>
      <w:r>
        <w:rPr>
          <w:color w:val="000000" w:themeColor="text1"/>
          <w:sz w:val="25"/>
          <w:szCs w:val="25"/>
        </w:rPr>
        <w:t xml:space="preserve">2400 </w:t>
      </w:r>
      <w:r>
        <w:fldChar w:fldCharType="begin"/>
      </w:r>
      <w:r>
        <w:rPr>
          <w:rStyle w:val="Style11"/>
          <w:sz w:val="25"/>
          <w:u w:val="none"/>
          <w:szCs w:val="25"/>
        </w:rPr>
        <w:instrText> HYPERLINK "http://mobileonline.garant.ru/" \l "/document/12177762/entry/20000"</w:instrText>
      </w:r>
      <w:r>
        <w:rPr>
          <w:rStyle w:val="Style11"/>
          <w:sz w:val="25"/>
          <w:u w:val="none"/>
          <w:szCs w:val="25"/>
        </w:rPr>
        <w:fldChar w:fldCharType="separate"/>
      </w:r>
      <w:r>
        <w:rPr>
          <w:rStyle w:val="Style11"/>
          <w:color w:val="000000" w:themeColor="text1"/>
          <w:sz w:val="25"/>
          <w:szCs w:val="25"/>
          <w:u w:val="none"/>
        </w:rPr>
        <w:t>формы</w:t>
      </w:r>
      <w:r>
        <w:rPr>
          <w:rStyle w:val="Style11"/>
          <w:sz w:val="25"/>
          <w:u w:val="none"/>
          <w:szCs w:val="25"/>
        </w:rPr>
        <w:fldChar w:fldCharType="end"/>
      </w:r>
      <w:r>
        <w:rPr>
          <w:color w:val="000000"/>
          <w:sz w:val="25"/>
          <w:szCs w:val="25"/>
        </w:rPr>
        <w:t xml:space="preserve"> по </w:t>
      </w:r>
      <w:r>
        <w:rPr>
          <w:color w:val="000000" w:themeColor="text1"/>
          <w:sz w:val="25"/>
          <w:szCs w:val="25"/>
        </w:rPr>
        <w:t xml:space="preserve">ОКУД </w:t>
      </w:r>
      <w:r>
        <w:fldChar w:fldCharType="begin"/>
      </w:r>
      <w:r>
        <w:rPr>
          <w:rStyle w:val="Style11"/>
          <w:sz w:val="25"/>
          <w:u w:val="none"/>
          <w:szCs w:val="25"/>
        </w:rPr>
        <w:instrText> HYPERLINK "http://mobileonline.garant.ru/" \l "/document/179139/entry/710002"</w:instrText>
      </w:r>
      <w:r>
        <w:rPr>
          <w:rStyle w:val="Style11"/>
          <w:sz w:val="25"/>
          <w:u w:val="none"/>
          <w:szCs w:val="25"/>
        </w:rPr>
        <w:fldChar w:fldCharType="separate"/>
      </w:r>
      <w:r>
        <w:rPr>
          <w:rStyle w:val="Style11"/>
          <w:color w:val="000000" w:themeColor="text1"/>
          <w:sz w:val="25"/>
          <w:szCs w:val="25"/>
          <w:u w:val="none"/>
        </w:rPr>
        <w:t>0710002</w:t>
      </w:r>
      <w:r>
        <w:rPr>
          <w:rStyle w:val="Style11"/>
          <w:sz w:val="25"/>
          <w:u w:val="none"/>
          <w:szCs w:val="25"/>
        </w:rPr>
        <w:fldChar w:fldCharType="end"/>
      </w:r>
      <w:r>
        <w:rPr>
          <w:color w:val="000000"/>
          <w:sz w:val="25"/>
          <w:szCs w:val="25"/>
        </w:rPr>
        <w:t xml:space="preserve"> «Отчет о </w:t>
      </w:r>
      <w:r>
        <w:rPr>
          <w:rStyle w:val="Style14"/>
          <w:i w:val="false"/>
          <w:color w:val="000000"/>
          <w:sz w:val="25"/>
          <w:szCs w:val="25"/>
        </w:rPr>
        <w:t>финансовых результатах»</w:t>
      </w:r>
      <w:r>
        <w:rPr>
          <w:color w:val="000000"/>
          <w:sz w:val="25"/>
          <w:szCs w:val="25"/>
        </w:rPr>
        <w:t>), в том числе подлежащей перечислению в бюджет города Новочебоксарска Чувашской Республики;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размеру дивидендов обществ;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проведению аттестации руководителей предприятий;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реорганизации, ликвидации предприятий;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премированию (депремированию) руководителей предприятий и обществ по итогам оценки </w:t>
      </w:r>
      <w:r>
        <w:rPr>
          <w:rStyle w:val="Style14"/>
          <w:i w:val="false"/>
          <w:color w:val="000000"/>
          <w:sz w:val="25"/>
          <w:szCs w:val="25"/>
        </w:rPr>
        <w:t>фактически достигнутых значений</w:t>
      </w:r>
      <w:r>
        <w:rPr>
          <w:color w:val="000000"/>
          <w:sz w:val="25"/>
          <w:szCs w:val="25"/>
        </w:rPr>
        <w:t xml:space="preserve"> ключевых показателей эффективности деятельности </w:t>
      </w:r>
      <w:r>
        <w:rPr>
          <w:rStyle w:val="Style14"/>
          <w:i w:val="false"/>
          <w:color w:val="000000"/>
          <w:sz w:val="25"/>
          <w:szCs w:val="25"/>
        </w:rPr>
        <w:t>обществ (показателей деятельности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предприятий</w:t>
      </w:r>
      <w:r>
        <w:rPr>
          <w:rStyle w:val="Style14"/>
          <w:i w:val="false"/>
          <w:color w:val="000000"/>
          <w:sz w:val="25"/>
          <w:szCs w:val="25"/>
        </w:rPr>
        <w:t>), показателей депремирования, причин отклонений (невыполнения или перевыполнения) фактически достигнутых значений ключевых показателей эффективности деятельности</w:t>
      </w:r>
      <w:r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обществ </w:t>
      </w:r>
      <w:r>
        <w:rPr>
          <w:rStyle w:val="Style14"/>
          <w:i w:val="false"/>
          <w:color w:val="000000"/>
          <w:sz w:val="25"/>
          <w:szCs w:val="25"/>
        </w:rPr>
        <w:t>(показателей деятельности предприятий) от их установленных значений</w:t>
      </w:r>
      <w:r>
        <w:rPr>
          <w:i/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изложить приложение к постановлению администрации города Новочебоксарска Чувашской Республики от </w:t>
      </w:r>
      <w:r>
        <w:rPr>
          <w:sz w:val="25"/>
          <w:szCs w:val="25"/>
        </w:rPr>
        <w:t>26.09.2018 г. № 1403 «Об утверждении Положения о муниципальной балансовой комиссии» в следующей редакции: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rStyle w:val="Style12"/>
          <w:b w:val="false"/>
          <w:b w:val="false"/>
          <w:bCs w:val="false"/>
          <w:color w:val="000000"/>
          <w:sz w:val="25"/>
          <w:szCs w:val="25"/>
        </w:rPr>
      </w:pPr>
      <w:r>
        <w:rPr>
          <w:b w:val="false"/>
          <w:bCs w:val="false"/>
          <w:color w:val="000000"/>
          <w:sz w:val="25"/>
          <w:szCs w:val="25"/>
        </w:rPr>
      </w:r>
    </w:p>
    <w:p>
      <w:pPr>
        <w:pStyle w:val="Normal"/>
        <w:jc w:val="right"/>
        <w:rPr>
          <w:rStyle w:val="Style12"/>
          <w:b w:val="false"/>
          <w:b w:val="false"/>
          <w:color w:val="auto"/>
          <w:sz w:val="25"/>
          <w:szCs w:val="25"/>
        </w:rPr>
      </w:pPr>
      <w:r>
        <w:rPr>
          <w:b w:val="false"/>
          <w:color w:val="auto"/>
          <w:sz w:val="25"/>
          <w:szCs w:val="25"/>
        </w:rPr>
      </w:r>
    </w:p>
    <w:p>
      <w:pPr>
        <w:pStyle w:val="Normal"/>
        <w:jc w:val="right"/>
        <w:rPr>
          <w:rStyle w:val="Style12"/>
          <w:b w:val="false"/>
          <w:b w:val="false"/>
          <w:color w:val="auto"/>
          <w:sz w:val="25"/>
          <w:szCs w:val="25"/>
        </w:rPr>
      </w:pPr>
      <w:r>
        <w:rPr>
          <w:b w:val="false"/>
          <w:color w:val="auto"/>
          <w:sz w:val="25"/>
          <w:szCs w:val="25"/>
        </w:rPr>
      </w:r>
    </w:p>
    <w:p>
      <w:pPr>
        <w:pStyle w:val="Normal"/>
        <w:jc w:val="right"/>
        <w:rPr>
          <w:rStyle w:val="Style12"/>
          <w:b w:val="false"/>
          <w:b w:val="false"/>
          <w:color w:val="auto"/>
          <w:sz w:val="25"/>
          <w:szCs w:val="25"/>
        </w:rPr>
      </w:pPr>
      <w:r>
        <w:rPr>
          <w:b w:val="false"/>
          <w:color w:val="auto"/>
          <w:sz w:val="25"/>
          <w:szCs w:val="25"/>
        </w:rPr>
      </w:r>
    </w:p>
    <w:p>
      <w:pPr>
        <w:pStyle w:val="Normal"/>
        <w:jc w:val="right"/>
        <w:rPr/>
      </w:pPr>
      <w:r>
        <w:rPr>
          <w:rStyle w:val="Style12"/>
          <w:b w:val="false"/>
          <w:color w:val="auto"/>
          <w:sz w:val="25"/>
          <w:szCs w:val="25"/>
        </w:rPr>
        <w:t>«Приложение № 1</w:t>
        <w:br/>
        <w:t xml:space="preserve">к </w:t>
      </w:r>
      <w:hyperlink w:anchor="sub_1000">
        <w:r>
          <w:rPr>
            <w:rStyle w:val="Style13"/>
            <w:b w:val="false"/>
            <w:color w:val="auto"/>
            <w:sz w:val="25"/>
            <w:szCs w:val="25"/>
          </w:rPr>
          <w:t>Положению</w:t>
        </w:r>
      </w:hyperlink>
      <w:r>
        <w:rPr>
          <w:rStyle w:val="Style12"/>
          <w:b w:val="false"/>
          <w:color w:val="auto"/>
          <w:sz w:val="25"/>
          <w:szCs w:val="25"/>
        </w:rPr>
        <w:t xml:space="preserve"> о муниципальной</w:t>
        <w:br/>
        <w:t>балансовой комиссии</w:t>
      </w:r>
      <w:bookmarkStart w:id="20" w:name="sub_1100"/>
      <w:bookmarkEnd w:id="20"/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Ключевые показатели</w:t>
        <w:br/>
        <w:t>экономической эффективности деятельности</w:t>
        <w:br/>
        <w:t>__________________________________________________________</w:t>
        <w:br/>
        <w:t>(наименование организации)</w:t>
        <w:br/>
        <w:t>на ____________________ год</w:t>
        <w:br/>
        <w:t>(планируемый период)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"/>
        <w:gridCol w:w="3686"/>
        <w:gridCol w:w="1133"/>
        <w:gridCol w:w="1134"/>
        <w:gridCol w:w="1134"/>
        <w:gridCol w:w="1133"/>
        <w:gridCol w:w="710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квартал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квартал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 год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Результаты деятельности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Выручка от продажи товаров, продукции, работ,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Чистая прибыль (убыток)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рентабельность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использования имущества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имущества (валюта баланса)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основных средств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Величина чистых активов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собственного капитала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Фондоотдача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использования трудовых ресурсов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Среднесписочная численность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Средняя заработная плата по предприятию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Выработка на 1 работающего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в бюджет города Новочебоксарска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Часть чистой прибыли или дивиденды, подлежащие перечислению в бюджет города Новочебоксарска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Финансовые коэффициенты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 текущей ликвидности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 обеспеченности собственными средствами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 финансовой независимости (коэффициент автономии)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 соотношения заемных и собственных средств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  <w:t>Руководитель организации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  <w:t>Главный бухгалтер»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сети Интернет.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Контроль за исполнением данного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города Новочебоксарска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Чувашской Республики</w:t>
        <w:tab/>
        <w:tab/>
        <w:tab/>
        <w:tab/>
        <w:tab/>
        <w:tab/>
        <w:tab/>
        <w:t xml:space="preserve">      О.В. Чепрасова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Arial Cyr Chu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75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43715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3275b3"/>
    <w:pPr>
      <w:keepNext w:val="true"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Normal"/>
    <w:next w:val="Normal"/>
    <w:link w:val="30"/>
    <w:qFormat/>
    <w:rsid w:val="003275b3"/>
    <w:pPr>
      <w:keepNext w:val="true"/>
      <w:ind w:right="-94" w:hanging="0"/>
      <w:jc w:val="both"/>
      <w:outlineLvl w:val="2"/>
    </w:pPr>
    <w:rPr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3275b3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3275b3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a9094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3715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2" w:customStyle="1">
    <w:name w:val="Цветовое выделение"/>
    <w:uiPriority w:val="99"/>
    <w:qFormat/>
    <w:rsid w:val="0043715d"/>
    <w:rPr>
      <w:b/>
      <w:bCs/>
      <w:color w:val="26282F"/>
    </w:rPr>
  </w:style>
  <w:style w:type="character" w:styleId="Style13" w:customStyle="1">
    <w:name w:val="Гипертекстовая ссылка"/>
    <w:basedOn w:val="Style12"/>
    <w:uiPriority w:val="99"/>
    <w:qFormat/>
    <w:rsid w:val="0043715d"/>
    <w:rPr>
      <w:color w:val="106BBE"/>
    </w:rPr>
  </w:style>
  <w:style w:type="character" w:styleId="Style14">
    <w:name w:val="Выделение"/>
    <w:basedOn w:val="DefaultParagraphFont"/>
    <w:uiPriority w:val="20"/>
    <w:qFormat/>
    <w:rsid w:val="001c21c4"/>
    <w:rPr>
      <w:i/>
      <w:iCs/>
    </w:rPr>
  </w:style>
  <w:style w:type="character" w:styleId="Style15" w:customStyle="1">
    <w:name w:val="Основной текст_"/>
    <w:basedOn w:val="DefaultParagraphFont"/>
    <w:link w:val="31"/>
    <w:qFormat/>
    <w:rsid w:val="004764d3"/>
    <w:rPr>
      <w:rFonts w:ascii="Times New Roman" w:hAnsi="Times New Roman" w:eastAsia="Times New Roman" w:cs="Times New Roman"/>
      <w:shd w:fill="FFFFFF" w:val="clear"/>
    </w:rPr>
  </w:style>
  <w:style w:type="character" w:styleId="22" w:customStyle="1">
    <w:name w:val="Основной текст2"/>
    <w:basedOn w:val="Style15"/>
    <w:qFormat/>
    <w:rsid w:val="004764d3"/>
    <w:rPr>
      <w:color w:val="000000"/>
      <w:spacing w:val="0"/>
      <w:w w:val="100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37" w:customStyle="1">
    <w:name w:val="s_37"/>
    <w:basedOn w:val="Normal"/>
    <w:qFormat/>
    <w:rsid w:val="0043715d"/>
    <w:pPr>
      <w:spacing w:beforeAutospacing="1" w:afterAutospacing="1"/>
    </w:pPr>
    <w:rPr/>
  </w:style>
  <w:style w:type="paragraph" w:styleId="Style21" w:customStyle="1">
    <w:name w:val="Нормальный (таблица)"/>
    <w:basedOn w:val="Normal"/>
    <w:next w:val="Normal"/>
    <w:uiPriority w:val="99"/>
    <w:qFormat/>
    <w:rsid w:val="0043715d"/>
    <w:pPr>
      <w:widowControl w:val="false"/>
      <w:jc w:val="both"/>
    </w:pPr>
    <w:rPr>
      <w:rFonts w:ascii="Times New Roman Cyr" w:hAnsi="Times New Roman Cyr" w:eastAsia="" w:cs="Times New Roman Cyr" w:eastAsiaTheme="minorEastAsia"/>
    </w:rPr>
  </w:style>
  <w:style w:type="paragraph" w:styleId="Style22" w:customStyle="1">
    <w:name w:val="Прижатый влево"/>
    <w:basedOn w:val="Normal"/>
    <w:next w:val="Normal"/>
    <w:uiPriority w:val="99"/>
    <w:qFormat/>
    <w:rsid w:val="0043715d"/>
    <w:pPr>
      <w:widowControl w:val="false"/>
    </w:pPr>
    <w:rPr>
      <w:rFonts w:ascii="Times New Roman Cyr" w:hAnsi="Times New Roman Cyr" w:eastAsia="" w:cs="Times New Roman Cyr" w:eastAsiaTheme="minorEastAsia"/>
    </w:rPr>
  </w:style>
  <w:style w:type="paragraph" w:styleId="S22" w:customStyle="1">
    <w:name w:val="s_22"/>
    <w:basedOn w:val="Normal"/>
    <w:qFormat/>
    <w:rsid w:val="00f704c7"/>
    <w:pPr>
      <w:spacing w:beforeAutospacing="1" w:afterAutospacing="1"/>
    </w:pPr>
    <w:rPr/>
  </w:style>
  <w:style w:type="paragraph" w:styleId="S1" w:customStyle="1">
    <w:name w:val="s_1"/>
    <w:basedOn w:val="Normal"/>
    <w:qFormat/>
    <w:rsid w:val="00f704c7"/>
    <w:pPr>
      <w:spacing w:beforeAutospacing="1" w:afterAutospacing="1"/>
    </w:pPr>
    <w:rPr/>
  </w:style>
  <w:style w:type="paragraph" w:styleId="32" w:customStyle="1">
    <w:name w:val="Основной текст3"/>
    <w:basedOn w:val="Normal"/>
    <w:link w:val="a9"/>
    <w:qFormat/>
    <w:rsid w:val="004764d3"/>
    <w:pPr>
      <w:widowControl w:val="false"/>
      <w:shd w:val="clear" w:color="auto" w:fill="FFFFFF"/>
      <w:spacing w:lineRule="auto" w:before="0" w:after="600"/>
      <w:ind w:hanging="340"/>
      <w:jc w:val="both"/>
    </w:pPr>
    <w:rPr>
      <w:sz w:val="22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LibreOffice/6.3.0.4$Windows_X86_64 LibreOffice_project/057fc023c990d676a43019934386b85b21a9ee99</Application>
  <Pages>6</Pages>
  <Words>1536</Words>
  <Characters>12143</Characters>
  <CharactersWithSpaces>13574</CharactersWithSpaces>
  <Paragraphs>130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2019-11-22T13:06:00Z</dcterms:created>
  <dc:creator>Михайлова Елена Сергеевна</dc:creator>
  <dc:description/>
  <dc:language>ru-RU</dc:language>
  <cp:lastModifiedBy/>
  <cp:lastPrinted>2020-02-13T07:03:00Z</cp:lastPrinted>
  <dcterms:modified xsi:type="dcterms:W3CDTF">2020-04-01T10:45:59Z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