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 CYR" w:hAnsi="Times New Roman CYR"/>
          <w:sz w:val="22"/>
          <w:szCs w:val="22"/>
        </w:rPr>
        <w:t>Приложение № 1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к  постановлению администрации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города Новочебоксарска 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Чувашской Республики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от                   № </w:t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Объем финансирования Муниципальной программы с разбивкой по годам ее реализации</w:t>
            </w:r>
          </w:p>
        </w:tc>
        <w:tc>
          <w:tcPr>
            <w:tcW w:w="6803" w:type="dxa"/>
            <w:tcBorders/>
            <w:shd w:fill="auto" w:val="clear"/>
          </w:tcPr>
          <w:p>
            <w:pPr>
              <w:pStyle w:val="Style22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</w:r>
          </w:p>
          <w:p>
            <w:pPr>
              <w:pStyle w:val="Style22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- прогнозируемый объем финансирования подпрограмм Муниципальной программы  составляет  573237,5  тыс. рублей, в том числе: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2019 году –  62 392,0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2020 году –  </w:t>
            </w:r>
            <w:r>
              <w:rPr>
                <w:rFonts w:cs="Times New Roman" w:ascii="Times New Roman" w:hAnsi="Times New Roman"/>
                <w:szCs w:val="22"/>
              </w:rPr>
              <w:t xml:space="preserve">59 423,7 </w:t>
            </w:r>
            <w:r>
              <w:rPr>
                <w:rFonts w:cs="Times New Roman" w:ascii="Times New Roman CYR" w:hAnsi="Times New Roman CYR"/>
                <w:szCs w:val="22"/>
              </w:rPr>
              <w:t>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2021 году -   </w:t>
            </w:r>
            <w:r>
              <w:rPr>
                <w:rFonts w:cs="Times New Roman" w:ascii="Times New Roman" w:hAnsi="Times New Roman"/>
                <w:szCs w:val="22"/>
              </w:rPr>
              <w:t xml:space="preserve">44 037,4 </w:t>
            </w:r>
            <w:r>
              <w:rPr>
                <w:rFonts w:cs="Times New Roman" w:ascii="Times New Roman CYR" w:hAnsi="Times New Roman CYR"/>
                <w:szCs w:val="22"/>
              </w:rPr>
              <w:t>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2022 году -  </w:t>
            </w:r>
            <w:r>
              <w:rPr>
                <w:rFonts w:cs="Times New Roman" w:ascii="Times New Roman" w:hAnsi="Times New Roman"/>
                <w:szCs w:val="22"/>
              </w:rPr>
              <w:t>48 309,6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2023 году – </w:t>
            </w:r>
            <w:r>
              <w:rPr>
                <w:rFonts w:cs="Times New Roman" w:ascii="Times New Roman" w:hAnsi="Times New Roman"/>
                <w:szCs w:val="22"/>
              </w:rPr>
              <w:t>26 992,9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2024 году – </w:t>
            </w:r>
            <w:r>
              <w:rPr>
                <w:rFonts w:cs="Times New Roman" w:ascii="Times New Roman" w:hAnsi="Times New Roman"/>
                <w:szCs w:val="22"/>
              </w:rPr>
              <w:t>28  694,5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2025 году – </w:t>
            </w:r>
            <w:r>
              <w:rPr>
                <w:rFonts w:cs="Times New Roman" w:ascii="Times New Roman" w:hAnsi="Times New Roman"/>
                <w:szCs w:val="22"/>
              </w:rPr>
              <w:t>27  163,0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2026 – 2030 годах – </w:t>
            </w:r>
            <w:r>
              <w:rPr>
                <w:rFonts w:cs="Times New Roman" w:ascii="Times New Roman" w:hAnsi="Times New Roman"/>
                <w:szCs w:val="22"/>
              </w:rPr>
              <w:t>141 055,9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в 2031 – 2035 годах  - </w:t>
            </w:r>
            <w:r>
              <w:rPr>
                <w:rFonts w:cs="Times New Roman" w:ascii="Times New Roman" w:hAnsi="Times New Roman"/>
                <w:szCs w:val="22"/>
              </w:rPr>
              <w:t>135 168,5</w:t>
            </w:r>
            <w:r>
              <w:rPr>
                <w:rFonts w:cs="Times New Roman" w:ascii="Times New Roman CYR" w:hAnsi="Times New Roman CYR"/>
                <w:szCs w:val="22"/>
              </w:rPr>
              <w:t xml:space="preserve"> тыс.рублей,  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из них средства: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федерального бюджета – 205 399,8  тыс. рублей, в том числе: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2019 году – 38146,4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2020 году -  32 814,8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2021 году -  23 095,1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2022 году -  22 159,6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2023 году -  6 860,3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2024 году -  6 860,3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2025 году -  6 860,3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2026-2030 годах – 34 301,5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2031-2035 годах – 34 301,5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республиканского бюджета Чувашской Республики – 278 069,7 тыс. рублей, в том числе: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2019 году – 18 792,6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2020 году – 21 338,9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2021 году – 15 672,3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2022 году -  20 880,0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2023 году – 14 867,6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2024 году – 16 564,2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2025 году – 15 032,7 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2026 – 2030 годах –80 404,4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2031 – 2035 годах –74 517,0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бюджета города Новочебоксарска – 89 773,0 тыс. рублей, в том числе: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2019 году – 5 453,0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2020 году –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2021 году - 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2022 году - 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2023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2024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2025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2026 – 2030 годах – 26 350,0 тыс.рублей;</w:t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в 2031 – 2035 годах – 26 350,0тыс.рублей;</w:t>
            </w:r>
          </w:p>
          <w:p>
            <w:pPr>
              <w:pStyle w:val="Style22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Объемы финансирования Муниципальной программы подлежат уточнению при формировании бюджета города Новочебоксарска на очередной финансовый год и плановый период;</w:t>
            </w:r>
          </w:p>
        </w:tc>
      </w:tr>
    </w:tbl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Приложение № 2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к  постановлению администрации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города Новочебоксарска 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Чувашской Республики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от                                    №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Общий объем финансирования подпрограммы в 2019–2035 годах составляет 139 952,7 тыс. рублей, в том числе средства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федерального бюджета –115 015,2 тыс.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республиканского бюджета Чувашской Республики – 24 937,5 тыс. рублей (таблица).</w:t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0"/>
        <w:gridCol w:w="1672"/>
        <w:gridCol w:w="1461"/>
        <w:gridCol w:w="1579"/>
        <w:gridCol w:w="1395"/>
        <w:gridCol w:w="1877"/>
      </w:tblGrid>
      <w:tr>
        <w:trPr/>
        <w:tc>
          <w:tcPr>
            <w:tcW w:w="22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7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>
        <w:trPr/>
        <w:tc>
          <w:tcPr>
            <w:tcW w:w="226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>
        <w:trPr/>
        <w:tc>
          <w:tcPr>
            <w:tcW w:w="226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67"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0"/>
        <w:gridCol w:w="1672"/>
        <w:gridCol w:w="1461"/>
        <w:gridCol w:w="1579"/>
        <w:gridCol w:w="1395"/>
        <w:gridCol w:w="1877"/>
      </w:tblGrid>
      <w:tr>
        <w:trPr>
          <w:tblHeader w:val="true"/>
        </w:trPr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2019–2035 годы, </w:t>
              <w:br/>
              <w:t>в том числе: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139 952,7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115 015,2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24 937,5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7 745,3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6 622,2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21 400,6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13 318,2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8 082,4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5 950,3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3 534,5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9 979,9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2 356,4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34 301.5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>
      <w:pPr>
        <w:sectPr>
          <w:type w:val="nextPage"/>
          <w:pgSz w:w="11906" w:h="16838"/>
          <w:pgMar w:left="850" w:right="707" w:header="0" w:top="567" w:footer="0" w:bottom="28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Cs w:val="22"/>
        </w:rPr>
        <w:t xml:space="preserve">Приложение № 3                </w:t>
      </w:r>
    </w:p>
    <w:p>
      <w:pPr>
        <w:pStyle w:val="ConsPlusNormal"/>
        <w:ind w:firstLine="540"/>
        <w:jc w:val="both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Cs w:val="22"/>
        </w:rPr>
        <w:t xml:space="preserve">к муниципальной программе                     </w:t>
      </w:r>
    </w:p>
    <w:p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 xml:space="preserve">   </w:t>
      </w:r>
      <w:r>
        <w:rPr>
          <w:rFonts w:cs="Times New Roman" w:ascii="Times New Roman CYR" w:hAnsi="Times New Roman CYR"/>
          <w:szCs w:val="22"/>
        </w:rPr>
        <w:t>«Обеспечение граждан в городе</w:t>
      </w:r>
    </w:p>
    <w:p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 xml:space="preserve">Новочебоксарске доступным </w:t>
      </w:r>
    </w:p>
    <w:p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>и комфортным жильем»</w:t>
      </w:r>
    </w:p>
    <w:p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</w:r>
    </w:p>
    <w:p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>СВЕДЕНИЯ</w:t>
      </w:r>
    </w:p>
    <w:p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>
        <w:rPr>
          <w:rFonts w:cs="Times New Roman" w:ascii="Times New Roman CYR" w:hAnsi="Times New Roman CYR"/>
          <w:szCs w:val="22"/>
        </w:rPr>
        <w:t>О ПОКАЗАТЕЛЯХ (ИНДИКАТОРАХ) МУНИЦИПАЛЬНОЙ ПРОГРАММЫ «ОБЕСПЕЧЕНИЕ ГРАЖДАН В ГОРОДЕ НОВОЧБОКСАРСКЕ ДОСТУПНЫМ И КОМФОРТНЫМ ЖИЛЬЕМ</w:t>
      </w:r>
    </w:p>
    <w:p>
      <w:pPr>
        <w:pStyle w:val="Normal"/>
        <w:spacing w:lineRule="auto" w:line="240" w:before="0" w:after="0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tbl>
      <w:tblPr>
        <w:tblW w:w="16374" w:type="dxa"/>
        <w:jc w:val="lef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"/>
        <w:gridCol w:w="7"/>
        <w:gridCol w:w="3624"/>
        <w:gridCol w:w="16"/>
        <w:gridCol w:w="691"/>
        <w:gridCol w:w="8"/>
        <w:gridCol w:w="8"/>
        <w:gridCol w:w="975"/>
        <w:gridCol w:w="8"/>
        <w:gridCol w:w="8"/>
        <w:gridCol w:w="1117"/>
        <w:gridCol w:w="8"/>
        <w:gridCol w:w="8"/>
        <w:gridCol w:w="1117"/>
        <w:gridCol w:w="8"/>
        <w:gridCol w:w="8"/>
        <w:gridCol w:w="1125"/>
        <w:gridCol w:w="8"/>
        <w:gridCol w:w="1132"/>
        <w:gridCol w:w="1134"/>
        <w:gridCol w:w="991"/>
        <w:gridCol w:w="1416"/>
        <w:gridCol w:w="781"/>
        <w:gridCol w:w="636"/>
        <w:gridCol w:w="72"/>
        <w:gridCol w:w="1"/>
        <w:gridCol w:w="9"/>
        <w:gridCol w:w="3"/>
        <w:gridCol w:w="1134"/>
      </w:tblGrid>
      <w:tr>
        <w:trPr>
          <w:trHeight w:val="601" w:hRule="atLeast"/>
        </w:trPr>
        <w:tc>
          <w:tcPr>
            <w:tcW w:w="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right="-278" w:hanging="0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Целевой индикатор (показатель) (наименование)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Единица</w:t>
            </w:r>
          </w:p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измерения</w:t>
            </w:r>
          </w:p>
        </w:tc>
        <w:tc>
          <w:tcPr>
            <w:tcW w:w="105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                                                                </w:t>
            </w:r>
            <w:r>
              <w:rPr>
                <w:rFonts w:cs="Times New Roman" w:ascii="Times New Roman CYR" w:hAnsi="Times New Roman CYR"/>
                <w:szCs w:val="22"/>
              </w:rPr>
              <w:t>Значение целевого индикатора (показателя)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3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3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7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05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Годы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2021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2026 - 2030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2031 - 2035</w:t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239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1, Подпрограмма «Муниципальная поддержка строительства жилья»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54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    </w:t>
            </w:r>
            <w:r>
              <w:rPr>
                <w:rFonts w:cs="Times New Roman" w:ascii="Times New Roman CYR" w:hAnsi="Times New Roman CYR"/>
                <w:szCs w:val="22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66" w:hRule="atLeast"/>
        </w:trPr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1.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"Обеспечение жилыми помещениями по договорам социального найма многодетных семей, указанных в п. 3 ч. 1 ст. 11 Закона ЧР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кв. м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154,85</w:t>
            </w:r>
          </w:p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  </w:t>
            </w:r>
            <w:r>
              <w:rPr>
                <w:rFonts w:eastAsia="Times New Roman" w:ascii="Times New Roman CYR" w:hAnsi="Times New Roman CYR"/>
                <w:lang w:eastAsia="ru-RU"/>
              </w:rPr>
              <w:t>0</w:t>
            </w:r>
          </w:p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</w:t>
            </w:r>
            <w:r>
              <w:rPr>
                <w:rFonts w:eastAsia="Times New Roman" w:ascii="Times New Roman CYR" w:hAnsi="Times New Roman CYR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 </w:t>
            </w:r>
            <w:r>
              <w:rPr>
                <w:rFonts w:eastAsia="Times New Roman" w:ascii="Times New Roman CYR" w:hAnsi="Times New Roman CYR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 </w:t>
            </w:r>
            <w:r>
              <w:rPr>
                <w:rFonts w:eastAsia="Times New Roman" w:ascii="Times New Roman CYR" w:hAnsi="Times New Roman CYR"/>
                <w:lang w:eastAsia="ru-RU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</w:t>
            </w:r>
            <w:r>
              <w:rPr>
                <w:rFonts w:eastAsia="Times New Roman" w:ascii="Times New Roman CYR" w:hAnsi="Times New Roman CYR"/>
                <w:lang w:eastAsia="ru-RU"/>
              </w:rPr>
              <w:t>108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</w:t>
            </w:r>
            <w:r>
              <w:rPr>
                <w:rFonts w:eastAsia="Times New Roman" w:ascii="Times New Roman CYR" w:hAnsi="Times New Roman CYR"/>
                <w:lang w:eastAsia="ru-RU"/>
              </w:rPr>
              <w:t>443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280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45" w:hRule="atLeast"/>
        </w:trPr>
        <w:tc>
          <w:tcPr>
            <w:tcW w:w="3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2.</w:t>
            </w:r>
          </w:p>
        </w:tc>
        <w:tc>
          <w:tcPr>
            <w:tcW w:w="3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</w:t>
            </w:r>
            <w:r>
              <w:rPr>
                <w:rFonts w:eastAsia="Times New Roman" w:ascii="Times New Roman CYR" w:hAnsi="Times New Roman CYR"/>
                <w:lang w:eastAsia="ru-RU"/>
              </w:rPr>
              <w:t>"Ведение учета граждан, нуждающихся в жилых помещениях и имеющих право на государственную поддержку на строительство (приобретение) жилых помещений за счет средств республиканского бюджета ЧР.</w:t>
            </w: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семей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</w:t>
            </w:r>
            <w:r>
              <w:rPr>
                <w:rFonts w:eastAsia="Times New Roman" w:ascii="Times New Roman CYR" w:hAnsi="Times New Roman CYR"/>
                <w:lang w:eastAsia="ru-RU"/>
              </w:rPr>
              <w:t>352</w:t>
            </w:r>
          </w:p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190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     </w:t>
            </w:r>
            <w:r>
              <w:rPr/>
              <w:t>570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   </w:t>
            </w:r>
            <w:r>
              <w:rPr/>
              <w:t>540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3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3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7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3.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услугами»</w:t>
            </w:r>
          </w:p>
        </w:tc>
        <w:tc>
          <w:tcPr>
            <w:tcW w:w="7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количество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</w:t>
            </w:r>
            <w:r>
              <w:rPr>
                <w:rFonts w:eastAsia="Times New Roman" w:ascii="Times New Roman CYR" w:hAnsi="Times New Roman CYR"/>
                <w:lang w:eastAsia="ru-RU"/>
              </w:rPr>
              <w:t>54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38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35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33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31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</w:t>
            </w:r>
            <w:r>
              <w:rPr>
                <w:rFonts w:eastAsia="Times New Roman" w:ascii="Times New Roman CYR" w:hAnsi="Times New Roman CYR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</w:t>
            </w:r>
            <w:r>
              <w:rPr>
                <w:rFonts w:eastAsia="Times New Roman" w:ascii="Times New Roman CYR" w:hAnsi="Times New Roman CYR"/>
                <w:lang w:eastAsia="ru-RU"/>
              </w:rPr>
              <w:t>150</w:t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47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152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 xml:space="preserve">                                                 </w:t>
            </w:r>
            <w:r>
              <w:rPr>
                <w:rFonts w:ascii="Times New Roman CYR" w:hAnsi="Times New Roman CYR"/>
                <w:szCs w:val="22"/>
              </w:rPr>
              <w:t>2. Подпрограмма «Обеспечение</w:t>
            </w:r>
            <w:r>
              <w:rPr>
                <w:rFonts w:cs="Times New Roman" w:ascii="Times New Roman CYR" w:hAnsi="Times New Roman CYR"/>
                <w:szCs w:val="22"/>
              </w:rPr>
              <w:t xml:space="preserve"> жилыми помещениями детей-сирот и детей, оставшихся без попечения родителей,  лиц из числа            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 CYR" w:hAnsi="Times New Roman CYR"/>
                <w:szCs w:val="22"/>
              </w:rPr>
              <w:t>детей-сирот и детей, оставшихся без попечения родителей".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1.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 CYR" w:hAnsi="Times New Roman CYR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родителей".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количество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18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</w:t>
            </w:r>
            <w:r>
              <w:rPr>
                <w:rFonts w:eastAsia="Times New Roman" w:ascii="Times New Roman CYR" w:hAnsi="Times New Roman CYR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  </w:t>
            </w:r>
            <w:r>
              <w:rPr>
                <w:rFonts w:eastAsia="Times New Roman" w:ascii="Times New Roman CYR" w:hAnsi="Times New Roman CYR"/>
                <w:lang w:eastAsia="ru-RU"/>
              </w:rPr>
              <w:t>30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    </w:t>
            </w:r>
            <w:r>
              <w:rPr>
                <w:rFonts w:eastAsia="Times New Roman" w:ascii="Times New Roman CYR" w:hAnsi="Times New Roman CYR"/>
                <w:lang w:eastAsia="ru-RU"/>
              </w:rPr>
              <w:t>30</w:t>
            </w:r>
          </w:p>
        </w:tc>
        <w:tc>
          <w:tcPr>
            <w:tcW w:w="114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95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2.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"Субвенции на проведение ремонта жилых помещений, собственниками которых являются дети-сироты и дети, оставшиеся на попечении родителей, а также лица из числа детей сирот и детей, оставшихся без попечения родителей в возрасте от 14 до 23 лет"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тыс.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.руб.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</w:t>
            </w:r>
            <w:r>
              <w:rPr>
                <w:rFonts w:eastAsia="Times New Roman" w:ascii="Times New Roman CYR" w:hAnsi="Times New Roman CYR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010" w:hRule="atLeast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3.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8"/>
              <w:ind w:hanging="29"/>
              <w:jc w:val="both"/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 CYR" w:hAnsi="Times New Roman CYR" w:eastAsia="Times New Roman"/>
                <w:lang w:eastAsia="ru-RU"/>
              </w:rPr>
            </w:pPr>
            <w:r>
              <w:rPr>
                <w:rFonts w:eastAsia="Times New Roman" w:ascii="Times New Roman CYR" w:hAnsi="Times New Roman CYR"/>
                <w:lang w:eastAsia="ru-RU"/>
              </w:rPr>
              <w:t xml:space="preserve">     </w:t>
            </w: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/>
              </w:rPr>
              <w:t xml:space="preserve">     </w:t>
            </w: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 CYR" w:hAnsi="Times New Roman CYR"/>
                <w:lang w:eastAsia="ru-RU"/>
              </w:rPr>
              <w:t>5</w:t>
            </w:r>
          </w:p>
        </w:tc>
        <w:tc>
          <w:tcPr>
            <w:tcW w:w="11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</w:r>
    </w:p>
    <w:p>
      <w:pPr>
        <w:pStyle w:val="ConsPlusTitlePage"/>
        <w:tabs>
          <w:tab w:val="clear" w:pos="708"/>
          <w:tab w:val="left" w:pos="9923" w:leader="none"/>
        </w:tabs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TitlePage"/>
        <w:tabs>
          <w:tab w:val="clear" w:pos="708"/>
          <w:tab w:val="left" w:pos="992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Приложение № 4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к  постановлению администрации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города Новочебоксарска 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>Чувашской Республики</w:t>
      </w:r>
    </w:p>
    <w:p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 CYR" w:hAnsi="Times New Roman CYR"/>
          <w:sz w:val="22"/>
          <w:szCs w:val="22"/>
        </w:rPr>
        <w:t xml:space="preserve">от                                №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РЕСУРСНОЕ ОБЕСПЕЧЕНИЕ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РЕАЛИЗАЦИИ МУНИЦИПАЛЬНОЙ ПРОГРАММЫ 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«ОБЕСПЕЧЕНИЕ ГРАЖДАН В ГОРОДЕ НОВОЧЕБОКСАРСКЕ ДОСТУПНЫМ И КОМФОРТНЫМ ЖИЛЬЕМ»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7010" w:type="dxa"/>
        <w:jc w:val="lef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3268"/>
        <w:gridCol w:w="1422"/>
        <w:gridCol w:w="566"/>
        <w:gridCol w:w="1133"/>
        <w:gridCol w:w="992"/>
        <w:gridCol w:w="991"/>
        <w:gridCol w:w="1133"/>
        <w:gridCol w:w="1133"/>
        <w:gridCol w:w="1133"/>
        <w:gridCol w:w="1133"/>
        <w:gridCol w:w="1133"/>
        <w:gridCol w:w="561"/>
        <w:gridCol w:w="570"/>
        <w:gridCol w:w="2"/>
        <w:gridCol w:w="6"/>
        <w:gridCol w:w="1280"/>
      </w:tblGrid>
      <w:tr>
        <w:trPr/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Уровень бюджета &lt;*&gt;</w:t>
            </w:r>
          </w:p>
        </w:tc>
        <w:tc>
          <w:tcPr>
            <w:tcW w:w="9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2026 - 2030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2031 - 2035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«Обеспечение граждан в городе Новочебоксарске доступным и комфортным жильем»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62 392,0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59 423,7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44 037,4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48 309,6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26 992,9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28  694,5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27  163,0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141 055,9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135 168,5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hyperlink w:anchor="P2550">
              <w:r>
                <w:rPr>
                  <w:rStyle w:val="ListLabel13"/>
                  <w:rFonts w:cs="Times New Roman" w:ascii="Times New Roman" w:hAnsi="Times New Roman"/>
                </w:rPr>
                <w:t>Подпрограмма</w:t>
              </w:r>
            </w:hyperlink>
            <w:r>
              <w:rPr>
                <w:rFonts w:cs="Times New Roman" w:ascii="Times New Roman" w:hAnsi="Times New Roman"/>
              </w:rPr>
              <w:t xml:space="preserve"> "Муниципальная поддержка строительства жилья"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А21Х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54 646,7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38 023,1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38 087,1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38 329,7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19 694,7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21396,3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19864,8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104 564,9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98 677,5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83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2">
              <w:r>
                <w:rPr>
                  <w:rStyle w:val="ListLabel13"/>
                  <w:rFonts w:cs="Times New Roman" w:ascii="Times New Roman" w:hAnsi="Times New Roman"/>
                </w:rPr>
                <w:t>пункте 3 части 1 статьи 11</w:t>
              </w:r>
            </w:hyperlink>
            <w:r>
              <w:rPr>
                <w:rFonts w:cs="Times New Roman" w:ascii="Times New Roman" w:hAnsi="Times New Roman"/>
              </w:rPr>
              <w:t xml:space="preserve"> Закона Чувашской Республики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А210312940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1 973,9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3 675,5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2 144,0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15 960,9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10 073,5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1 973,9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3 675,5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2 144,0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15 960,9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10 073,5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2: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помещениях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«Государственная поддержка молодых семей в решении жилищной проблемы»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49 353,2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38 010,3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  <w:tab w:val="center" w:pos="450" w:leader="none"/>
              </w:tabs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38 316, 9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88 540,0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88 540,0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31524,2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19 496,6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19 560,6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19 803,2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12 376,0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62 190,0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62 190,0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5 453,0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26 350,0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26 350,0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3: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r>
              <w:rPr/>
              <w:t xml:space="preserve">пункте 4 части 1 статьи 3  </w:t>
            </w:r>
            <w:r>
              <w:rPr>
                <w:rFonts w:cs="Times New Roman" w:ascii="Times New Roman" w:hAnsi="Times New Roman"/>
              </w:rPr>
              <w:t>Закона Чувашской Республики "О регулировании жилищных отношений" и признанных нуждающимися в жилых помещениях и малоимущими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172960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0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172960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8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-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«Обеспечение</w:t>
            </w:r>
            <w:r>
              <w:rPr>
                <w:rFonts w:cs="Times New Roman" w:ascii="Times New Roman" w:hAnsi="Times New Roman"/>
              </w:rPr>
              <w:t xml:space="preserve"> жилыми помещениями детей-сирот и детей, оставшихся без попечения</w:t>
            </w:r>
            <w:r>
              <w:rPr>
                <w:rFonts w:ascii="Times New Roman" w:hAnsi="Times New Roman"/>
              </w:rPr>
              <w:t xml:space="preserve">                    родителей,  лиц из числа детей-сирот и детей, оставшихся без попечения родителей».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7 745,3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21 400,6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5 950,3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9 979,9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64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6 622,2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13 318,2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3 534,5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2 356,4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8 082,4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Основное мероприятие 1.Предоставление специализированных  жилых помещений  детям-сиротам и детям, оставшихся без попечения родителей, и  лиц из числа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7 745,3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21 400,6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5 950,3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9 979,9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</w:rPr>
              <w:t>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6 622,2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13 318,2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3 534,5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2 356,4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8 082,4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06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сирот и детей, оставшихся без попечения родителей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города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10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orient="landscape" w:w="16838" w:h="11906"/>
          <w:pgMar w:left="1134" w:right="1134" w:header="0" w:top="142" w:footer="0" w:bottom="142" w:gutter="0"/>
          <w:pgNumType w:fmt="decimal"/>
          <w:formProt w:val="false"/>
          <w:textDirection w:val="lrTb"/>
          <w:docGrid w:type="default" w:linePitch="299" w:charSpace="4096"/>
        </w:sectPr>
        <w:pStyle w:val="ConsPlusTitlePage"/>
        <w:tabs>
          <w:tab w:val="clear" w:pos="708"/>
          <w:tab w:val="left" w:pos="11760" w:leader="none"/>
        </w:tabs>
        <w:rPr>
          <w:rFonts w:ascii="Times New Roman CYR" w:hAnsi="Times New Roman CYR" w:cs="Times New Roman"/>
          <w:sz w:val="22"/>
          <w:szCs w:val="22"/>
        </w:rPr>
      </w:pPr>
      <w:r>
        <w:rPr>
          <w:rFonts w:cs="Times New Roman" w:ascii="Times New Roman CYR" w:hAnsi="Times New Roman CYR"/>
          <w:sz w:val="22"/>
          <w:szCs w:val="22"/>
        </w:rPr>
      </w:r>
    </w:p>
    <w:tbl>
      <w:tblPr>
        <w:tblpPr w:bottomFromText="0" w:horzAnchor="text" w:leftFromText="180" w:rightFromText="180" w:tblpX="0" w:tblpY="1" w:topFromText="0" w:vertAnchor="text"/>
        <w:tblW w:w="977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1560"/>
        <w:gridCol w:w="708"/>
        <w:gridCol w:w="6157"/>
        <w:gridCol w:w="647"/>
      </w:tblGrid>
      <w:tr>
        <w:trPr/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ConsPlusTitlePage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  <w:gridSpan w:val="2"/>
            <w:tcBorders/>
            <w:shd w:fill="auto" w:val="clear"/>
          </w:tcPr>
          <w:p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Приложение  № 5                  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к постановлению администрации 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города Новочебоксарска   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Чувашской Республики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от                             №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прогнозируемый общий объем финансирования мероприятий подпрограммы составляет – 433 284,8 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54 646,7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38 023,1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-  38 087,1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-  38 329,7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19 694,7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21 396,3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19 864,8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– 2030 годах - 104 564,9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2031 – 2035 годах  - 98 677,5 тыс.рублей, 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них средства: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федерального бюджета – 90 384,6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31 524,2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2020 году -  </w:t>
            </w:r>
            <w:r>
              <w:rPr>
                <w:rFonts w:cs="Times New Roman" w:ascii="Times New Roman" w:hAnsi="Times New Roman"/>
                <w:szCs w:val="22"/>
              </w:rPr>
              <w:t>19 496,6</w:t>
            </w:r>
            <w:r>
              <w:rPr>
                <w:rFonts w:cs="Times New Roman" w:ascii="Times New Roman" w:hAnsi="Times New Roman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2021 году -  </w:t>
            </w:r>
            <w:r>
              <w:rPr>
                <w:rFonts w:cs="Times New Roman" w:ascii="Times New Roman" w:hAnsi="Times New Roman"/>
                <w:szCs w:val="22"/>
              </w:rPr>
              <w:t>19 560,6</w:t>
            </w:r>
            <w:r>
              <w:rPr>
                <w:rFonts w:cs="Times New Roman" w:ascii="Times New Roman" w:hAnsi="Times New Roman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2022 году -  </w:t>
            </w:r>
            <w:r>
              <w:rPr>
                <w:rFonts w:cs="Times New Roman" w:ascii="Times New Roman" w:hAnsi="Times New Roman"/>
                <w:szCs w:val="22"/>
              </w:rPr>
              <w:t>19 803,2</w:t>
            </w:r>
            <w:r>
              <w:rPr>
                <w:rFonts w:cs="Times New Roman" w:ascii="Times New Roman" w:hAnsi="Times New Roman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-  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-  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-  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2026-2030 годах – 0,0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2031-2035 годах – 0,0 тыс.рублей.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республиканского бюджета Чувашской Республики – 253 127,2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17 669,5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13 256,5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– 13 256,5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-  13 256,5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14 424,7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16 126,3тыс.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14 594,8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– 2030 годах –78 214,9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– 2035 годах –72 327,5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бюджета города Новочебоксарска – 89 773,0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5 453,0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- 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- 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 5 270,0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– 2030 годах – 26 350,0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– 2035 годах – 26 350,0тыс.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Объемы финансирования подпрограммы подлежат уточнению при формировании бюджета города Новочебоксарска на очередной финансовый год и плановый период</w:t>
            </w:r>
          </w:p>
        </w:tc>
        <w:tc>
          <w:tcPr>
            <w:tcW w:w="64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04" w:type="dxa"/>
            <w:gridSpan w:val="2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65" w:type="dxa"/>
            <w:gridSpan w:val="2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701" w:right="850" w:header="0" w:top="426" w:footer="0" w:bottom="568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049" w:leader="none"/>
          <w:tab w:val="left" w:pos="12191" w:leader="none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№ 6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191" w:leader="none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к постановлению администрации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Чувашской Республики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         №      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Ресурсное обеспечение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реализации подпрограммы "Муниципальная поддержка строительства жилья" муниципальной программы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города Новочебоксарска «Обеспечение  граждан в городе Новочебоксарске доступным и комфортным жильем»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21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268"/>
        <w:gridCol w:w="1278"/>
        <w:gridCol w:w="568"/>
        <w:gridCol w:w="991"/>
        <w:gridCol w:w="992"/>
        <w:gridCol w:w="991"/>
        <w:gridCol w:w="1080"/>
        <w:gridCol w:w="1134"/>
        <w:gridCol w:w="1134"/>
        <w:gridCol w:w="1133"/>
        <w:gridCol w:w="1134"/>
        <w:gridCol w:w="1138"/>
      </w:tblGrid>
      <w:tr>
        <w:trPr/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Уровень бюджета &lt;*&gt;</w:t>
            </w:r>
          </w:p>
        </w:tc>
        <w:tc>
          <w:tcPr>
            <w:tcW w:w="9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2026 - 2030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2031 - 2035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hyperlink w:anchor="P2550">
              <w:r>
                <w:rPr>
                  <w:rStyle w:val="ListLabel13"/>
                  <w:rFonts w:cs="Times New Roman" w:ascii="Times New Roman" w:hAnsi="Times New Roman"/>
                </w:rPr>
                <w:t>Подпрограмма</w:t>
              </w:r>
            </w:hyperlink>
            <w:r>
              <w:rPr>
                <w:rFonts w:cs="Times New Roman" w:ascii="Times New Roman" w:hAnsi="Times New Roman"/>
              </w:rPr>
              <w:t xml:space="preserve"> "Муниципальная поддержка строительства жилья"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А21Х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54 646,7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38 023,1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38 087,1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38 329,7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19 694,7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21396,3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19 864,8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104 564,9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98 677,5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83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3">
              <w:r>
                <w:rPr>
                  <w:rStyle w:val="ListLabel13"/>
                  <w:rFonts w:cs="Times New Roman" w:ascii="Times New Roman" w:hAnsi="Times New Roman"/>
                </w:rPr>
                <w:t>пункте 3 части 1 статьи 11</w:t>
              </w:r>
            </w:hyperlink>
            <w:r>
              <w:rPr>
                <w:rFonts w:cs="Times New Roman" w:ascii="Times New Roman" w:hAnsi="Times New Roman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А210312940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1 973,9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3 675,5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2  144,0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15 060,9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10 073,5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исполнители: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1 973,9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3 675,5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2 144,0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15  960,9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10 073,5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2: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помещениях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А210312980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64,0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5" w:hRule="atLeast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А210312980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64,0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64,0</w:t>
            </w:r>
          </w:p>
        </w:tc>
      </w:tr>
      <w:tr>
        <w:trPr>
          <w:trHeight w:val="210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49 353,2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38 010,3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38 074,3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  <w:tab w:val="center" w:pos="450" w:leader="none"/>
              </w:tabs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38 316, 9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17 708,0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88 540,0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88 540,0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31524,2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19 496,6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19 560,6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19 803,2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12 376,0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12 438,0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62 190,0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62 190,0</w:t>
            </w:r>
          </w:p>
        </w:tc>
      </w:tr>
      <w:tr>
        <w:trPr>
          <w:trHeight w:val="210" w:hRule="atLeast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5 453,0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5 270,0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26 350,0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26 350,0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3:</w:t>
            </w:r>
          </w:p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r>
              <w:rPr/>
              <w:t xml:space="preserve">пункте 4 части 1 статьи 3  </w:t>
            </w:r>
            <w:r>
              <w:rPr>
                <w:rFonts w:cs="Times New Roman" w:ascii="Times New Roman" w:hAnsi="Times New Roman"/>
              </w:rPr>
              <w:t>Закона Чувашской Республики "О регулировании жилищных отношений" и признанных нуждающимися в жилых помещениях и малоимущими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172960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cs="Times New Roman" w:ascii="Times New Roman CYR" w:hAnsi="Times New Roman CYR"/>
                <w:szCs w:val="22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исполнители: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города Новочебоксарска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172960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orient="landscape" w:w="16838" w:h="11906"/>
          <w:pgMar w:left="284" w:right="1134" w:header="0" w:top="851" w:footer="0" w:bottom="850" w:gutter="0"/>
          <w:pgNumType w:fmt="decimal"/>
          <w:formProt w:val="false"/>
          <w:textDirection w:val="lrTb"/>
          <w:docGrid w:type="default" w:linePitch="299" w:charSpace="4096"/>
        </w:sect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4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39"/>
        <w:gridCol w:w="7804"/>
      </w:tblGrid>
      <w:tr>
        <w:trPr>
          <w:trHeight w:val="15065" w:hRule="atLeast"/>
        </w:trPr>
        <w:tc>
          <w:tcPr>
            <w:tcW w:w="2267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и источники финансирования Основного мероприятия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804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tabs>
                <w:tab w:val="clear" w:pos="708"/>
                <w:tab w:val="left" w:pos="553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 xml:space="preserve">Приложение № 7 </w:t>
            </w:r>
          </w:p>
          <w:p>
            <w:pPr>
              <w:pStyle w:val="ConsPlusNormal"/>
              <w:tabs>
                <w:tab w:val="clear" w:pos="708"/>
                <w:tab w:val="left" w:pos="553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к постановлению администрации </w:t>
            </w:r>
          </w:p>
          <w:p>
            <w:pPr>
              <w:pStyle w:val="ConsPlusNormal"/>
              <w:tabs>
                <w:tab w:val="clear" w:pos="708"/>
                <w:tab w:val="left" w:pos="553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города Новочебоксарска </w:t>
            </w:r>
          </w:p>
          <w:p>
            <w:pPr>
              <w:pStyle w:val="ConsPlusNormal"/>
              <w:tabs>
                <w:tab w:val="clear" w:pos="708"/>
                <w:tab w:val="left" w:pos="553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Чувашской Республики </w:t>
            </w:r>
          </w:p>
          <w:p>
            <w:pPr>
              <w:pStyle w:val="ConsPlusNormal"/>
              <w:tabs>
                <w:tab w:val="clear" w:pos="708"/>
                <w:tab w:val="left" w:pos="5535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от                                  № </w:t>
            </w:r>
          </w:p>
          <w:p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прогнозируемый общий объем финансирования основного мероприятия  составляет  393 958,7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49 353,2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38 010,3тыс.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– 38074,3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– 38 316,9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17 708,0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17 708,0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17 708,0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2026 - 2030 годах – 88 540,0 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2031 -  2035 годах – 88 540,0тыс.рублей,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них средства: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федерального бюджета – 90 384,6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31 524,2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19 486,6 тыс. 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– 19 560,6 тыс. 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– 19 803,2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- 0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- 0 тыс. 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2026 - 2030 годах –  0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2031 -  2035 годах – 0 тыс.рублей,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республиканского  бюджета Чувашской Республики – в 213 801,1 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12 376,0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13 243,7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– 13 243,7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– 13 243,7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12 438,0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12 438,0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12 438,0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2026 - 2030 годах – 62 190,0 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2031 -  2035 годах – 62 190,0тыс.рублей;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бюджета города Новочебоксарска – 89 773,0 тыс.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2019 году – 5 453,0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2020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2021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2022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2023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2024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2025 году – 5 270,0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2026 - 2030 годах – 26 350,0   тыс.рублей;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2031 -  2035 годах –26 350,0 тыс.рублей.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Объемы финансирования основного мероприятия подлежат уточнению при формировании бюджета города Новочебоксарска на очередной финансовый год и плановый период</w:t>
            </w:r>
          </w:p>
        </w:tc>
      </w:tr>
    </w:tbl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№ 8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города Новочебоксарска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Чувашской Республики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        №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прогнозируемый общий объем финансирования Мероприятия составляет 393 958,7 тыс. рублей, в том числе: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2019 году – 49 353,2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2020 году – </w:t>
      </w:r>
      <w:r>
        <w:rPr>
          <w:rFonts w:cs="Times New Roman" w:ascii="Times New Roman" w:hAnsi="Times New Roman"/>
          <w:szCs w:val="22"/>
        </w:rPr>
        <w:t>38 010,3</w:t>
      </w:r>
      <w:r>
        <w:rPr>
          <w:rFonts w:cs="Times New Roman" w:ascii="Times New Roman" w:hAnsi="Times New Roman"/>
        </w:rPr>
        <w:t xml:space="preserve">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2021 году – </w:t>
      </w:r>
      <w:r>
        <w:rPr>
          <w:rFonts w:cs="Times New Roman" w:ascii="Times New Roman" w:hAnsi="Times New Roman"/>
          <w:szCs w:val="22"/>
        </w:rPr>
        <w:t>38 074,3</w:t>
      </w:r>
      <w:r>
        <w:rPr>
          <w:rFonts w:cs="Times New Roman" w:ascii="Times New Roman" w:hAnsi="Times New Roman"/>
        </w:rPr>
        <w:t xml:space="preserve">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2022 году – </w:t>
      </w:r>
      <w:r>
        <w:rPr>
          <w:rFonts w:cs="Times New Roman" w:ascii="Times New Roman" w:hAnsi="Times New Roman"/>
          <w:szCs w:val="22"/>
        </w:rPr>
        <w:t>38 316, 9</w:t>
      </w:r>
      <w:r>
        <w:rPr>
          <w:rFonts w:cs="Times New Roman" w:ascii="Times New Roman" w:hAnsi="Times New Roman"/>
        </w:rPr>
        <w:t xml:space="preserve">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2023 году – 17 708,0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2024 году – 17 708,0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2025 году – 17 708,0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2026 - 2030 годах – 88 540,0  тыс.рублей;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2031 -  2035 годах – 88 540,0тыс.рублей,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них средства: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федерального бюджета – 90 384, 6 тыс. рублей, в том числе: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2019 году – 31 524,2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2020 году – 19 496,6 тыс. рублей.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2021 году – 19 560,6 тыс. рублей.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2022 году – 19 803,2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2023 году –0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2024 году - 0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2025 году - 0 тыс. рублей.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2026 - 2030 годах –  0 тыс.рублей;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2031 -  2035 годах – 0 тыс.рублей,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республиканского бюджета Чувашской Республики – в  213 801,1тыс. рублей, в том числе: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2019 году – 12 376,0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2020 году – </w:t>
      </w:r>
      <w:r>
        <w:rPr>
          <w:rFonts w:cs="Times New Roman" w:ascii="Times New Roman" w:hAnsi="Times New Roman"/>
          <w:szCs w:val="22"/>
        </w:rPr>
        <w:t>13 243,7</w:t>
      </w:r>
      <w:r>
        <w:rPr>
          <w:rFonts w:cs="Times New Roman" w:ascii="Times New Roman" w:hAnsi="Times New Roman"/>
        </w:rPr>
        <w:t>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2021 году – </w:t>
      </w:r>
      <w:r>
        <w:rPr>
          <w:rFonts w:cs="Times New Roman" w:ascii="Times New Roman" w:hAnsi="Times New Roman"/>
          <w:szCs w:val="22"/>
        </w:rPr>
        <w:t>13 243,7</w:t>
      </w:r>
      <w:r>
        <w:rPr>
          <w:rFonts w:cs="Times New Roman" w:ascii="Times New Roman" w:hAnsi="Times New Roman"/>
        </w:rPr>
        <w:t xml:space="preserve"> 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2022 году – 13 243,7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2023 году – 12 438,0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2024 году – 12 438,0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2025 году – 12 438,0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2026 - 2030 годах – 62 190,0  тыс.рублей;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2031 -  2035 годах – 62 190,0 тыс.рублей;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бюджета города Новочебоксарска – 89 773,0 тыс. рублей, в том числе: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2019 году – 5 453,0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2020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2021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2022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2023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2024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2025 году – 5 270,0 тыс. 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2026 - 2030 годах – 26 350,0  тыс.рублей;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2031 -  2035 годах –26 350,0 тыс.рублей.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851" w:right="850" w:header="0" w:top="1134" w:footer="0" w:bottom="568" w:gutter="0"/>
          <w:pgNumType w:fmt="decimal"/>
          <w:formProt w:val="false"/>
          <w:textDirection w:val="lrTb"/>
          <w:docGrid w:type="default" w:linePitch="299" w:charSpace="4096"/>
        </w:sect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Объемы финансирования Мероприятия  подлежат уточнению при формировании бюджета города Новочебоксарска на очередной финансовый год и плановый период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9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города Новочебоксарска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Чувашской Республики 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    №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Ресурсное обеспечение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реализации подпрограммы "Государственная поддержка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молодых семей в решении жилищной проблемы" муниципальной программы города Новочебоксарска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"Обеспечение граждан в городе Новочебоксарске доступным и комфортным жильем»</w:t>
      </w:r>
    </w:p>
    <w:p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518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2961"/>
        <w:gridCol w:w="1417"/>
        <w:gridCol w:w="566"/>
        <w:gridCol w:w="992"/>
        <w:gridCol w:w="991"/>
        <w:gridCol w:w="1133"/>
        <w:gridCol w:w="1133"/>
        <w:gridCol w:w="1133"/>
        <w:gridCol w:w="1132"/>
        <w:gridCol w:w="1133"/>
        <w:gridCol w:w="1133"/>
        <w:gridCol w:w="1286"/>
      </w:tblGrid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/>
              <w:tab/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Уровень бюджета &lt;*&gt;</w:t>
            </w:r>
          </w:p>
        </w:tc>
        <w:tc>
          <w:tcPr>
            <w:tcW w:w="10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средств, подлежащих выделению на реализацию мероприятия (тыс. рублей)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2026 - 2930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2031 - 2035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А2103</w:t>
            </w:r>
            <w:r>
              <w:rPr>
                <w:rFonts w:cs="Times New Roman" w:ascii="Times New Roman" w:hAnsi="Times New Roman"/>
                <w:lang w:val="en-US"/>
              </w:rPr>
              <w:t>L</w:t>
            </w:r>
            <w:r>
              <w:rPr>
                <w:rFonts w:cs="Times New Roman" w:ascii="Times New Roman" w:hAnsi="Times New Roman"/>
              </w:rPr>
              <w:t>4970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49 353,2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38 010,3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  <w:tab w:val="center" w:pos="450" w:leader="none"/>
              </w:tabs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38 316, 9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17 708,0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17 708,0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88 540,0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88 540,0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том числе исполнители: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а.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А2103</w:t>
            </w:r>
            <w:r>
              <w:rPr>
                <w:rFonts w:cs="Times New Roman" w:ascii="Times New Roman" w:hAnsi="Times New Roman"/>
                <w:lang w:val="en-US"/>
              </w:rPr>
              <w:t>L</w:t>
            </w:r>
            <w:r>
              <w:rPr>
                <w:rFonts w:cs="Times New Roman" w:ascii="Times New Roman" w:hAnsi="Times New Roman"/>
              </w:rPr>
              <w:t>4970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31 524,2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19 496,6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19 560,6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19 803,2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12 376,0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13 243,7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12 438,0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12 438,0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62 190,0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62 190,0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2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5 453,0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5 270,0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26 350,0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26 350,0</w:t>
            </w:r>
          </w:p>
        </w:tc>
      </w:tr>
    </w:tbl>
    <w:tbl>
      <w:tblPr>
        <w:tblW w:w="2800" w:type="pct"/>
        <w:jc w:val="left"/>
        <w:tblInd w:w="0" w:type="dxa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5714"/>
      </w:tblGrid>
      <w:tr>
        <w:trPr/>
        <w:tc>
          <w:tcPr>
            <w:tcW w:w="5714" w:type="dxa"/>
            <w:tcBorders/>
            <w:shd w:fill="auto" w:val="clear"/>
          </w:tcPr>
          <w:p>
            <w:pPr>
              <w:pStyle w:val="ConsPlusNormal"/>
              <w:widowControl/>
              <w:spacing w:lineRule="auto" w:line="247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</w:r>
          </w:p>
        </w:tc>
      </w:tr>
    </w:tbl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№ 10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города Новочебоксарска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Чувашской Республики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   №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</w:p>
    <w:tbl>
      <w:tblPr>
        <w:tblW w:w="5000" w:type="pct"/>
        <w:jc w:val="left"/>
        <w:tblInd w:w="0" w:type="dxa"/>
        <w:tblCellMar>
          <w:top w:w="0" w:type="dxa"/>
          <w:left w:w="62" w:type="dxa"/>
          <w:bottom w:w="0" w:type="dxa"/>
          <w:right w:w="62" w:type="dxa"/>
        </w:tblCellMar>
        <w:tblLook w:val="04a0"/>
      </w:tblPr>
      <w:tblGrid>
        <w:gridCol w:w="3250"/>
        <w:gridCol w:w="465"/>
        <w:gridCol w:w="6490"/>
      </w:tblGrid>
      <w:tr>
        <w:trPr/>
        <w:tc>
          <w:tcPr>
            <w:tcW w:w="3250" w:type="dxa"/>
            <w:tcBorders/>
            <w:shd w:fill="auto" w:val="clear"/>
          </w:tcPr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ConsPlusNormal"/>
              <w:widowControl/>
              <w:spacing w:lineRule="auto" w:line="247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–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общий объем финансирования подпрограммы в 2019–2035 годах составляет 139 952,7 тыс. рублей,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том числе: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2019 году – 7 745,3 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2020 году - 21 400,6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2021 году – 5 950,3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2022 году – 9 079,9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2023 году – 7 298,2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2024 году – 7 298,2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2025 году – 7 298,2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2026–2030 годах – 36 491,0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2031–2035 годах – 36 491,0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из них средства: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федерального бюджета – 115 015,2 тыс. рублей, в том числе: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2019 году – 6 622,2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2020 году – 13 318,2 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2021 году – 3 534,5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2022 году – 2 356,4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2023 году – 6 860,3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2024 году – 6 860,3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2025 году – 6 860,3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2026–2030 годах – 34 301,5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2031–2035 годах – 34 301,5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республиканского бюджета Чувашской Республики – 24 937,5 тыс. рублей, в том числе: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2019 году – 1 123,1тыс.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2020 году – 8 082,4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2021 году – 2 415,8  тыс. рублей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2022 году – 7 623,5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2023 году – 437,9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2024 году – 437,9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2025 году – 437,9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2026–2030 годах – 2 189,5 тыс. рублей;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в 2031–2035 годах – 2 189,5 тыс. рублей.</w:t>
            </w:r>
          </w:p>
          <w:p>
            <w:pPr>
              <w:pStyle w:val="ConsPlusNormal"/>
              <w:widowControl/>
              <w:spacing w:lineRule="auto" w:line="247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cs="Times New Roman" w:ascii="Times New Roman CYR" w:hAnsi="Times New Roman CYR"/>
                <w:color w:val="000000" w:themeColor="text1"/>
                <w:szCs w:val="22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</w:t>
            </w:r>
          </w:p>
        </w:tc>
      </w:tr>
    </w:tbl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№ 11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к постановлению администрации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города Новочебоксарска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Чувашской Республики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№ </w:t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>
        <w:rPr>
          <w:rFonts w:cs="Times New Roman" w:ascii="Times New Roman CYR" w:hAnsi="Times New Roman CYR"/>
          <w:color w:val="000000" w:themeColor="text1"/>
          <w:szCs w:val="22"/>
        </w:rPr>
        <w:t>Общий объем финансирования подпрограммы в 2019–2035 годах составляет 139 952,7 тыс. рублей, в том числе средства:</w:t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>
        <w:rPr>
          <w:rFonts w:cs="Times New Roman" w:ascii="Times New Roman CYR" w:hAnsi="Times New Roman CYR"/>
          <w:color w:val="000000" w:themeColor="text1"/>
          <w:szCs w:val="22"/>
        </w:rPr>
        <w:t>федерального бюджета –115 015,2 тыс. рублей;</w:t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>
        <w:rPr>
          <w:rFonts w:cs="Times New Roman" w:ascii="Times New Roman CYR" w:hAnsi="Times New Roman CYR"/>
          <w:color w:val="000000" w:themeColor="text1"/>
          <w:szCs w:val="22"/>
        </w:rPr>
        <w:t>республиканского бюджета Чувашской Республики – 24 937,5 тыс. рублей (таблица).</w:t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cs="Times New Roman" w:ascii="Times New Roman" w:hAnsi="Times New Roman"/>
          <w:color w:val="000000" w:themeColor="text1"/>
          <w:szCs w:val="22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7"/>
        <w:gridCol w:w="1650"/>
        <w:gridCol w:w="1439"/>
        <w:gridCol w:w="1558"/>
        <w:gridCol w:w="1376"/>
        <w:gridCol w:w="1851"/>
      </w:tblGrid>
      <w:tr>
        <w:trPr/>
        <w:tc>
          <w:tcPr>
            <w:tcW w:w="22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Этапы и годы реализации подпрограммы</w:t>
            </w:r>
          </w:p>
        </w:tc>
        <w:tc>
          <w:tcPr>
            <w:tcW w:w="7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Источники финансирования, тыс. рублей</w:t>
            </w:r>
          </w:p>
        </w:tc>
      </w:tr>
      <w:tr>
        <w:trPr/>
        <w:tc>
          <w:tcPr>
            <w:tcW w:w="222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</w:tr>
      <w:tr>
        <w:trPr/>
        <w:tc>
          <w:tcPr>
            <w:tcW w:w="222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67" w:hanging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tbl>
      <w:tblPr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7"/>
        <w:gridCol w:w="1650"/>
        <w:gridCol w:w="1439"/>
        <w:gridCol w:w="1558"/>
        <w:gridCol w:w="1376"/>
        <w:gridCol w:w="1851"/>
      </w:tblGrid>
      <w:tr>
        <w:trPr>
          <w:tblHeader w:val="true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Всего </w:t>
            </w:r>
          </w:p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2019–2035 годы, </w:t>
              <w:br/>
              <w:t>в том числе: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139 952,7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115 015,2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24 937,5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7 745,3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6 622,2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2020 год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21 400,6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13 318,2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8 082,4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5 950,3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3 534,5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9 979,9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2 356,4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7 298,2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6 860,3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2026–2030 годы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34 301.5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>
        <w:trPr/>
        <w:tc>
          <w:tcPr>
            <w:tcW w:w="2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2031–2035 годы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cs="Times New Roman" w:ascii="Times New Roman" w:hAnsi="Times New Roman"/>
          <w:color w:val="000000" w:themeColor="text1"/>
          <w:szCs w:val="22"/>
        </w:rPr>
      </w:r>
    </w:p>
    <w:p>
      <w:pPr>
        <w:pStyle w:val="ConsPlusNormal"/>
        <w:widowControl/>
        <w:spacing w:lineRule="auto" w:line="247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cs="Times New Roman" w:ascii="Times New Roman" w:hAnsi="Times New Roman"/>
          <w:color w:val="000000" w:themeColor="text1"/>
          <w:szCs w:val="22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>
      <w:pPr>
        <w:sectPr>
          <w:type w:val="nextPage"/>
          <w:pgSz w:orient="landscape" w:w="16838" w:h="11906"/>
          <w:pgMar w:left="1134" w:right="1134" w:header="0" w:top="851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widowControl/>
        <w:spacing w:lineRule="auto" w:line="247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Cs w:val="22"/>
        </w:rPr>
        <w:t xml:space="preserve">Ресурсное </w:t>
      </w:r>
      <w:hyperlink w:anchor="P47056">
        <w:r>
          <w:rPr>
            <w:rStyle w:val="ListLabel14"/>
            <w:rFonts w:cs="Times New Roman" w:ascii="Times New Roman" w:hAnsi="Times New Roman"/>
            <w:color w:val="000000" w:themeColor="text1"/>
            <w:szCs w:val="22"/>
          </w:rPr>
          <w:t>обеспечение</w:t>
        </w:r>
      </w:hyperlink>
      <w:r>
        <w:rPr>
          <w:rFonts w:cs="Times New Roman" w:ascii="Times New Roman" w:hAnsi="Times New Roman"/>
          <w:color w:val="000000" w:themeColor="text1"/>
          <w:szCs w:val="22"/>
        </w:rPr>
        <w:t xml:space="preserve"> реализации подпрограммы за счет всех источников финансирования представлено в приложении к подп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№ 12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к постановлению  администрации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города Новочебоксарска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Чувашской Республики </w:t>
      </w:r>
    </w:p>
    <w:p>
      <w:pPr>
        <w:pStyle w:val="ConsPlusNormal"/>
        <w:tabs>
          <w:tab w:val="clear" w:pos="708"/>
          <w:tab w:val="left" w:pos="5535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                             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aps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aps/>
          <w:color w:val="000000" w:themeColor="text1"/>
          <w:sz w:val="26"/>
          <w:szCs w:val="26"/>
        </w:rPr>
        <w:t>Ресурсное обеспечение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родителей, лиц из числа детей-сирот и детей, оставшихся без попечения родителей»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города Новочебоксарска «Обеспечение граждан в городе Новочебоксарске доступным и комфортным жильем»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за счет всех источников финансирования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</w:r>
    </w:p>
    <w:tbl>
      <w:tblPr>
        <w:tblW w:w="15840" w:type="dxa"/>
        <w:jc w:val="left"/>
        <w:tblInd w:w="-550" w:type="dxa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658"/>
        <w:gridCol w:w="1497"/>
        <w:gridCol w:w="1524"/>
        <w:gridCol w:w="852"/>
        <w:gridCol w:w="613"/>
        <w:gridCol w:w="566"/>
        <w:gridCol w:w="850"/>
        <w:gridCol w:w="566"/>
        <w:gridCol w:w="3"/>
        <w:gridCol w:w="1272"/>
        <w:gridCol w:w="3"/>
        <w:gridCol w:w="846"/>
        <w:gridCol w:w="708"/>
        <w:gridCol w:w="849"/>
        <w:gridCol w:w="708"/>
        <w:gridCol w:w="851"/>
        <w:gridCol w:w="708"/>
        <w:gridCol w:w="850"/>
        <w:gridCol w:w="992"/>
        <w:gridCol w:w="920"/>
      </w:tblGrid>
      <w:tr>
        <w:trPr/>
        <w:tc>
          <w:tcPr>
            <w:tcW w:w="6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подпрограммы муниципальной программы города Новочебоксарска, основного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Задача подпрограммы муниципальной программы города Новочебоксарска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груп-па (подгруп</w:t>
              <w:softHyphen/>
              <w:t>па) вида рас</w:t>
              <w:softHyphen/>
              <w:t>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2026–2030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2031–2035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 w:themeColor="text1"/>
          <w:sz w:val="2"/>
          <w:szCs w:val="2"/>
        </w:rPr>
      </w:pPr>
      <w:r>
        <w:rPr>
          <w:rFonts w:ascii="Times New Roman" w:hAnsi="Times New Roman"/>
          <w:color w:val="000000" w:themeColor="text1"/>
          <w:sz w:val="2"/>
          <w:szCs w:val="2"/>
        </w:rPr>
      </w:r>
    </w:p>
    <w:tbl>
      <w:tblPr>
        <w:tblW w:w="15921" w:type="dxa"/>
        <w:jc w:val="left"/>
        <w:tblInd w:w="-550" w:type="dxa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659"/>
        <w:gridCol w:w="1496"/>
        <w:gridCol w:w="1524"/>
        <w:gridCol w:w="852"/>
        <w:gridCol w:w="471"/>
        <w:gridCol w:w="11"/>
        <w:gridCol w:w="131"/>
        <w:gridCol w:w="507"/>
        <w:gridCol w:w="59"/>
        <w:gridCol w:w="841"/>
        <w:gridCol w:w="568"/>
        <w:gridCol w:w="5"/>
        <w:gridCol w:w="1261"/>
        <w:gridCol w:w="5"/>
        <w:gridCol w:w="845"/>
        <w:gridCol w:w="5"/>
        <w:gridCol w:w="702"/>
        <w:gridCol w:w="5"/>
        <w:gridCol w:w="847"/>
        <w:gridCol w:w="5"/>
        <w:gridCol w:w="707"/>
        <w:gridCol w:w="4"/>
        <w:gridCol w:w="844"/>
        <w:gridCol w:w="5"/>
        <w:gridCol w:w="704"/>
        <w:gridCol w:w="4"/>
        <w:gridCol w:w="844"/>
        <w:gridCol w:w="5"/>
        <w:gridCol w:w="998"/>
        <w:gridCol w:w="5"/>
        <w:gridCol w:w="8"/>
        <w:gridCol w:w="990"/>
      </w:tblGrid>
      <w:tr>
        <w:trPr>
          <w:tblHeader w:val="true"/>
          <w:trHeight w:val="297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города Новочебоксарска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7 745,3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21 400,6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36 491,0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36 491,0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6 622,2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13 318,2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34 301,5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34 301,5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А22011А820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8 082,4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4927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лиц из числа детей-сирот и детей, оставшихся без попечения родителей, проживающих на территории города Новочебоксарска»</w:t>
            </w:r>
          </w:p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</w:t>
              <w:softHyphen/>
              <w:t>нов</w:t>
              <w:softHyphen/>
              <w:t>ное мероприя</w:t>
              <w:softHyphen/>
              <w:t>тие 1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  <w:softHyphen/>
              <w:t>ного фонда по договорам най</w:t>
              <w:softHyphen/>
              <w:t>ма специализированных жилых помещений (далее – специализированные жилые помещения) детям-сиро</w:t>
              <w:softHyphen/>
              <w:t>там и детям, оставшимся без по</w:t>
              <w:softHyphen/>
              <w:t>печения родителей, лицам из числа детей-си</w:t>
              <w:softHyphen/>
              <w:t>рот и детей, оставшихся без по</w:t>
              <w:softHyphen/>
              <w:t>печения родителей, которые не являются нанимателями жилых помещений по до</w:t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  <w:softHyphen/>
              <w:t>ротам и детям, оставшимся без попечения родителей, лицам из числа детей-си</w:t>
              <w:softHyphen/>
              <w:t>рот и детей, оставшихся без попечения родителей, которые являются нанима</w:t>
              <w:softHyphen/>
              <w:t>телями жилых по</w:t>
              <w:softHyphen/>
              <w:t>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7 745,3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21 400,6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36 491,0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36 491,0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6 622,2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13 318,2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6 860,3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34 301,5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34 301,5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А22011А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8 082,4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Целевые индикаторы и показатели подпрограммы, </w:t>
            </w:r>
            <w:r>
              <w:rPr>
                <w:rFonts w:eastAsia="Times New Roman" w:ascii="Times New Roman" w:hAnsi="Times New Roman"/>
                <w:color w:val="000000" w:themeColor="text1"/>
                <w:spacing w:val="-2"/>
                <w:sz w:val="18"/>
                <w:szCs w:val="18"/>
                <w:lang w:eastAsia="ru-RU"/>
              </w:rPr>
              <w:t>увя</w:t>
              <w:softHyphen/>
              <w:t>занные с основным</w:t>
            </w: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6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firstLine="2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firstLine="2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7 745,3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21 400,6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7 298,2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3 6491,0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3 6491,0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6 622,2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13 318,2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А22011А820</w:t>
            </w:r>
          </w:p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8 082,4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2 189,5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firstLine="2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firstLine="2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 лет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firstLine="2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</w:t>
              <w:softHyphen/>
              <w:t>нов</w:t>
              <w:softHyphen/>
              <w:t>ное мероприятие 2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Целевой индикатор и показатель подпрограммы, увя</w:t>
              <w:softHyphen/>
              <w:t>занные с основ</w:t>
              <w:softHyphen/>
              <w:t>ным мероприятием 2</w:t>
            </w:r>
          </w:p>
        </w:tc>
        <w:tc>
          <w:tcPr>
            <w:tcW w:w="6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процентов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7" w:before="0" w:after="0"/>
              <w:ind w:left="-57" w:right="-57" w:hanging="0"/>
              <w:jc w:val="center"/>
              <w:rPr>
                <w:rFonts w:ascii="Times New Roman" w:hAnsi="Times New Roman"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</w:tbl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/>
          <w:color w:val="000000" w:themeColor="text1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10"/>
          <w:szCs w:val="10"/>
          <w:lang w:eastAsia="ru-RU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18"/>
          <w:szCs w:val="18"/>
          <w:lang w:eastAsia="ru-RU"/>
        </w:rPr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>_____________</w:t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22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0a3e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e129c"/>
    <w:rPr>
      <w:rFonts w:ascii="Segoe UI" w:hAnsi="Segoe UI" w:eastAsia="Calibri" w:cs="Segoe UI"/>
      <w:sz w:val="18"/>
      <w:szCs w:val="18"/>
    </w:rPr>
  </w:style>
  <w:style w:type="character" w:styleId="Style16" w:customStyle="1">
    <w:name w:val="Гипертекстовая ссылка"/>
    <w:basedOn w:val="DefaultParagraphFont"/>
    <w:uiPriority w:val="99"/>
    <w:qFormat/>
    <w:rsid w:val="00e9338f"/>
    <w:rPr>
      <w:b/>
      <w:bCs/>
      <w:color w:val="106BBE"/>
    </w:rPr>
  </w:style>
  <w:style w:type="character" w:styleId="Style17" w:customStyle="1">
    <w:name w:val="Выделение для Базового Поиска (курсив)"/>
    <w:basedOn w:val="DefaultParagraphFont"/>
    <w:uiPriority w:val="99"/>
    <w:qFormat/>
    <w:rsid w:val="00542663"/>
    <w:rPr>
      <w:b/>
      <w:bCs/>
      <w:i/>
      <w:iCs/>
      <w:color w:val="0058A9"/>
    </w:rPr>
  </w:style>
  <w:style w:type="character" w:styleId="Style18">
    <w:name w:val="Интернет-ссылка"/>
    <w:basedOn w:val="DefaultParagraphFont"/>
    <w:uiPriority w:val="99"/>
    <w:unhideWhenUsed/>
    <w:rsid w:val="00346214"/>
    <w:rPr>
      <w:color w:val="0563C1" w:themeColor="hyperlink"/>
      <w:u w:val="single"/>
    </w:rPr>
  </w:style>
  <w:style w:type="character" w:styleId="Style19" w:customStyle="1">
    <w:name w:val="Верхний колонтитул Знак"/>
    <w:basedOn w:val="DefaultParagraphFont"/>
    <w:link w:val="ad"/>
    <w:uiPriority w:val="99"/>
    <w:qFormat/>
    <w:rsid w:val="00726777"/>
    <w:rPr>
      <w:rFonts w:ascii="Calibri" w:hAnsi="Calibri" w:eastAsia="Calibri" w:cs="Times New Roman"/>
    </w:rPr>
  </w:style>
  <w:style w:type="character" w:styleId="Style20" w:customStyle="1">
    <w:name w:val="Нижний колонтитул Знак"/>
    <w:basedOn w:val="DefaultParagraphFont"/>
    <w:link w:val="af"/>
    <w:uiPriority w:val="99"/>
    <w:qFormat/>
    <w:rsid w:val="00726777"/>
    <w:rPr>
      <w:rFonts w:ascii="Calibri" w:hAnsi="Calibri" w:eastAsia="Calibri" w:cs="Times New Roman"/>
    </w:rPr>
  </w:style>
  <w:style w:type="character" w:styleId="Pagenumber">
    <w:name w:val="page number"/>
    <w:basedOn w:val="DefaultParagraphFont"/>
    <w:qFormat/>
    <w:rsid w:val="00ab2092"/>
    <w:rPr/>
  </w:style>
  <w:style w:type="character" w:styleId="Appleconvertedspace" w:customStyle="1">
    <w:name w:val="apple-converted-space"/>
    <w:qFormat/>
    <w:rsid w:val="00ab2092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5"/>
    <w:semiHidden/>
    <w:rsid w:val="000a3eb6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TitlePage" w:customStyle="1">
    <w:name w:val="ConsPlusTitlePage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e5c6e"/>
    <w:pPr>
      <w:spacing w:before="0" w:after="200"/>
      <w:ind w:left="720" w:hanging="0"/>
      <w:contextualSpacing/>
    </w:pPr>
    <w:rPr/>
  </w:style>
  <w:style w:type="paragraph" w:styleId="Style26" w:customStyle="1">
    <w:name w:val="Нормальный (таблица)"/>
    <w:basedOn w:val="Normal"/>
    <w:next w:val="Normal"/>
    <w:uiPriority w:val="99"/>
    <w:qFormat/>
    <w:rsid w:val="007971ae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7" w:customStyle="1">
    <w:name w:val="Прижатый влево"/>
    <w:basedOn w:val="Normal"/>
    <w:next w:val="Normal"/>
    <w:uiPriority w:val="99"/>
    <w:qFormat/>
    <w:rsid w:val="007971ae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e12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e"/>
    <w:uiPriority w:val="99"/>
    <w:unhideWhenUsed/>
    <w:rsid w:val="007267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0"/>
    <w:uiPriority w:val="99"/>
    <w:unhideWhenUsed/>
    <w:rsid w:val="007267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b209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qFormat/>
    <w:rsid w:val="00ab209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ab2092"/>
  </w:style>
  <w:style w:type="numbering" w:styleId="111" w:customStyle="1">
    <w:name w:val="Нет списка11"/>
    <w:uiPriority w:val="99"/>
    <w:semiHidden/>
    <w:unhideWhenUsed/>
    <w:qFormat/>
    <w:rsid w:val="00ab209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b209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58DEF7355E9E77257296E724989E8ABC779771080C238873B18AC1B93E56F3EC4D4395E25624FD03F2BFCC850IEH" TargetMode="External"/><Relationship Id="rId3" Type="http://schemas.openxmlformats.org/officeDocument/2006/relationships/hyperlink" Target="consultantplus://offline/ref=F58DEF7355E9E77257296E724989E8ABC779771080C238873B18AC1B93E56F3EC4D4395E25624FD03F2BFCC850IE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20CC-F9F0-4CBB-92F4-2097177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Application>LibreOffice/6.3.0.4$Windows_X86_64 LibreOffice_project/057fc023c990d676a43019934386b85b21a9ee99</Application>
  <Pages>34</Pages>
  <Words>4699</Words>
  <Characters>23227</Characters>
  <CharactersWithSpaces>37881</CharactersWithSpaces>
  <Paragraphs>1637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2020-04-16T06:31:00Z</dcterms:created>
  <dc:creator>Долганова О.К.</dc:creator>
  <dc:description/>
  <dc:language>ru-RU</dc:language>
  <cp:lastModifiedBy>nowch-jil1</cp:lastModifiedBy>
  <cp:lastPrinted>2020-04-24T10:14:00Z</cp:lastPrinted>
  <dcterms:modified xsi:type="dcterms:W3CDTF">2020-04-24T12:12:00Z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