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7" w:rsidRDefault="00616448" w:rsidP="000F297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Контрольно-счетный орган </w:t>
      </w:r>
      <w:proofErr w:type="spellStart"/>
      <w:r w:rsidR="00BB2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Шемуршинского</w:t>
      </w:r>
      <w:proofErr w:type="spellEnd"/>
      <w:r w:rsidR="003664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</w:t>
      </w:r>
    </w:p>
    <w:p w:rsidR="00616448" w:rsidRPr="000F297F" w:rsidRDefault="00616448" w:rsidP="000F297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Чувашской Республики</w:t>
      </w:r>
    </w:p>
    <w:p w:rsidR="00565D66" w:rsidRDefault="00565D66" w:rsidP="000F297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48" w:rsidRDefault="00616448" w:rsidP="000F297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ФИНАНСОВОГО КОНТРОЛЯ</w:t>
      </w:r>
    </w:p>
    <w:p w:rsidR="00BE7BF3" w:rsidRPr="000F297F" w:rsidRDefault="00BE7BF3" w:rsidP="000F297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Pr="000F297F" w:rsidRDefault="00565D66" w:rsidP="00565D6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16448"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ПРОВЕДЕНИЕ ВНЕШНЕЙ ПРОВЕРКИ ГОДОВОГО ОТЧЕТА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616448"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ИСПОЛНЕНИИ </w:t>
      </w:r>
      <w:r w:rsidR="00BB2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БЮДЖЕТА ШЕМУРШИНСКОГО</w:t>
      </w:r>
      <w:r w:rsidR="00BE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E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BE7B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АШСКОЙ РЕСПУБЛИКИ</w:t>
      </w:r>
      <w:r w:rsidR="00616448"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СОВМЕСТНО С ПРОВЕРКОЙ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6448"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ДОСТОВЕРНОСТИ ГОДОВОЙ БЮДЖЕТНОЙ ОТЧЕТНОСТИ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16448"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ГЛАВНЫХ АДМИНИСТРАТОРОВ БЮДЖЕТНЫХ СРЕДСТВ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16448"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70522" w:rsidRDefault="00570522" w:rsidP="00565D66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</w:tblGrid>
      <w:tr w:rsidR="00570522" w:rsidTr="00570522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522" w:rsidRDefault="00BB2022" w:rsidP="00B254B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распоряжением</w:t>
            </w:r>
            <w:r w:rsidR="0057052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Председателя Контр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ольно-счетного органа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Шемуршинского</w:t>
            </w:r>
            <w:proofErr w:type="spellEnd"/>
            <w:r w:rsidR="0057052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р</w:t>
            </w:r>
            <w:r w:rsidR="00B254B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айона Чувашской Республики от 28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августа 2015</w:t>
            </w:r>
            <w:r w:rsidR="0057052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15</w:t>
            </w:r>
          </w:p>
        </w:tc>
      </w:tr>
    </w:tbl>
    <w:p w:rsidR="00616448" w:rsidRPr="000F297F" w:rsidRDefault="00616448" w:rsidP="000F297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Pr="000F297F" w:rsidRDefault="00616448" w:rsidP="00565D66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  <w:r w:rsidR="00565D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(далее - Стандарт) подготовлен для организации исполнения требования ст.157, 264.4 Бюджетного кодекса РФ, </w:t>
      </w:r>
      <w:hyperlink r:id="rId5" w:history="1">
        <w:r w:rsidRPr="000F297F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Федерального закона от 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законов и законов субъекта РФ, муниципального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регулирующих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правоотношения.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Стандарт предназначен для применения сотрудниками КСО муниципального образования, привлеченными специалистами и независимыми экспертами (далее - 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муниципального образования и муниципальной собственности.</w:t>
      </w:r>
      <w:proofErr w:type="gramEnd"/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1.4. Сфера применения стандарта.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Цель стандарта: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(далее - внешняя проверка</w:t>
      </w:r>
      <w:r w:rsidRPr="000F297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)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и подготовки заключения КСО.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1.6. Задачи стандарта:</w:t>
      </w:r>
    </w:p>
    <w:p w:rsidR="00616448" w:rsidRPr="000F297F" w:rsidRDefault="00616448" w:rsidP="00565D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общих правил и процедур проведения внешней проверки; </w:t>
      </w:r>
    </w:p>
    <w:p w:rsidR="00616448" w:rsidRPr="000F297F" w:rsidRDefault="00616448" w:rsidP="00565D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методических основ проведения внешней проверки и подготовки заключения КСО. </w:t>
      </w:r>
    </w:p>
    <w:p w:rsidR="00616448" w:rsidRPr="000F297F" w:rsidRDefault="00616448" w:rsidP="00565D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структуры, содержания и основных требований к заключению КСО на проект решения представительного органа власти об исполнении местного бюджета муниципального образования; </w:t>
      </w:r>
    </w:p>
    <w:p w:rsidR="00535511" w:rsidRDefault="00535511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48" w:rsidRPr="000F297F" w:rsidRDefault="00616448" w:rsidP="005355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внешней проверки.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2.1. Целью проведения внешней проверки является: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отчёта об исполнении местного бюджета, документов и материалов; соответствие порядка ведения бюджетного учета законодательству Российской Федерации; </w:t>
      </w:r>
      <w:proofErr w:type="gramEnd"/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достоверности бюджетной отчетности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и результативности использования в отчётном году бюджетных средств;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рекомендаций по повышению эффективности управления муниципальными финансами и муниципальным имуществом;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заключения на годовой отчет об исполнении бюджета.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требований к порядку составления и представления годовой отчетности об исполнении местного бюджета;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выборочная проверка соблюдения требований законодательства по организации и ведению бюджетного учета;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прочих контрольных и экспертно-аналитических задач, направленных на совершенствование бюджетного процесса в целом. </w:t>
      </w:r>
    </w:p>
    <w:p w:rsidR="00616448" w:rsidRPr="000F297F" w:rsidRDefault="00535511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6448" w:rsidRPr="000F297F">
        <w:rPr>
          <w:rFonts w:ascii="Times New Roman" w:eastAsia="Times New Roman" w:hAnsi="Times New Roman"/>
          <w:sz w:val="28"/>
          <w:szCs w:val="28"/>
          <w:lang w:eastAsia="ru-RU"/>
        </w:rPr>
        <w:t>пределение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448"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выполнения бюджетополучателями плановых заданий по предоставлению муниципальных услуг; </w:t>
      </w:r>
    </w:p>
    <w:p w:rsidR="00616448" w:rsidRPr="000F297F" w:rsidRDefault="00616448" w:rsidP="00565D6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355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. Предмет внешней проверки:</w:t>
      </w:r>
    </w:p>
    <w:p w:rsidR="00616448" w:rsidRPr="000F297F" w:rsidRDefault="00616448" w:rsidP="00565D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отчёт об исполнении бюджета за отчётный финансовый год; </w:t>
      </w:r>
    </w:p>
    <w:p w:rsidR="00616448" w:rsidRPr="000F297F" w:rsidRDefault="00616448" w:rsidP="00565D6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годовая бухгалтерская и бюджетная отчётность ГАБС, дополнительные материалы, документы и пояснения к ним. </w:t>
      </w:r>
    </w:p>
    <w:p w:rsidR="00616448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355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Объектами проверки являются ГАБС. </w:t>
      </w:r>
    </w:p>
    <w:p w:rsidR="00535511" w:rsidRPr="000F297F" w:rsidRDefault="00535511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Pr="000F297F" w:rsidRDefault="00616448" w:rsidP="0053551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Методические основы проведения внешней проверки</w:t>
      </w:r>
      <w:r w:rsidR="005355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муниципального образования решению о бюджете на очередной финансовый год, требованиям БК РФ и нормативным правовым актам Российской Федерации, муниципального образования.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муниципального образования, с данными, содержащимися в бухгалтерских, отчётных и иных документах проверяемых объектов.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определения эффективности использования средств бюджета муниципального образования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сопоставление данных за ряд лет.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Основными приёмами финансового анализа по данным бюджетной отчётности являются: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чтение отчётности,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горизонтальный анализ,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вертикальный анализ.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Чтение отчётности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Pr="000F297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горизонтального анализа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позволяет выявить тенденции изменения отдельных показателей, входящих в состав отчётности.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Pr="000F297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вертикального анализа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52267D" w:rsidRDefault="0052267D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48" w:rsidRPr="000F297F" w:rsidRDefault="00616448" w:rsidP="005226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Организация внешней проверки</w:t>
      </w:r>
      <w:r w:rsidR="005226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4.1. Внешняя проверка проводится на основании плана работы КСО на текущий год.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4.2. Внешняя проверка включает в себя:</w:t>
      </w:r>
    </w:p>
    <w:p w:rsidR="00616448" w:rsidRPr="000F297F" w:rsidRDefault="00616448" w:rsidP="00565D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годового отчета об исполнении бюджета, </w:t>
      </w:r>
    </w:p>
    <w:p w:rsidR="00616448" w:rsidRPr="000F297F" w:rsidRDefault="00616448" w:rsidP="00565D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бюджетной отчетности, </w:t>
      </w:r>
    </w:p>
    <w:p w:rsidR="00616448" w:rsidRPr="000F297F" w:rsidRDefault="00616448" w:rsidP="00565D6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заключения.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4.3. Организация внешней проверки включает следующие этапы:</w:t>
      </w:r>
    </w:p>
    <w:p w:rsidR="00616448" w:rsidRPr="000F297F" w:rsidRDefault="00616448" w:rsidP="00565D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подготовительный, </w:t>
      </w:r>
    </w:p>
    <w:p w:rsidR="00616448" w:rsidRPr="000F297F" w:rsidRDefault="00616448" w:rsidP="00565D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основной, </w:t>
      </w:r>
    </w:p>
    <w:p w:rsidR="00616448" w:rsidRPr="000F297F" w:rsidRDefault="00616448" w:rsidP="00565D6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заключительный.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4.4. На подготовительном этапе:</w:t>
      </w:r>
    </w:p>
    <w:p w:rsidR="00616448" w:rsidRPr="000F297F" w:rsidRDefault="00616448" w:rsidP="00565D6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проводится сбор и изучение правовой базы, в соответствии с которой</w:t>
      </w:r>
      <w:r w:rsidR="005226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был исполняться бюджет;</w:t>
      </w:r>
    </w:p>
    <w:p w:rsidR="00616448" w:rsidRPr="000F297F" w:rsidRDefault="00616448" w:rsidP="00565D6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проводится изучение публикаций и полученной информации и сведений по запросам</w:t>
      </w:r>
      <w:r w:rsidR="0052267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6448" w:rsidRPr="000F297F" w:rsidRDefault="00616448" w:rsidP="00565D6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Результатом проведения данного этапа является подготовка программы и рабочего плана внешней проверки.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4.5. Основной этап внешней проверки заключается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6448" w:rsidRPr="000F297F" w:rsidRDefault="00583B3D" w:rsidP="00583B3D">
      <w:pPr>
        <w:spacing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6448"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экспертно-аналитических </w:t>
      </w:r>
      <w:proofErr w:type="gramStart"/>
      <w:r w:rsidR="00616448" w:rsidRPr="000F297F"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16448"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анализ данных годово</w:t>
      </w:r>
      <w:r w:rsidR="00583B3D">
        <w:rPr>
          <w:rFonts w:ascii="Times New Roman" w:eastAsia="Times New Roman" w:hAnsi="Times New Roman"/>
          <w:sz w:val="28"/>
          <w:szCs w:val="28"/>
          <w:lang w:eastAsia="ru-RU"/>
        </w:rPr>
        <w:t>го отчета об исполнении бюджета;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анализ данных бюджетной отчетности ГАБС;</w:t>
      </w:r>
    </w:p>
    <w:p w:rsidR="00616448" w:rsidRPr="000F297F" w:rsidRDefault="00583B3D" w:rsidP="00583B3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выборочной проверки достоверности данных бюджетной отчетнос</w:t>
      </w:r>
      <w:r w:rsidR="00583B3D">
        <w:rPr>
          <w:rFonts w:ascii="Times New Roman" w:eastAsia="Times New Roman" w:hAnsi="Times New Roman"/>
          <w:sz w:val="28"/>
          <w:szCs w:val="28"/>
          <w:lang w:eastAsia="ru-RU"/>
        </w:rPr>
        <w:t>ти с выходом на объект проверки;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616448" w:rsidRPr="000F297F" w:rsidRDefault="00583B3D" w:rsidP="00583B3D">
      <w:pPr>
        <w:spacing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616448"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проведенных контрольных мероприятий в течение года.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Результатом проведения данного этапа внешней проверки являются заключения и акты.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4.6. На заключительном этапе оформляется заключение КСО на годовой отчет об исполнении бюджета.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4.7. Внешняя проверка начинается с издания приказа руководителя КСО, определяющего ответственных исполнителей по каждому мероприятию.</w:t>
      </w:r>
    </w:p>
    <w:p w:rsidR="00583B3D" w:rsidRDefault="00583B3D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Общие принципы и требования к проведению внешней проверки</w:t>
      </w:r>
      <w:r w:rsidR="00583B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5.1. Для проведения внешней проверки финансовый орган предоставляет в адрес КСО годовой отчёт об исполнении местного бюджета для подготовки заключения в срок не позднее 01 апреля текущего финансового года.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5.2. Внешняя проверка проводится в срок, не превышающий одного месяца со дня предоставления документов в адрес КСО.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5.3. КСО готовит заключение на отчет об исполнении бюджета с учетом данных внешней проверки годовой бюджетной отчетности ГАБС.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5.4. Заключение на годовой отчет об исполнении бюджета представляется КСО в представительный орган с одновременным направлением в местную администрацию.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5.5. При проведении внешней проверки члены рабочей группы должны руководствоваться нормами бюджетного законодательства Российской Федерации, субъекта Российской Федерации и муниципального образования.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5.6. 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616448" w:rsidRPr="000F297F" w:rsidRDefault="00616448" w:rsidP="00565D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осуществляется в основном на камеральном уровне; </w:t>
      </w:r>
    </w:p>
    <w:p w:rsidR="00616448" w:rsidRPr="000F297F" w:rsidRDefault="00616448" w:rsidP="00565D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применяются выборочные методы; </w:t>
      </w:r>
    </w:p>
    <w:p w:rsidR="00616448" w:rsidRPr="000F297F" w:rsidRDefault="00616448" w:rsidP="00565D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подверженность системы бухгалтерского учета и внутреннего контроля влиянию человеческого фактора; </w:t>
      </w:r>
    </w:p>
    <w:p w:rsidR="00616448" w:rsidRPr="000F297F" w:rsidRDefault="00616448" w:rsidP="00565D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преобладающая часть доказательств лишь предоставляет доводы в подтверждение определенного вывода, а не носит исчерпывающего характера; </w:t>
      </w:r>
    </w:p>
    <w:p w:rsidR="00616448" w:rsidRPr="000F297F" w:rsidRDefault="00616448" w:rsidP="00565D66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5.7. 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5.8.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5.9. Для проведения контрольного и экспертного мероприятия КСО вправе привлекать независимых специалистов (экспертов) в установленном Регламентом и иными локальными нормативными актами КСО порядке. При использовании результатов работы привлеченного специалиста/эксперта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  <w:r w:rsidR="00583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КСО. Недопустимо разделение ответственности должностных лиц КСО и привлеченных специалистов/экспертов.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5.10. 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  <w:r w:rsidR="00583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5.11. Проведение контрольного и экспертного мероприятия подлежит документированию.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5.12. 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КСО и является обязательным для всех членов рабочей группы.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5.13. Члены рабочей группы несут ответственность за сохранность документов и конфиденциальность полученной в ходе контрольного мероприятия информации. </w:t>
      </w:r>
    </w:p>
    <w:p w:rsidR="00583B3D" w:rsidRDefault="00583B3D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3B3D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и методы проведения внешней проверки</w:t>
      </w:r>
      <w:r w:rsidR="00583B3D" w:rsidRP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внешней проверки осуществляются следующие формы контроля:</w:t>
      </w:r>
    </w:p>
    <w:p w:rsidR="00616448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616448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контрольно-ревизионные мероприятия (с выходом на объект) по проверке достоверности данных бюджетной отчётности.</w:t>
      </w:r>
    </w:p>
    <w:p w:rsidR="00480553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6.1. Виды (формы) контрольного мероприятия.</w:t>
      </w:r>
      <w:r w:rsidR="00EB1A13" w:rsidRPr="00480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0553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в разрезе объектов контроля может проводиться на камеральном и выездном уровне.</w:t>
      </w:r>
    </w:p>
    <w:p w:rsidR="00480553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480553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 проводится непосредственно по месту нахождения объекта контроля.</w:t>
      </w:r>
    </w:p>
    <w:p w:rsidR="00480553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>Решение о форме проведения контрольного мероприятия принимается на подготовительном этапе проверки.</w:t>
      </w:r>
    </w:p>
    <w:p w:rsidR="00616448" w:rsidRP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Методы проведения внешней проверки:</w:t>
      </w:r>
    </w:p>
    <w:p w:rsidR="00616448" w:rsidRPr="00480553" w:rsidRDefault="00616448" w:rsidP="00565D6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553"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сплошная проверка; </w:t>
      </w:r>
    </w:p>
    <w:p w:rsidR="00616448" w:rsidRPr="000F297F" w:rsidRDefault="00616448" w:rsidP="00565D66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выборочная проверка (отбор отдельных элементов).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КСО.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6.3. 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6.4.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6.5. 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6.6. Проверка достоверности позволяет определить: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согласуется ли между собой результаты операций, финансовые положение и другая информация в бюджетной отчетности;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должным ли образом раскрыта необходимая информация и правильно ли квалифицированны и представлены данные в бюджетной отчетности;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встречная проверка документов или записей (в том числе логическая проверка - определение объективной возможности и необходимости совершения операции, определение реальной взаимосвязи событий);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юридическая, экономическая и финансовая экспертиза совершенных хозяйственных операций;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 экономического анализа (сравнения, сопоставления, ретроспективный анализ показателей отчетности и т.д.);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технико-экономические расчеты.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</w:t>
      </w:r>
      <w:proofErr w:type="spell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оприходования</w:t>
      </w:r>
      <w:proofErr w:type="spell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корректности списания активов и т.д.;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экспертная оценка фактического объема и качества оказываемых муниципальных услуг;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визуальное наблюдение путем обследования помещений (например, контрольный обмер выполненных строительно-монтажных, ремонтных работ и т.п.); </w:t>
      </w:r>
    </w:p>
    <w:p w:rsidR="00616448" w:rsidRPr="000F297F" w:rsidRDefault="00616448" w:rsidP="00565D66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трудовой и финансовой дисциплины и др. </w:t>
      </w:r>
    </w:p>
    <w:p w:rsidR="00480553" w:rsidRDefault="00480553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Pr="000F297F" w:rsidRDefault="00616448" w:rsidP="004805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проведения внешней проверки</w:t>
      </w:r>
      <w:r w:rsid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7.1. Проведению внешней проверки подлежит планированию.</w:t>
      </w:r>
    </w:p>
    <w:p w:rsidR="00F24E3C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7.2. При планировании внешней проверки учитываются:</w:t>
      </w:r>
    </w:p>
    <w:p w:rsidR="00F24E3C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· установленные законодательством сроки подготовки бюджетной отчетности и формирования заключения на годовой отчет об исполнении бюджета муниципального образования;</w:t>
      </w:r>
    </w:p>
    <w:p w:rsidR="00F24E3C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· степень обеспеченности КСО ресурсами (трудовыми, материальными и финансовыми);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· квалификация и опыт работы;· профессиональная компетентность и опыт членов рабочей группы, планируемых к участию в контрольном мероприятии и др.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7.3. Проведение контрольного мероприятия проводится в соответствии с СФК «Общие правила проведения контрольного мероприятия».</w:t>
      </w:r>
    </w:p>
    <w:p w:rsidR="00616448" w:rsidRPr="00F76ED6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7.4. 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КСО из внешних источников материалы. Перечень запрашиваемой информации должен </w:t>
      </w:r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пункту 2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рекомендаций по </w:t>
      </w:r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проведению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 xml:space="preserve">шней </w:t>
      </w:r>
      <w:proofErr w:type="gramStart"/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годовой бюджетной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>ности главных распорядителей средств бюджета</w:t>
      </w:r>
      <w:proofErr w:type="gramEnd"/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>Шемуршинского</w:t>
      </w:r>
      <w:proofErr w:type="spellEnd"/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F76ED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Методичка</w:t>
      </w:r>
      <w:r w:rsidR="00F76ED6">
        <w:rPr>
          <w:rFonts w:ascii="Times New Roman" w:eastAsia="Times New Roman" w:hAnsi="Times New Roman"/>
          <w:iCs/>
          <w:sz w:val="28"/>
          <w:szCs w:val="28"/>
          <w:lang w:eastAsia="ru-RU"/>
        </w:rPr>
        <w:t>).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7.5.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7.6.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муниципального образования.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7.7. 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7.8.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7.9. 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7.10. Доказательствами при проведении внешней проверки являются: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первичные учетные документы;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регистры бухгалтерского учета;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бюджетная, статистическая и иная отчетность;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процедур контроля, проведенных в ходе контрольного мероприятия и оформленные рабочими документами;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заключения экспертов;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письменные заявления и разъяснения руководителя и должностных лиц объектов внешней проверки;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документы и сведения, полученные из других достоверных источник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>ов (органы казначейства и др.);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доказательства, полученные непосредственно проверяющим, более надежны, чем доказательства, полученные от объекта внешней проверки; </w:t>
      </w:r>
      <w:proofErr w:type="gramEnd"/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доказательства в документальной форме и письменные заявления более надежны, чем доказательства и заявления в устной форме;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устные и письменные заявления и разъяснения руководства и должностных лиц объекта проверки не являются заменой достаточных над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>лежащих надежных доказательств;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сформулировать выводы по результатам проверки в разрезе каждого объекта контроля и подготовить соответствующее заключение на годовой отчет;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результаты внешней проверки с руководством объекта контроля; </w:t>
      </w:r>
    </w:p>
    <w:p w:rsidR="00616448" w:rsidRPr="000F297F" w:rsidRDefault="00616448" w:rsidP="00565D66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дело по результатам контрольного мероприятия в разрезе ГАБС и передать материалы проверки в архив КСО. 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7.11.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Проверяющему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7.12. 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времени запроса, а также отметкой о получении запроса представителями объекта внешней проверки.</w:t>
      </w:r>
    </w:p>
    <w:p w:rsidR="00656A87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7.13. 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КСО </w:t>
      </w:r>
      <w:r w:rsidR="00656A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. 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. 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. 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48055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Проверяющий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получает доказательства путем выполнения соответствующих контрольных процедур.</w:t>
      </w:r>
    </w:p>
    <w:p w:rsidR="00480553" w:rsidRDefault="00480553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Pr="000F297F" w:rsidRDefault="00616448" w:rsidP="004805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Действия при обнаружении нарушений и недостатков,</w:t>
      </w:r>
      <w:r w:rsid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создании препятствий для проведения контрольного мероприятия</w:t>
      </w:r>
      <w:r w:rsid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8.1. 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8.2. 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8.3. 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действия (бездействие) должностных лиц или организаций оцениваются как неэффективные только в тех случаях, когда проверяющим подтверждена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возможность выполнения их с достижением лучшего результата или с меньшими затратами.</w:t>
      </w:r>
      <w:proofErr w:type="gramEnd"/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8.4. 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8.5. При выявлении фактов нарушений требований законов и иных нормативных правовых актов, необходимо сделать следующее: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отразить нарушения в своей рабочей документации для последующего включения в акт;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8.6. 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8.7. 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Проверяющий составляет акт по факту, содержащей в себе признак состава преступления</w:t>
      </w:r>
      <w:r w:rsidR="00656A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56A87" w:rsidRPr="000F297F" w:rsidRDefault="00656A87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Pr="000F297F" w:rsidRDefault="00616448" w:rsidP="004805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Контроль осуществления внешней проверки</w:t>
      </w:r>
      <w:r w:rsid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9.1. В ходе контрольного мероприятия должен осуществляться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членов рабочей группы и ее результатами. 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9.2. 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9.3. 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9.4. 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9.5. Координация действий членов рабочей группы предполагает выполнение следующих процедур:</w:t>
      </w:r>
    </w:p>
    <w:p w:rsidR="00616448" w:rsidRPr="000F297F" w:rsidRDefault="00616448" w:rsidP="00565D6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обязанностей, полномочий и ответственности между членами рабочей группы; </w:t>
      </w:r>
    </w:p>
    <w:p w:rsidR="00616448" w:rsidRPr="000F297F" w:rsidRDefault="00616448" w:rsidP="00565D6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 </w:t>
      </w:r>
    </w:p>
    <w:p w:rsidR="00616448" w:rsidRPr="000F297F" w:rsidRDefault="00616448" w:rsidP="00565D6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мониторинг и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 внешней проверки. 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9.6. Для </w:t>
      </w:r>
      <w:proofErr w:type="gramStart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выполнения рабочей программы проверки руководителем рабочей группы могут использоваться индикаторы полноты выполнения программы контрольного мероприятия.</w:t>
      </w:r>
    </w:p>
    <w:p w:rsidR="00480553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9.7. При разработке системы индикаторов следует руководствоваться принципом минимизации количества отчетных показателей и действий руководителя рабочей группы при обеспечении полноты информации и своевременности ее представления.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9.8. 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 </w:t>
      </w:r>
    </w:p>
    <w:p w:rsidR="00480553" w:rsidRDefault="00480553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6448" w:rsidRPr="000F297F" w:rsidRDefault="00616448" w:rsidP="004805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Оформление результатов внешней проверки.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10.1. Проверка бюджетной отчетности главных администраторов бюджетных средств оформляется заключением</w:t>
      </w:r>
      <w:r w:rsidR="00457A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10.2. По всем расхождениям, выявленным в ходе проверки, необходимо получить пояснения ответственных лиц.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10.3. При наличии не достоверных данных, указать причины и следствия, которые привели к не достоверности бюджетной отчетности.</w:t>
      </w:r>
    </w:p>
    <w:p w:rsidR="00616448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10.4. 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480553" w:rsidRPr="000F297F" w:rsidRDefault="00480553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448" w:rsidRDefault="00616448" w:rsidP="0048055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Оформление и утверждение сводного заключения</w:t>
      </w:r>
      <w:r w:rsidR="004805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11.1. КСО на отчёт об исполнении бюджета муниципального образования готовит заключен</w:t>
      </w:r>
      <w:r w:rsidR="00457AC3">
        <w:rPr>
          <w:rFonts w:ascii="Times New Roman" w:eastAsia="Times New Roman" w:hAnsi="Times New Roman"/>
          <w:sz w:val="28"/>
          <w:szCs w:val="28"/>
          <w:lang w:eastAsia="ru-RU"/>
        </w:rPr>
        <w:t xml:space="preserve">ие, 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в разрезе закрепленных направлений деятельности КСО с учётом результатов проверок ГАБС, тематических проверок и экспертно-аналитических мероприятий, включающее в себя следующие основные положения: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В заключении КСО отражаются: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оценка полноты и достоверности сведений, представленных в бюджетной отчётности главных администраторов бюджетных средств;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оценка степени достижения целей бюджетной политики, в т.ч. при реализации национальных проектов;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- оценка эффективности бюджетных расходов, осуществляемых главными распорядителями бюджетных средств.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11.2. Проект заключения КСО на годовой отчёт об исполнении бюджета муниципального образования за отчётный финансовый год рассматривается председателем КСО. При наличии высказанных при рассмотрении замечаний и предложений заключение КСО дорабатывается и подписывается инспекторами КСО.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>11.3. При наличии коллегии сводное заключение рассматривается на коллегии и принимается решение коллегии</w:t>
      </w:r>
      <w:r w:rsidR="00457A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6448" w:rsidRPr="000F297F" w:rsidRDefault="00616448" w:rsidP="00565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11.4. Заключение на годовой отчёт об исполнении бюджета муниципального образования с приложением заключений о результатах проведения внешней проверки бюджетной отчётности ГАБС представляется КСО в представительный орган муниципального образования с одновременным направлением его в администрацию муниципа</w:t>
      </w:r>
      <w:r w:rsidR="00E404DC"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не позднее 25</w:t>
      </w:r>
      <w:r w:rsidRPr="000F297F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года, следующего за отчётным финансовым годом.</w:t>
      </w:r>
    </w:p>
    <w:p w:rsidR="00A44869" w:rsidRPr="000F297F" w:rsidRDefault="00A44869" w:rsidP="00565D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4869" w:rsidRPr="000F297F" w:rsidSect="00A4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4AF"/>
    <w:multiLevelType w:val="multilevel"/>
    <w:tmpl w:val="13D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F2878"/>
    <w:multiLevelType w:val="multilevel"/>
    <w:tmpl w:val="8AA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75A2"/>
    <w:multiLevelType w:val="multilevel"/>
    <w:tmpl w:val="260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D7667"/>
    <w:multiLevelType w:val="multilevel"/>
    <w:tmpl w:val="1916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E0987"/>
    <w:multiLevelType w:val="multilevel"/>
    <w:tmpl w:val="419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32980"/>
    <w:multiLevelType w:val="multilevel"/>
    <w:tmpl w:val="88F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64E95"/>
    <w:multiLevelType w:val="multilevel"/>
    <w:tmpl w:val="FD1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1094F"/>
    <w:multiLevelType w:val="multilevel"/>
    <w:tmpl w:val="84F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01E7C"/>
    <w:multiLevelType w:val="multilevel"/>
    <w:tmpl w:val="861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325C5"/>
    <w:multiLevelType w:val="multilevel"/>
    <w:tmpl w:val="552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23FFE"/>
    <w:multiLevelType w:val="multilevel"/>
    <w:tmpl w:val="73D4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81001"/>
    <w:multiLevelType w:val="multilevel"/>
    <w:tmpl w:val="CA5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84783"/>
    <w:multiLevelType w:val="multilevel"/>
    <w:tmpl w:val="75F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0698A"/>
    <w:multiLevelType w:val="multilevel"/>
    <w:tmpl w:val="4A1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448"/>
    <w:rsid w:val="000F297F"/>
    <w:rsid w:val="00366417"/>
    <w:rsid w:val="00457AC3"/>
    <w:rsid w:val="00480553"/>
    <w:rsid w:val="0052267D"/>
    <w:rsid w:val="00535511"/>
    <w:rsid w:val="00565D66"/>
    <w:rsid w:val="00570522"/>
    <w:rsid w:val="00583B3D"/>
    <w:rsid w:val="00616448"/>
    <w:rsid w:val="00656A87"/>
    <w:rsid w:val="008E4A8A"/>
    <w:rsid w:val="00A44869"/>
    <w:rsid w:val="00B254B8"/>
    <w:rsid w:val="00BB2022"/>
    <w:rsid w:val="00BE7BF3"/>
    <w:rsid w:val="00CE6D4C"/>
    <w:rsid w:val="00E404DC"/>
    <w:rsid w:val="00EB1A13"/>
    <w:rsid w:val="00EC186B"/>
    <w:rsid w:val="00EE44D3"/>
    <w:rsid w:val="00F24E3C"/>
    <w:rsid w:val="00F7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448"/>
    <w:rPr>
      <w:b/>
      <w:bCs/>
    </w:rPr>
  </w:style>
  <w:style w:type="character" w:styleId="a4">
    <w:name w:val="Emphasis"/>
    <w:basedOn w:val="a0"/>
    <w:uiPriority w:val="20"/>
    <w:qFormat/>
    <w:rsid w:val="00616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997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549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kso1</dc:creator>
  <cp:keywords/>
  <dc:description/>
  <cp:lastModifiedBy>Администрация</cp:lastModifiedBy>
  <cp:revision>3</cp:revision>
  <cp:lastPrinted>2015-08-28T07:28:00Z</cp:lastPrinted>
  <dcterms:created xsi:type="dcterms:W3CDTF">2014-05-20T08:16:00Z</dcterms:created>
  <dcterms:modified xsi:type="dcterms:W3CDTF">2015-08-28T08:56:00Z</dcterms:modified>
</cp:coreProperties>
</file>