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C2" w:rsidRDefault="002D10F4">
      <w:pPr>
        <w:ind w:firstLine="709"/>
        <w:jc w:val="right"/>
        <w:outlineLvl w:val="0"/>
        <w:rPr>
          <w:sz w:val="28"/>
          <w:szCs w:val="28"/>
        </w:rPr>
      </w:pPr>
      <w:r w:rsidRPr="0079132F">
        <w:rPr>
          <w:sz w:val="28"/>
          <w:szCs w:val="28"/>
        </w:rPr>
        <w:t xml:space="preserve">Экз. № </w:t>
      </w:r>
    </w:p>
    <w:p w:rsidR="007556BA" w:rsidRPr="0079132F" w:rsidRDefault="007556BA">
      <w:pPr>
        <w:ind w:firstLine="709"/>
        <w:jc w:val="right"/>
        <w:outlineLvl w:val="0"/>
        <w:rPr>
          <w:sz w:val="28"/>
          <w:szCs w:val="28"/>
        </w:rPr>
      </w:pPr>
    </w:p>
    <w:p w:rsidR="00D420C2" w:rsidRDefault="00D420C2">
      <w:pPr>
        <w:ind w:firstLine="709"/>
        <w:jc w:val="center"/>
        <w:outlineLvl w:val="0"/>
        <w:rPr>
          <w:sz w:val="28"/>
          <w:szCs w:val="28"/>
        </w:rPr>
      </w:pPr>
      <w:r w:rsidRPr="0079132F">
        <w:rPr>
          <w:sz w:val="28"/>
          <w:szCs w:val="28"/>
        </w:rPr>
        <w:t>АКТ ПРОВЕРКИ</w:t>
      </w:r>
    </w:p>
    <w:p w:rsidR="007556BA" w:rsidRPr="0079132F" w:rsidRDefault="007556BA">
      <w:pPr>
        <w:ind w:firstLine="709"/>
        <w:jc w:val="center"/>
        <w:outlineLvl w:val="0"/>
        <w:rPr>
          <w:sz w:val="28"/>
          <w:szCs w:val="28"/>
        </w:rPr>
      </w:pPr>
    </w:p>
    <w:p w:rsidR="00D420C2" w:rsidRPr="0079132F" w:rsidRDefault="00D420C2">
      <w:pPr>
        <w:ind w:firstLine="709"/>
        <w:jc w:val="both"/>
        <w:rPr>
          <w:sz w:val="28"/>
          <w:szCs w:val="28"/>
        </w:rPr>
      </w:pPr>
    </w:p>
    <w:p w:rsidR="00D420C2" w:rsidRPr="0079132F" w:rsidRDefault="002D10F4">
      <w:pPr>
        <w:jc w:val="both"/>
        <w:rPr>
          <w:sz w:val="28"/>
          <w:szCs w:val="28"/>
        </w:rPr>
      </w:pPr>
      <w:r w:rsidRPr="0079132F">
        <w:rPr>
          <w:sz w:val="28"/>
          <w:szCs w:val="28"/>
        </w:rPr>
        <w:t>14 февраля 2020 года</w:t>
      </w:r>
      <w:r w:rsidR="00D420C2" w:rsidRPr="0079132F">
        <w:rPr>
          <w:sz w:val="28"/>
          <w:szCs w:val="28"/>
        </w:rPr>
        <w:tab/>
      </w:r>
      <w:r w:rsidR="00D420C2" w:rsidRPr="0079132F">
        <w:rPr>
          <w:sz w:val="28"/>
          <w:szCs w:val="28"/>
        </w:rPr>
        <w:tab/>
      </w:r>
      <w:r w:rsidR="00D420C2" w:rsidRPr="0079132F">
        <w:rPr>
          <w:sz w:val="28"/>
          <w:szCs w:val="28"/>
        </w:rPr>
        <w:tab/>
      </w:r>
      <w:r w:rsidR="00D420C2" w:rsidRPr="0079132F">
        <w:rPr>
          <w:sz w:val="28"/>
          <w:szCs w:val="28"/>
        </w:rPr>
        <w:tab/>
      </w:r>
      <w:r w:rsidR="00D420C2" w:rsidRPr="0079132F">
        <w:rPr>
          <w:sz w:val="28"/>
          <w:szCs w:val="28"/>
        </w:rPr>
        <w:tab/>
      </w:r>
      <w:r w:rsidR="00D420C2" w:rsidRPr="0079132F">
        <w:rPr>
          <w:sz w:val="28"/>
          <w:szCs w:val="28"/>
        </w:rPr>
        <w:tab/>
      </w:r>
      <w:r w:rsidR="00D420C2" w:rsidRPr="0079132F">
        <w:rPr>
          <w:sz w:val="28"/>
          <w:szCs w:val="28"/>
        </w:rPr>
        <w:tab/>
        <w:t xml:space="preserve">   город Чебоксары</w:t>
      </w:r>
    </w:p>
    <w:p w:rsidR="00D420C2" w:rsidRPr="0079132F" w:rsidRDefault="00D420C2">
      <w:pPr>
        <w:ind w:firstLine="709"/>
        <w:jc w:val="both"/>
        <w:rPr>
          <w:sz w:val="28"/>
          <w:szCs w:val="28"/>
        </w:rPr>
      </w:pPr>
    </w:p>
    <w:p w:rsidR="00D420C2" w:rsidRPr="0079132F" w:rsidRDefault="00D420C2">
      <w:pPr>
        <w:pStyle w:val="21"/>
        <w:spacing w:after="0" w:line="240" w:lineRule="auto"/>
        <w:ind w:left="0" w:firstLine="709"/>
        <w:jc w:val="both"/>
        <w:rPr>
          <w:sz w:val="28"/>
          <w:szCs w:val="28"/>
        </w:rPr>
      </w:pPr>
      <w:r w:rsidRPr="0079132F">
        <w:rPr>
          <w:sz w:val="28"/>
          <w:szCs w:val="28"/>
        </w:rPr>
        <w:t xml:space="preserve">На основании поручений </w:t>
      </w:r>
      <w:r w:rsidR="002D10F4" w:rsidRPr="0079132F">
        <w:rPr>
          <w:sz w:val="28"/>
          <w:szCs w:val="28"/>
        </w:rPr>
        <w:t>Главы города Чебоксары</w:t>
      </w:r>
      <w:r w:rsidRPr="0079132F">
        <w:rPr>
          <w:sz w:val="28"/>
          <w:szCs w:val="28"/>
        </w:rPr>
        <w:t xml:space="preserve"> от 2</w:t>
      </w:r>
      <w:r w:rsidR="002D10F4" w:rsidRPr="0079132F">
        <w:rPr>
          <w:sz w:val="28"/>
          <w:szCs w:val="28"/>
        </w:rPr>
        <w:t>8</w:t>
      </w:r>
      <w:r w:rsidRPr="0079132F">
        <w:rPr>
          <w:sz w:val="28"/>
          <w:szCs w:val="28"/>
        </w:rPr>
        <w:t>.</w:t>
      </w:r>
      <w:r w:rsidR="002D10F4" w:rsidRPr="0079132F">
        <w:rPr>
          <w:sz w:val="28"/>
          <w:szCs w:val="28"/>
        </w:rPr>
        <w:t>01</w:t>
      </w:r>
      <w:r w:rsidRPr="0079132F">
        <w:rPr>
          <w:sz w:val="28"/>
          <w:szCs w:val="28"/>
        </w:rPr>
        <w:t>.20</w:t>
      </w:r>
      <w:r w:rsidR="002D10F4" w:rsidRPr="0079132F">
        <w:rPr>
          <w:sz w:val="28"/>
          <w:szCs w:val="28"/>
        </w:rPr>
        <w:t>20</w:t>
      </w:r>
      <w:r w:rsidRPr="0079132F">
        <w:rPr>
          <w:sz w:val="28"/>
          <w:szCs w:val="28"/>
        </w:rPr>
        <w:t xml:space="preserve"> №№ </w:t>
      </w:r>
      <w:r w:rsidR="002D10F4" w:rsidRPr="0079132F">
        <w:rPr>
          <w:sz w:val="28"/>
          <w:szCs w:val="28"/>
        </w:rPr>
        <w:t>1,2</w:t>
      </w:r>
      <w:r w:rsidRPr="0079132F">
        <w:rPr>
          <w:sz w:val="28"/>
          <w:szCs w:val="28"/>
        </w:rPr>
        <w:t xml:space="preserve"> </w:t>
      </w:r>
      <w:r w:rsidR="002D10F4" w:rsidRPr="0079132F">
        <w:rPr>
          <w:sz w:val="28"/>
          <w:szCs w:val="28"/>
        </w:rPr>
        <w:t xml:space="preserve">о проведении контрольного мероприятия </w:t>
      </w:r>
      <w:r w:rsidRPr="0079132F">
        <w:rPr>
          <w:sz w:val="28"/>
          <w:szCs w:val="28"/>
        </w:rPr>
        <w:t xml:space="preserve">специалистами контрольно-счетной палаты города Чебоксары - заведующим сектором бюджетного анализа, имущественного комплекса и экспертизы Голубевой Т.Н. и главным специалистом-экспертом </w:t>
      </w:r>
      <w:r w:rsidR="002D10F4" w:rsidRPr="0079132F">
        <w:rPr>
          <w:sz w:val="28"/>
          <w:szCs w:val="28"/>
        </w:rPr>
        <w:t>Алексеевым В.Н.</w:t>
      </w:r>
      <w:r w:rsidRPr="0079132F">
        <w:rPr>
          <w:sz w:val="28"/>
          <w:szCs w:val="28"/>
        </w:rPr>
        <w:t xml:space="preserve"> проведена проверка </w:t>
      </w:r>
      <w:r w:rsidR="002D10F4" w:rsidRPr="0079132F">
        <w:rPr>
          <w:sz w:val="28"/>
          <w:szCs w:val="28"/>
        </w:rPr>
        <w:t>прогнозирования и поступления доходов от использования имущества, находящегося в муниципальной собственности (в части арендной (любой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 в 2018-2019 годах»</w:t>
      </w:r>
      <w:r w:rsidRPr="0079132F">
        <w:rPr>
          <w:sz w:val="28"/>
          <w:szCs w:val="28"/>
        </w:rPr>
        <w:t xml:space="preserve"> в Чебоксарском городском комитете по управлению имуществом.</w:t>
      </w:r>
    </w:p>
    <w:p w:rsidR="00D420C2" w:rsidRPr="0079132F" w:rsidRDefault="00D420C2">
      <w:pPr>
        <w:ind w:firstLine="709"/>
        <w:jc w:val="both"/>
        <w:rPr>
          <w:sz w:val="28"/>
          <w:szCs w:val="28"/>
        </w:rPr>
      </w:pPr>
      <w:r w:rsidRPr="0079132F">
        <w:rPr>
          <w:sz w:val="28"/>
          <w:szCs w:val="28"/>
        </w:rPr>
        <w:t>Проверка проведена с ведома председателя Чебоксарского городского комитета по управлению имуществом администрации города Чебоксары Василева Ю.А. в присутствии начальника отдела финансов и учета Безруковой Т.Н.</w:t>
      </w:r>
    </w:p>
    <w:p w:rsidR="00D420C2" w:rsidRPr="0079132F" w:rsidRDefault="00D420C2">
      <w:pPr>
        <w:ind w:firstLine="709"/>
        <w:jc w:val="right"/>
        <w:rPr>
          <w:sz w:val="28"/>
          <w:szCs w:val="28"/>
        </w:rPr>
      </w:pPr>
      <w:r w:rsidRPr="0079132F">
        <w:rPr>
          <w:sz w:val="28"/>
          <w:szCs w:val="28"/>
        </w:rPr>
        <w:t xml:space="preserve">Проверка начата </w:t>
      </w:r>
      <w:r w:rsidR="002D10F4" w:rsidRPr="0079132F">
        <w:rPr>
          <w:sz w:val="28"/>
          <w:szCs w:val="28"/>
        </w:rPr>
        <w:t>28.01.2020</w:t>
      </w:r>
      <w:r w:rsidRPr="0079132F">
        <w:rPr>
          <w:sz w:val="28"/>
          <w:szCs w:val="28"/>
        </w:rPr>
        <w:t>,</w:t>
      </w:r>
    </w:p>
    <w:p w:rsidR="00D420C2" w:rsidRPr="0079132F" w:rsidRDefault="00D420C2">
      <w:pPr>
        <w:ind w:firstLine="709"/>
        <w:jc w:val="right"/>
        <w:rPr>
          <w:sz w:val="28"/>
          <w:szCs w:val="28"/>
        </w:rPr>
      </w:pPr>
      <w:r w:rsidRPr="0079132F">
        <w:rPr>
          <w:sz w:val="28"/>
          <w:szCs w:val="28"/>
        </w:rPr>
        <w:t xml:space="preserve">окончена </w:t>
      </w:r>
      <w:r w:rsidR="002D10F4" w:rsidRPr="0079132F">
        <w:rPr>
          <w:sz w:val="28"/>
          <w:szCs w:val="28"/>
        </w:rPr>
        <w:t>14.02</w:t>
      </w:r>
      <w:r w:rsidRPr="0079132F">
        <w:rPr>
          <w:sz w:val="28"/>
          <w:szCs w:val="28"/>
        </w:rPr>
        <w:t>.20</w:t>
      </w:r>
      <w:r w:rsidR="002D10F4" w:rsidRPr="0079132F">
        <w:rPr>
          <w:sz w:val="28"/>
          <w:szCs w:val="28"/>
        </w:rPr>
        <w:t>20</w:t>
      </w:r>
      <w:r w:rsidRPr="0079132F">
        <w:rPr>
          <w:sz w:val="28"/>
          <w:szCs w:val="28"/>
        </w:rPr>
        <w:t>.</w:t>
      </w:r>
    </w:p>
    <w:p w:rsidR="00D420C2" w:rsidRPr="0079132F" w:rsidRDefault="00D420C2">
      <w:pPr>
        <w:ind w:firstLine="709"/>
        <w:jc w:val="right"/>
        <w:rPr>
          <w:sz w:val="28"/>
          <w:szCs w:val="28"/>
        </w:rPr>
      </w:pPr>
    </w:p>
    <w:p w:rsidR="002D10F4" w:rsidRPr="0079132F" w:rsidRDefault="002D10F4" w:rsidP="002D10F4">
      <w:pPr>
        <w:ind w:firstLine="709"/>
        <w:jc w:val="both"/>
        <w:rPr>
          <w:sz w:val="28"/>
          <w:szCs w:val="28"/>
        </w:rPr>
      </w:pPr>
      <w:r w:rsidRPr="0079132F">
        <w:rPr>
          <w:sz w:val="28"/>
          <w:szCs w:val="28"/>
        </w:rPr>
        <w:t>Чебоксарский городской комитет по управлению имуществом (далее – Комитет) осуществляет свою деятельность в соответствии с Положением о Чебоксарско</w:t>
      </w:r>
      <w:r w:rsidR="00B46039">
        <w:rPr>
          <w:sz w:val="28"/>
          <w:szCs w:val="28"/>
        </w:rPr>
        <w:t>м</w:t>
      </w:r>
      <w:r w:rsidRPr="0079132F">
        <w:rPr>
          <w:sz w:val="28"/>
          <w:szCs w:val="28"/>
        </w:rPr>
        <w:t xml:space="preserve"> городском комитете по управлению имуществом, утвержденным решением Чебоксарского городского Собрания депутатов от 06.03.2012 № 502.</w:t>
      </w:r>
    </w:p>
    <w:p w:rsidR="002D10F4" w:rsidRPr="0079132F" w:rsidRDefault="002D10F4" w:rsidP="002D10F4">
      <w:pPr>
        <w:ind w:firstLine="709"/>
        <w:jc w:val="both"/>
        <w:rPr>
          <w:sz w:val="28"/>
          <w:szCs w:val="28"/>
        </w:rPr>
      </w:pPr>
      <w:r w:rsidRPr="0079132F">
        <w:rPr>
          <w:sz w:val="28"/>
          <w:szCs w:val="28"/>
        </w:rPr>
        <w:t>Комитет является функциональным органом администрации города Чебоксары, осуществляющим функции в целях обеспечения реа</w:t>
      </w:r>
      <w:r w:rsidR="00815096" w:rsidRPr="0079132F">
        <w:rPr>
          <w:sz w:val="28"/>
          <w:szCs w:val="28"/>
        </w:rPr>
        <w:t>лизации полномочий администрации города Чебоксары по решению вопросов местного значения в сфере владения, пользования и распоряжения объектами муниципальной собственности города Чебоксары, регулированию земельных отношений, осуществлению иных функций администрации города Чебоксары.</w:t>
      </w:r>
    </w:p>
    <w:p w:rsidR="00815096" w:rsidRPr="0079132F" w:rsidRDefault="00815096" w:rsidP="002D10F4">
      <w:pPr>
        <w:ind w:firstLine="709"/>
        <w:jc w:val="both"/>
        <w:rPr>
          <w:sz w:val="28"/>
          <w:szCs w:val="28"/>
        </w:rPr>
      </w:pPr>
      <w:r w:rsidRPr="0079132F">
        <w:rPr>
          <w:sz w:val="28"/>
          <w:szCs w:val="28"/>
        </w:rPr>
        <w:t>Основными задачами Комитета являются:</w:t>
      </w:r>
    </w:p>
    <w:p w:rsidR="00815096" w:rsidRPr="0079132F" w:rsidRDefault="00815096" w:rsidP="002D10F4">
      <w:pPr>
        <w:ind w:firstLine="709"/>
        <w:jc w:val="both"/>
        <w:rPr>
          <w:sz w:val="28"/>
          <w:szCs w:val="28"/>
        </w:rPr>
      </w:pPr>
      <w:r w:rsidRPr="0079132F">
        <w:rPr>
          <w:sz w:val="28"/>
          <w:szCs w:val="28"/>
        </w:rPr>
        <w:t>проведение единой политики в сфере имущественных и земельных отношений на территории муниципального образования города Чебоксары;</w:t>
      </w:r>
    </w:p>
    <w:p w:rsidR="00815096" w:rsidRPr="0079132F" w:rsidRDefault="00815096" w:rsidP="002D10F4">
      <w:pPr>
        <w:ind w:firstLine="709"/>
        <w:jc w:val="both"/>
        <w:rPr>
          <w:sz w:val="28"/>
          <w:szCs w:val="28"/>
        </w:rPr>
      </w:pPr>
      <w:r w:rsidRPr="0079132F">
        <w:rPr>
          <w:sz w:val="28"/>
          <w:szCs w:val="28"/>
        </w:rPr>
        <w:t>формирование и ведение реестра муниципальной собственности, в том числе муниципальной казны;</w:t>
      </w:r>
    </w:p>
    <w:p w:rsidR="00815096" w:rsidRPr="0079132F" w:rsidRDefault="00815096" w:rsidP="002D10F4">
      <w:pPr>
        <w:ind w:firstLine="709"/>
        <w:jc w:val="both"/>
        <w:rPr>
          <w:sz w:val="28"/>
          <w:szCs w:val="28"/>
        </w:rPr>
      </w:pPr>
      <w:r w:rsidRPr="0079132F">
        <w:rPr>
          <w:sz w:val="28"/>
          <w:szCs w:val="28"/>
        </w:rPr>
        <w:t>управление и распоряжение в установленном порядке имуществом, находящимся в муниципальной собственности;</w:t>
      </w:r>
    </w:p>
    <w:p w:rsidR="00815096" w:rsidRPr="0079132F" w:rsidRDefault="00815096" w:rsidP="002D10F4">
      <w:pPr>
        <w:ind w:firstLine="709"/>
        <w:jc w:val="both"/>
        <w:rPr>
          <w:sz w:val="28"/>
          <w:szCs w:val="28"/>
        </w:rPr>
      </w:pPr>
      <w:r w:rsidRPr="0079132F">
        <w:rPr>
          <w:sz w:val="28"/>
          <w:szCs w:val="28"/>
        </w:rPr>
        <w:lastRenderedPageBreak/>
        <w:t>обеспечение своевременного поступления в бюджет города Чебоксары средств от реализации возложенных на Комитет функций;</w:t>
      </w:r>
    </w:p>
    <w:p w:rsidR="00815096" w:rsidRPr="0079132F" w:rsidRDefault="00815096" w:rsidP="002D10F4">
      <w:pPr>
        <w:ind w:firstLine="709"/>
        <w:jc w:val="both"/>
        <w:rPr>
          <w:sz w:val="28"/>
          <w:szCs w:val="28"/>
        </w:rPr>
      </w:pPr>
      <w:r w:rsidRPr="0079132F">
        <w:rPr>
          <w:sz w:val="28"/>
          <w:szCs w:val="28"/>
        </w:rPr>
        <w:t>осуществление контроля за использованием по назначению и сохранностью муниципального имущества, закрепленного за муниципальными предприятиями и учреждениями на праве хозяйственного ведения или оперативного управления, а также переданного юридическим и физическим лицам на договорной основе;</w:t>
      </w:r>
    </w:p>
    <w:p w:rsidR="00815096" w:rsidRPr="0079132F" w:rsidRDefault="00815096" w:rsidP="002D10F4">
      <w:pPr>
        <w:ind w:firstLine="709"/>
        <w:jc w:val="both"/>
        <w:rPr>
          <w:sz w:val="28"/>
          <w:szCs w:val="28"/>
        </w:rPr>
      </w:pPr>
      <w:r w:rsidRPr="0079132F">
        <w:rPr>
          <w:sz w:val="28"/>
          <w:szCs w:val="28"/>
        </w:rPr>
        <w:t>осуществление муниципального земельного и лесного контроля на территории города Чебоксары.</w:t>
      </w:r>
    </w:p>
    <w:p w:rsidR="00815096" w:rsidRPr="0079132F" w:rsidRDefault="00815096" w:rsidP="002D10F4">
      <w:pPr>
        <w:ind w:firstLine="709"/>
        <w:jc w:val="both"/>
        <w:rPr>
          <w:sz w:val="28"/>
          <w:szCs w:val="28"/>
        </w:rPr>
      </w:pPr>
      <w:r w:rsidRPr="0079132F">
        <w:rPr>
          <w:sz w:val="28"/>
          <w:szCs w:val="28"/>
        </w:rPr>
        <w:t>В соответствии с Положением о Чебоксарском городском комитете по управлению имуществом Комитет является юридическим лицом со статусом муниципального казенного учреждения, имеет лицевой счет, штамп и круглую печать</w:t>
      </w:r>
      <w:r w:rsidR="00D420C2" w:rsidRPr="0079132F">
        <w:rPr>
          <w:sz w:val="28"/>
          <w:szCs w:val="28"/>
        </w:rPr>
        <w:t>.</w:t>
      </w:r>
    </w:p>
    <w:p w:rsidR="002D10F4" w:rsidRPr="0079132F" w:rsidRDefault="002D10F4">
      <w:pPr>
        <w:ind w:firstLine="709"/>
        <w:jc w:val="center"/>
        <w:rPr>
          <w:b/>
          <w:sz w:val="28"/>
          <w:szCs w:val="28"/>
        </w:rPr>
      </w:pPr>
    </w:p>
    <w:p w:rsidR="00D420C2" w:rsidRPr="0079132F" w:rsidRDefault="00D420C2">
      <w:pPr>
        <w:ind w:firstLine="709"/>
        <w:jc w:val="center"/>
        <w:rPr>
          <w:b/>
          <w:sz w:val="28"/>
          <w:szCs w:val="28"/>
        </w:rPr>
      </w:pPr>
      <w:r w:rsidRPr="0079132F">
        <w:rPr>
          <w:b/>
          <w:sz w:val="28"/>
          <w:szCs w:val="28"/>
        </w:rPr>
        <w:t>Основные положения</w:t>
      </w:r>
    </w:p>
    <w:p w:rsidR="00D420C2" w:rsidRPr="0079132F" w:rsidRDefault="00D420C2">
      <w:pPr>
        <w:ind w:firstLine="709"/>
        <w:jc w:val="center"/>
        <w:rPr>
          <w:sz w:val="28"/>
          <w:szCs w:val="28"/>
        </w:rPr>
      </w:pPr>
    </w:p>
    <w:p w:rsidR="0079132F" w:rsidRPr="0079132F" w:rsidRDefault="0079132F" w:rsidP="0079132F">
      <w:pPr>
        <w:ind w:firstLine="709"/>
        <w:jc w:val="both"/>
        <w:rPr>
          <w:sz w:val="28"/>
          <w:szCs w:val="28"/>
        </w:rPr>
      </w:pPr>
      <w:r w:rsidRPr="0079132F">
        <w:rPr>
          <w:sz w:val="28"/>
          <w:szCs w:val="28"/>
        </w:rPr>
        <w:t xml:space="preserve">В соответствии с Положением о порядке управления и распоряжения муниципальной собственностью </w:t>
      </w:r>
      <w:r>
        <w:rPr>
          <w:sz w:val="28"/>
          <w:szCs w:val="28"/>
        </w:rPr>
        <w:t>города Чебоксары, утвержденным решением Чебоксарского городского Собрания депутатов от 09.06.1999 № 688 (с изменениями) в состав имущества и объектов муниципальной собствен</w:t>
      </w:r>
      <w:r w:rsidR="00E45772">
        <w:rPr>
          <w:sz w:val="28"/>
          <w:szCs w:val="28"/>
        </w:rPr>
        <w:t>н</w:t>
      </w:r>
      <w:r>
        <w:rPr>
          <w:sz w:val="28"/>
          <w:szCs w:val="28"/>
        </w:rPr>
        <w:t>ости города Чебоксары входят:</w:t>
      </w:r>
    </w:p>
    <w:p w:rsidR="0079132F" w:rsidRPr="0079132F" w:rsidRDefault="0079132F" w:rsidP="00BA77CC">
      <w:pPr>
        <w:autoSpaceDE w:val="0"/>
        <w:autoSpaceDN w:val="0"/>
        <w:adjustRightInd w:val="0"/>
        <w:ind w:firstLine="709"/>
        <w:jc w:val="both"/>
        <w:rPr>
          <w:color w:val="000000"/>
          <w:sz w:val="28"/>
          <w:szCs w:val="28"/>
        </w:rPr>
      </w:pPr>
      <w:r w:rsidRPr="0079132F">
        <w:rPr>
          <w:color w:val="000000"/>
          <w:sz w:val="28"/>
          <w:szCs w:val="28"/>
        </w:rPr>
        <w:t>муниципальный жилищный и нежилой фонды;</w:t>
      </w:r>
    </w:p>
    <w:p w:rsidR="0079132F" w:rsidRPr="0079132F" w:rsidRDefault="0079132F" w:rsidP="00BA77CC">
      <w:pPr>
        <w:autoSpaceDE w:val="0"/>
        <w:autoSpaceDN w:val="0"/>
        <w:adjustRightInd w:val="0"/>
        <w:ind w:firstLine="709"/>
        <w:jc w:val="both"/>
        <w:rPr>
          <w:sz w:val="28"/>
          <w:szCs w:val="28"/>
        </w:rPr>
      </w:pPr>
      <w:r w:rsidRPr="0079132F">
        <w:rPr>
          <w:sz w:val="28"/>
          <w:szCs w:val="28"/>
        </w:rPr>
        <w:t>имущество, закрепленное за муниципальными предприятиями и</w:t>
      </w:r>
      <w:r>
        <w:rPr>
          <w:sz w:val="28"/>
          <w:szCs w:val="28"/>
        </w:rPr>
        <w:t xml:space="preserve"> </w:t>
      </w:r>
      <w:r w:rsidRPr="0079132F">
        <w:rPr>
          <w:sz w:val="28"/>
          <w:szCs w:val="28"/>
        </w:rPr>
        <w:t>учреждениями на праве хозяйственного ведения или оперативного</w:t>
      </w:r>
      <w:r>
        <w:rPr>
          <w:sz w:val="28"/>
          <w:szCs w:val="28"/>
        </w:rPr>
        <w:t xml:space="preserve"> </w:t>
      </w:r>
      <w:r w:rsidRPr="0079132F">
        <w:rPr>
          <w:sz w:val="28"/>
          <w:szCs w:val="28"/>
        </w:rPr>
        <w:t>управления;</w:t>
      </w:r>
    </w:p>
    <w:p w:rsidR="0079132F" w:rsidRPr="0079132F" w:rsidRDefault="0079132F" w:rsidP="00BA77CC">
      <w:pPr>
        <w:autoSpaceDE w:val="0"/>
        <w:autoSpaceDN w:val="0"/>
        <w:adjustRightInd w:val="0"/>
        <w:ind w:firstLine="709"/>
        <w:jc w:val="both"/>
        <w:rPr>
          <w:sz w:val="28"/>
          <w:szCs w:val="28"/>
        </w:rPr>
      </w:pPr>
      <w:r w:rsidRPr="0079132F">
        <w:rPr>
          <w:sz w:val="28"/>
          <w:szCs w:val="28"/>
        </w:rPr>
        <w:t>муниципальное имущество, находящееся в законном ведении,</w:t>
      </w:r>
      <w:r>
        <w:rPr>
          <w:sz w:val="28"/>
          <w:szCs w:val="28"/>
        </w:rPr>
        <w:t xml:space="preserve"> </w:t>
      </w:r>
      <w:r w:rsidRPr="0079132F">
        <w:rPr>
          <w:sz w:val="28"/>
          <w:szCs w:val="28"/>
        </w:rPr>
        <w:t>управлении, пользовании у юридических и физических лиц;</w:t>
      </w:r>
    </w:p>
    <w:p w:rsidR="0079132F" w:rsidRPr="0079132F" w:rsidRDefault="0079132F" w:rsidP="00BA77CC">
      <w:pPr>
        <w:autoSpaceDE w:val="0"/>
        <w:autoSpaceDN w:val="0"/>
        <w:adjustRightInd w:val="0"/>
        <w:ind w:firstLine="709"/>
        <w:jc w:val="both"/>
        <w:rPr>
          <w:sz w:val="28"/>
          <w:szCs w:val="28"/>
        </w:rPr>
      </w:pPr>
      <w:r w:rsidRPr="0079132F">
        <w:rPr>
          <w:sz w:val="28"/>
          <w:szCs w:val="28"/>
        </w:rPr>
        <w:t>вклады, доли (паи, акции) в уставном капитале хозяйствующих</w:t>
      </w:r>
      <w:r w:rsidR="00E45772">
        <w:rPr>
          <w:sz w:val="28"/>
          <w:szCs w:val="28"/>
        </w:rPr>
        <w:t xml:space="preserve"> </w:t>
      </w:r>
      <w:r w:rsidRPr="0079132F">
        <w:rPr>
          <w:sz w:val="28"/>
          <w:szCs w:val="28"/>
        </w:rPr>
        <w:t>субъектов;</w:t>
      </w:r>
    </w:p>
    <w:p w:rsidR="0079132F" w:rsidRPr="0079132F" w:rsidRDefault="0079132F" w:rsidP="00BA77CC">
      <w:pPr>
        <w:autoSpaceDE w:val="0"/>
        <w:autoSpaceDN w:val="0"/>
        <w:adjustRightInd w:val="0"/>
        <w:ind w:firstLine="709"/>
        <w:jc w:val="both"/>
        <w:rPr>
          <w:sz w:val="28"/>
          <w:szCs w:val="28"/>
        </w:rPr>
      </w:pPr>
      <w:r w:rsidRPr="0079132F">
        <w:rPr>
          <w:sz w:val="28"/>
          <w:szCs w:val="28"/>
        </w:rPr>
        <w:t>иное движимое и недвижимое имущество, признаваемое или признанное</w:t>
      </w:r>
      <w:r w:rsidR="00E45772">
        <w:rPr>
          <w:sz w:val="28"/>
          <w:szCs w:val="28"/>
        </w:rPr>
        <w:t xml:space="preserve"> </w:t>
      </w:r>
      <w:r w:rsidRPr="0079132F">
        <w:rPr>
          <w:sz w:val="28"/>
          <w:szCs w:val="28"/>
        </w:rPr>
        <w:t>в установленном действующим законодательством порядке муниципальной</w:t>
      </w:r>
      <w:r w:rsidR="00E45772">
        <w:rPr>
          <w:sz w:val="28"/>
          <w:szCs w:val="28"/>
        </w:rPr>
        <w:t xml:space="preserve"> </w:t>
      </w:r>
      <w:r w:rsidRPr="0079132F">
        <w:rPr>
          <w:sz w:val="28"/>
          <w:szCs w:val="28"/>
        </w:rPr>
        <w:t xml:space="preserve">собственностью </w:t>
      </w:r>
      <w:r w:rsidR="00E45772">
        <w:rPr>
          <w:sz w:val="28"/>
          <w:szCs w:val="28"/>
        </w:rPr>
        <w:t>города Чебоксары</w:t>
      </w:r>
      <w:r w:rsidRPr="0079132F">
        <w:rPr>
          <w:sz w:val="28"/>
          <w:szCs w:val="28"/>
        </w:rPr>
        <w:t>.</w:t>
      </w:r>
    </w:p>
    <w:p w:rsidR="00E45772" w:rsidRDefault="00E45772" w:rsidP="00E45772">
      <w:pPr>
        <w:autoSpaceDE w:val="0"/>
        <w:autoSpaceDN w:val="0"/>
        <w:adjustRightInd w:val="0"/>
        <w:ind w:firstLine="709"/>
        <w:jc w:val="both"/>
        <w:rPr>
          <w:sz w:val="28"/>
          <w:szCs w:val="28"/>
        </w:rPr>
      </w:pPr>
      <w:r w:rsidRPr="00E45772">
        <w:rPr>
          <w:sz w:val="28"/>
          <w:szCs w:val="28"/>
        </w:rPr>
        <w:t>В целях обеспечения единого учета имущества и объектов</w:t>
      </w:r>
      <w:r>
        <w:rPr>
          <w:sz w:val="28"/>
          <w:szCs w:val="28"/>
        </w:rPr>
        <w:t xml:space="preserve"> </w:t>
      </w:r>
      <w:r w:rsidRPr="00E45772">
        <w:rPr>
          <w:sz w:val="28"/>
          <w:szCs w:val="28"/>
        </w:rPr>
        <w:t>муниципальной собственности осуществляется ведение Единого реестра</w:t>
      </w:r>
      <w:r>
        <w:rPr>
          <w:sz w:val="28"/>
          <w:szCs w:val="28"/>
        </w:rPr>
        <w:t xml:space="preserve"> </w:t>
      </w:r>
      <w:r w:rsidRPr="00E45772">
        <w:rPr>
          <w:sz w:val="28"/>
          <w:szCs w:val="28"/>
        </w:rPr>
        <w:t>муниципальной собственности города Чебоксары</w:t>
      </w:r>
      <w:r>
        <w:rPr>
          <w:sz w:val="28"/>
          <w:szCs w:val="28"/>
        </w:rPr>
        <w:t xml:space="preserve"> (далее по тексту – Реестр).</w:t>
      </w:r>
    </w:p>
    <w:p w:rsidR="00E45772" w:rsidRDefault="00BA77CC">
      <w:pPr>
        <w:autoSpaceDE w:val="0"/>
        <w:autoSpaceDN w:val="0"/>
        <w:adjustRightInd w:val="0"/>
        <w:ind w:firstLine="709"/>
        <w:jc w:val="both"/>
        <w:rPr>
          <w:sz w:val="28"/>
          <w:szCs w:val="28"/>
        </w:rPr>
      </w:pPr>
      <w:r>
        <w:rPr>
          <w:sz w:val="28"/>
          <w:szCs w:val="28"/>
        </w:rPr>
        <w:t xml:space="preserve">Постановлением администрации города Чебоксары от 27.08.2015 № 2789 «Об учете муниципального имущества города Чебоксары» утверждены карты Единого реестра муниципальной собственности города Чебоксары. </w:t>
      </w:r>
    </w:p>
    <w:p w:rsidR="00BA77CC" w:rsidRDefault="00BA77CC">
      <w:pPr>
        <w:autoSpaceDE w:val="0"/>
        <w:autoSpaceDN w:val="0"/>
        <w:adjustRightInd w:val="0"/>
        <w:ind w:firstLine="709"/>
        <w:jc w:val="both"/>
        <w:rPr>
          <w:sz w:val="28"/>
          <w:szCs w:val="28"/>
        </w:rPr>
      </w:pPr>
      <w:r>
        <w:rPr>
          <w:sz w:val="28"/>
          <w:szCs w:val="28"/>
        </w:rPr>
        <w:t>Указанным постановлением предусмотрена обязанность муниципальных предприятий и учреждений города Чебоксары, хозяйственных обществ с долей участия муниципального образования города Чебоксары в уставных капиталах, являющихся правообладателями и пользователями муниципального имущества города Чебоксары обеспечить ежегодно до 1 апреля представление в Чебоксарский городской комитет по управлению имуществом обновленных карт объектов учета.</w:t>
      </w:r>
    </w:p>
    <w:p w:rsidR="0078568C" w:rsidRDefault="00BA77CC">
      <w:pPr>
        <w:autoSpaceDE w:val="0"/>
        <w:autoSpaceDN w:val="0"/>
        <w:adjustRightInd w:val="0"/>
        <w:ind w:firstLine="709"/>
        <w:jc w:val="both"/>
        <w:rPr>
          <w:sz w:val="28"/>
          <w:szCs w:val="28"/>
        </w:rPr>
      </w:pPr>
      <w:r>
        <w:rPr>
          <w:sz w:val="28"/>
          <w:szCs w:val="28"/>
        </w:rPr>
        <w:lastRenderedPageBreak/>
        <w:t>Ведение Реестра осуществляется в а</w:t>
      </w:r>
      <w:r w:rsidR="0078568C">
        <w:rPr>
          <w:sz w:val="28"/>
          <w:szCs w:val="28"/>
        </w:rPr>
        <w:t>в</w:t>
      </w:r>
      <w:r>
        <w:rPr>
          <w:sz w:val="28"/>
          <w:szCs w:val="28"/>
        </w:rPr>
        <w:t>томати</w:t>
      </w:r>
      <w:r w:rsidR="0078568C">
        <w:rPr>
          <w:sz w:val="28"/>
          <w:szCs w:val="28"/>
        </w:rPr>
        <w:t>з</w:t>
      </w:r>
      <w:r>
        <w:rPr>
          <w:sz w:val="28"/>
          <w:szCs w:val="28"/>
        </w:rPr>
        <w:t>ированной системе упр</w:t>
      </w:r>
      <w:r w:rsidR="0078568C">
        <w:rPr>
          <w:sz w:val="28"/>
          <w:szCs w:val="28"/>
        </w:rPr>
        <w:t>а</w:t>
      </w:r>
      <w:r>
        <w:rPr>
          <w:sz w:val="28"/>
          <w:szCs w:val="28"/>
        </w:rPr>
        <w:t>вления и распоряжения муниципальным имуществом на базе програм</w:t>
      </w:r>
      <w:r w:rsidR="0078568C">
        <w:rPr>
          <w:sz w:val="28"/>
          <w:szCs w:val="28"/>
        </w:rPr>
        <w:t xml:space="preserve">много обеспечения «Реестр муниципального имущества». </w:t>
      </w:r>
    </w:p>
    <w:p w:rsidR="00BA77CC" w:rsidRDefault="0078568C">
      <w:pPr>
        <w:autoSpaceDE w:val="0"/>
        <w:autoSpaceDN w:val="0"/>
        <w:adjustRightInd w:val="0"/>
        <w:ind w:firstLine="709"/>
        <w:jc w:val="both"/>
        <w:rPr>
          <w:sz w:val="28"/>
          <w:szCs w:val="28"/>
        </w:rPr>
      </w:pPr>
      <w:r>
        <w:rPr>
          <w:sz w:val="28"/>
          <w:szCs w:val="28"/>
        </w:rPr>
        <w:t xml:space="preserve">По состоянию на 01.01.2019 в Реестре числилось 13 599 объектов недвижимого имущества, из них: жилые – в количестве </w:t>
      </w:r>
      <w:r w:rsidR="00206746">
        <w:rPr>
          <w:sz w:val="28"/>
          <w:szCs w:val="28"/>
        </w:rPr>
        <w:t>9 942 объекта общей площадью 447 066,7 кв. м., нежилые – в количестве 3 667 объектов общей площадью 2 730 663,8 кв. м. Кроме того, в Реестре числилось по состоянию 4 340 объектов движимого имущества, 1 713 722 акций в уставном капитале акционерных обществ.</w:t>
      </w:r>
    </w:p>
    <w:p w:rsidR="00BD4B4C" w:rsidRDefault="00BD4B4C" w:rsidP="00BD4B4C">
      <w:pPr>
        <w:autoSpaceDE w:val="0"/>
        <w:autoSpaceDN w:val="0"/>
        <w:adjustRightInd w:val="0"/>
        <w:ind w:firstLine="709"/>
        <w:jc w:val="both"/>
        <w:rPr>
          <w:sz w:val="28"/>
          <w:szCs w:val="28"/>
        </w:rPr>
      </w:pPr>
      <w:r>
        <w:rPr>
          <w:sz w:val="28"/>
          <w:szCs w:val="28"/>
        </w:rPr>
        <w:t>По состоянию на 01.01.2020 в Реестре числилось 13 164 объекта недвижимого имущества и 147 950 объектов движимого имущества.</w:t>
      </w:r>
    </w:p>
    <w:p w:rsidR="00BD4B4C" w:rsidRDefault="00BD4B4C">
      <w:pPr>
        <w:autoSpaceDE w:val="0"/>
        <w:autoSpaceDN w:val="0"/>
        <w:adjustRightInd w:val="0"/>
        <w:ind w:firstLine="709"/>
        <w:jc w:val="both"/>
        <w:rPr>
          <w:sz w:val="28"/>
          <w:szCs w:val="28"/>
        </w:rPr>
      </w:pPr>
    </w:p>
    <w:p w:rsidR="00CF147A" w:rsidRPr="00CF147A" w:rsidRDefault="00CF147A" w:rsidP="00CF147A">
      <w:pPr>
        <w:autoSpaceDE w:val="0"/>
        <w:autoSpaceDN w:val="0"/>
        <w:adjustRightInd w:val="0"/>
        <w:ind w:firstLine="709"/>
        <w:jc w:val="both"/>
        <w:rPr>
          <w:sz w:val="28"/>
          <w:szCs w:val="28"/>
        </w:rPr>
      </w:pPr>
      <w:r>
        <w:rPr>
          <w:sz w:val="28"/>
          <w:szCs w:val="28"/>
        </w:rPr>
        <w:t>В соответствии с нормами законодательства о бухгалтерском учете и</w:t>
      </w:r>
      <w:r w:rsidRPr="00CF147A">
        <w:rPr>
          <w:sz w:val="28"/>
          <w:szCs w:val="28"/>
        </w:rPr>
        <w:t>мущество казны подлежит отражению в бюджетном учете публично-правового образования, на балансах органов, осуществляющих управление государственным (муниципальным) имуществом.</w:t>
      </w:r>
    </w:p>
    <w:p w:rsidR="00CF147A" w:rsidRPr="00CF147A" w:rsidRDefault="00CF147A" w:rsidP="00CF147A">
      <w:pPr>
        <w:autoSpaceDE w:val="0"/>
        <w:autoSpaceDN w:val="0"/>
        <w:adjustRightInd w:val="0"/>
        <w:ind w:firstLine="709"/>
        <w:jc w:val="both"/>
        <w:rPr>
          <w:sz w:val="28"/>
          <w:szCs w:val="28"/>
        </w:rPr>
      </w:pPr>
      <w:r w:rsidRPr="00CF147A">
        <w:rPr>
          <w:sz w:val="28"/>
          <w:szCs w:val="28"/>
        </w:rPr>
        <w:t>Учет имущества казны осуществляется согласно Инструкции по применению Единого плана счетов, утвержденной приказом Минфина России от 01.12.2010 № 157н (далее – Инструкция № 157н) и Инструкции по бюджетному учету, утвержденной приказом Минфина России от 06.12.2010 № 162н (далее – Инструкция № 162н).</w:t>
      </w:r>
      <w:r>
        <w:rPr>
          <w:sz w:val="28"/>
          <w:szCs w:val="28"/>
        </w:rPr>
        <w:t xml:space="preserve"> </w:t>
      </w:r>
      <w:r w:rsidRPr="00CF147A">
        <w:rPr>
          <w:sz w:val="28"/>
          <w:szCs w:val="28"/>
        </w:rPr>
        <w:t>Объекты имущества, составляющие государственную (муниципальную) казну, учитываются на счете 0 10800 000 «Нефинансовые активы имущества казны» в разрезе материальных основных фондов, нематериальных основных фондов, непроизведенных активов и материальных запасов (п. 141 Инструкции № 157н).</w:t>
      </w:r>
    </w:p>
    <w:p w:rsidR="00F666C3" w:rsidRDefault="00F666C3">
      <w:pPr>
        <w:autoSpaceDE w:val="0"/>
        <w:autoSpaceDN w:val="0"/>
        <w:adjustRightInd w:val="0"/>
        <w:ind w:firstLine="709"/>
        <w:jc w:val="both"/>
        <w:rPr>
          <w:sz w:val="28"/>
          <w:szCs w:val="28"/>
        </w:rPr>
      </w:pPr>
      <w:r>
        <w:rPr>
          <w:sz w:val="28"/>
          <w:szCs w:val="28"/>
        </w:rPr>
        <w:t>В соответствии с учетной политикой Комитета, утвержденной приказом председателя Чебоксарского городского комитета по управлению имуществом от 27.12.2018 № 162, учет вложений в нефинансовые активы имущества казны осуществляется на основании сводной информации о стоимости муниципального имущества, входящего в состав казны города Чебоксары. Сводная информация предоставляется отделом управления муниципальной собственностью Чебоксарского городского комитета по управлению имуществом ежеквартально до 10 числа месяца, следующего за отчетным кварталом. Контроль за достоверность и своевременность предоставления для отражения в бюджетном учете сводных данных Реестра возлагается на отдел управления муниципальной собственн</w:t>
      </w:r>
      <w:r w:rsidR="00563522">
        <w:rPr>
          <w:sz w:val="28"/>
          <w:szCs w:val="28"/>
        </w:rPr>
        <w:t>ости Чебоксарского городского комитета по управлению имуществом.</w:t>
      </w:r>
    </w:p>
    <w:p w:rsidR="00E45772" w:rsidRDefault="00CF147A">
      <w:pPr>
        <w:autoSpaceDE w:val="0"/>
        <w:autoSpaceDN w:val="0"/>
        <w:adjustRightInd w:val="0"/>
        <w:ind w:firstLine="709"/>
        <w:jc w:val="both"/>
        <w:rPr>
          <w:sz w:val="28"/>
          <w:szCs w:val="28"/>
        </w:rPr>
      </w:pPr>
      <w:r>
        <w:rPr>
          <w:sz w:val="28"/>
          <w:szCs w:val="28"/>
        </w:rPr>
        <w:t>По данным бухгалтерско</w:t>
      </w:r>
      <w:r w:rsidR="00563522">
        <w:rPr>
          <w:sz w:val="28"/>
          <w:szCs w:val="28"/>
        </w:rPr>
        <w:t xml:space="preserve">го учета </w:t>
      </w:r>
      <w:r>
        <w:rPr>
          <w:sz w:val="28"/>
          <w:szCs w:val="28"/>
        </w:rPr>
        <w:t xml:space="preserve">Комитета по состоянию на 01.01.2019 </w:t>
      </w:r>
      <w:r w:rsidR="00563522">
        <w:rPr>
          <w:sz w:val="28"/>
          <w:szCs w:val="28"/>
        </w:rPr>
        <w:t>балансовая стоимость имущества</w:t>
      </w:r>
      <w:r>
        <w:rPr>
          <w:sz w:val="28"/>
          <w:szCs w:val="28"/>
        </w:rPr>
        <w:t xml:space="preserve"> казны составлял</w:t>
      </w:r>
      <w:r w:rsidR="00563522">
        <w:rPr>
          <w:sz w:val="28"/>
          <w:szCs w:val="28"/>
        </w:rPr>
        <w:t>а</w:t>
      </w:r>
      <w:r>
        <w:rPr>
          <w:sz w:val="28"/>
          <w:szCs w:val="28"/>
        </w:rPr>
        <w:t xml:space="preserve"> в сумме 37 417 168,684 тыс. </w:t>
      </w:r>
      <w:r w:rsidR="00563522">
        <w:rPr>
          <w:sz w:val="28"/>
          <w:szCs w:val="28"/>
        </w:rPr>
        <w:t xml:space="preserve">рублей, из них: балансовая стоимость недвижимого имущества – в сумме 18 798 327,46 тыс. рублей, движимого имущества – в сумме 5 623 110,24 тыс. рублей, непроизведенные активы (земля) – в сумме 12 995 730,984 тыс. рублей. </w:t>
      </w:r>
    </w:p>
    <w:p w:rsidR="00563522" w:rsidRDefault="00563522">
      <w:pPr>
        <w:autoSpaceDE w:val="0"/>
        <w:autoSpaceDN w:val="0"/>
        <w:adjustRightInd w:val="0"/>
        <w:ind w:firstLine="709"/>
        <w:jc w:val="both"/>
        <w:rPr>
          <w:sz w:val="28"/>
          <w:szCs w:val="28"/>
        </w:rPr>
      </w:pPr>
      <w:r>
        <w:rPr>
          <w:sz w:val="28"/>
          <w:szCs w:val="28"/>
        </w:rPr>
        <w:t xml:space="preserve">Остаточная стоимость имущества казны по данным баланса главного распорядителя, распорядителя, получателя бюджетных средств, главного </w:t>
      </w:r>
      <w:r>
        <w:rPr>
          <w:sz w:val="28"/>
          <w:szCs w:val="28"/>
        </w:rPr>
        <w:lastRenderedPageBreak/>
        <w:t>администратора, администратора источников финансирования дефицита бюджета, главного администратора, администратора доходов бюджета (форма № 0503130) по состоянию на 01.01.2019 составляла 31 799 190,684 тыс. рублей, сумма начисленной амортизации – 5 617 978,0 тыс. рублей.</w:t>
      </w:r>
    </w:p>
    <w:p w:rsidR="00563522" w:rsidRPr="004F6294" w:rsidRDefault="00563522" w:rsidP="00563522">
      <w:pPr>
        <w:autoSpaceDE w:val="0"/>
        <w:autoSpaceDN w:val="0"/>
        <w:adjustRightInd w:val="0"/>
        <w:ind w:firstLine="709"/>
        <w:jc w:val="both"/>
        <w:rPr>
          <w:sz w:val="28"/>
          <w:szCs w:val="28"/>
        </w:rPr>
      </w:pPr>
      <w:r w:rsidRPr="004F6294">
        <w:rPr>
          <w:sz w:val="28"/>
          <w:szCs w:val="28"/>
        </w:rPr>
        <w:t xml:space="preserve">По данным бухгалтерского учета Комитета по состоянию на 01.01.2020 балансовая стоимость имущества казны составляла в сумме 37 417 168,684 тыс. рублей, из них: балансовая стоимость недвижимого имущества – в сумме </w:t>
      </w:r>
      <w:r w:rsidR="004F6294" w:rsidRPr="004F6294">
        <w:rPr>
          <w:sz w:val="28"/>
          <w:szCs w:val="28"/>
        </w:rPr>
        <w:t>11 631 551,348</w:t>
      </w:r>
      <w:r w:rsidRPr="004F6294">
        <w:rPr>
          <w:sz w:val="28"/>
          <w:szCs w:val="28"/>
        </w:rPr>
        <w:t xml:space="preserve"> тыс. рублей, движимого имущества – в сумме </w:t>
      </w:r>
      <w:r w:rsidR="004F6294" w:rsidRPr="004F6294">
        <w:rPr>
          <w:sz w:val="28"/>
          <w:szCs w:val="28"/>
        </w:rPr>
        <w:t>6 162 355,759</w:t>
      </w:r>
      <w:r w:rsidRPr="004F6294">
        <w:rPr>
          <w:sz w:val="28"/>
          <w:szCs w:val="28"/>
        </w:rPr>
        <w:t xml:space="preserve"> тыс. рублей, непроизведенные активы (земля) – в сумме </w:t>
      </w:r>
      <w:r w:rsidR="004F6294" w:rsidRPr="004F6294">
        <w:rPr>
          <w:sz w:val="28"/>
          <w:szCs w:val="28"/>
        </w:rPr>
        <w:t>28 691 363,365</w:t>
      </w:r>
      <w:r w:rsidRPr="004F6294">
        <w:rPr>
          <w:sz w:val="28"/>
          <w:szCs w:val="28"/>
        </w:rPr>
        <w:t xml:space="preserve"> тыс. рублей. </w:t>
      </w:r>
    </w:p>
    <w:p w:rsidR="00563522" w:rsidRPr="00563522" w:rsidRDefault="00563522" w:rsidP="00563522">
      <w:pPr>
        <w:autoSpaceDE w:val="0"/>
        <w:autoSpaceDN w:val="0"/>
        <w:adjustRightInd w:val="0"/>
        <w:ind w:firstLine="709"/>
        <w:jc w:val="both"/>
        <w:rPr>
          <w:sz w:val="28"/>
          <w:szCs w:val="28"/>
        </w:rPr>
      </w:pPr>
      <w:r w:rsidRPr="004F6294">
        <w:rPr>
          <w:sz w:val="28"/>
          <w:szCs w:val="28"/>
        </w:rPr>
        <w:t xml:space="preserve">Остаточная стоимость имущества казны по данным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 0503130) по состоянию на 01.01.2020 составляла </w:t>
      </w:r>
      <w:r w:rsidR="004F6294" w:rsidRPr="004F6294">
        <w:rPr>
          <w:sz w:val="28"/>
          <w:szCs w:val="28"/>
        </w:rPr>
        <w:t>42 976 624,894</w:t>
      </w:r>
      <w:r w:rsidRPr="004F6294">
        <w:rPr>
          <w:sz w:val="28"/>
          <w:szCs w:val="28"/>
        </w:rPr>
        <w:t xml:space="preserve"> тыс. рублей, сумма начисленной амортизации – </w:t>
      </w:r>
      <w:r w:rsidR="004F6294" w:rsidRPr="004F6294">
        <w:rPr>
          <w:sz w:val="28"/>
          <w:szCs w:val="28"/>
        </w:rPr>
        <w:t>3 508 645,578</w:t>
      </w:r>
      <w:r w:rsidRPr="004F6294">
        <w:rPr>
          <w:sz w:val="28"/>
          <w:szCs w:val="28"/>
        </w:rPr>
        <w:t xml:space="preserve"> тыс. рублей</w:t>
      </w:r>
      <w:r w:rsidRPr="00563522">
        <w:rPr>
          <w:sz w:val="28"/>
          <w:szCs w:val="28"/>
        </w:rPr>
        <w:t>.</w:t>
      </w:r>
    </w:p>
    <w:p w:rsidR="00563522" w:rsidRDefault="00563522">
      <w:pPr>
        <w:autoSpaceDE w:val="0"/>
        <w:autoSpaceDN w:val="0"/>
        <w:adjustRightInd w:val="0"/>
        <w:ind w:firstLine="709"/>
        <w:jc w:val="both"/>
        <w:rPr>
          <w:sz w:val="28"/>
          <w:szCs w:val="28"/>
        </w:rPr>
      </w:pPr>
    </w:p>
    <w:p w:rsidR="00BD4B4C" w:rsidRDefault="00BD4B4C">
      <w:pPr>
        <w:autoSpaceDE w:val="0"/>
        <w:autoSpaceDN w:val="0"/>
        <w:adjustRightInd w:val="0"/>
        <w:ind w:firstLine="709"/>
        <w:jc w:val="both"/>
        <w:rPr>
          <w:sz w:val="28"/>
          <w:szCs w:val="28"/>
        </w:rPr>
      </w:pPr>
      <w:r>
        <w:rPr>
          <w:sz w:val="28"/>
          <w:szCs w:val="28"/>
        </w:rPr>
        <w:t>По состоянию на 01.01.2020 в Реестре числилось 3 муниципальных унитарных предприятия: МУП «Чебоксарское троллейбусное управление», МУП «Теплосеть», МУП «Чебоксарские городские электрические сети».</w:t>
      </w:r>
    </w:p>
    <w:p w:rsidR="00BD4B4C" w:rsidRDefault="00BD4B4C">
      <w:pPr>
        <w:autoSpaceDE w:val="0"/>
        <w:autoSpaceDN w:val="0"/>
        <w:adjustRightInd w:val="0"/>
        <w:ind w:firstLine="709"/>
        <w:jc w:val="both"/>
        <w:rPr>
          <w:sz w:val="28"/>
          <w:szCs w:val="28"/>
        </w:rPr>
      </w:pPr>
      <w:r>
        <w:rPr>
          <w:sz w:val="28"/>
          <w:szCs w:val="28"/>
        </w:rPr>
        <w:t xml:space="preserve">По данным Комитета </w:t>
      </w:r>
      <w:r w:rsidR="00BD2BC8">
        <w:rPr>
          <w:sz w:val="28"/>
          <w:szCs w:val="28"/>
        </w:rPr>
        <w:t>балансовая стоимость имущества, закрепленного на праве хозяйственного ведения за МУП «Чебоксарское троллейбусное управление» по состоянию на 01.01.2018 составляло в общей сумме 700 455,67 тыс. рублей, по состоянию на 01.01.2019 в общей сумме 698 476,481 тыс. рублей.</w:t>
      </w:r>
    </w:p>
    <w:p w:rsidR="00BD2BC8" w:rsidRDefault="00BD2BC8">
      <w:pPr>
        <w:autoSpaceDE w:val="0"/>
        <w:autoSpaceDN w:val="0"/>
        <w:adjustRightInd w:val="0"/>
        <w:ind w:firstLine="709"/>
        <w:jc w:val="both"/>
        <w:rPr>
          <w:sz w:val="28"/>
          <w:szCs w:val="28"/>
        </w:rPr>
      </w:pPr>
      <w:r>
        <w:rPr>
          <w:sz w:val="28"/>
          <w:szCs w:val="28"/>
        </w:rPr>
        <w:t>Балансовая стоимость имущества, закрепленного на праве хозяйственного ведения за МУП «Теплосеть» по состоянию на 01.01.2019 составляла в общей сумме 2 750 404,109 тыс. рублей.</w:t>
      </w:r>
    </w:p>
    <w:p w:rsidR="00BD2BC8" w:rsidRPr="00563522" w:rsidRDefault="00BD2BC8" w:rsidP="00BD2BC8">
      <w:pPr>
        <w:autoSpaceDE w:val="0"/>
        <w:autoSpaceDN w:val="0"/>
        <w:adjustRightInd w:val="0"/>
        <w:jc w:val="both"/>
        <w:rPr>
          <w:sz w:val="28"/>
          <w:szCs w:val="28"/>
        </w:rPr>
      </w:pPr>
    </w:p>
    <w:p w:rsidR="00CE1B15" w:rsidRDefault="00CE1B15">
      <w:pPr>
        <w:autoSpaceDE w:val="0"/>
        <w:autoSpaceDN w:val="0"/>
        <w:adjustRightInd w:val="0"/>
        <w:ind w:firstLine="709"/>
        <w:jc w:val="both"/>
        <w:rPr>
          <w:sz w:val="28"/>
          <w:szCs w:val="28"/>
        </w:rPr>
      </w:pPr>
      <w:r>
        <w:rPr>
          <w:sz w:val="28"/>
          <w:szCs w:val="28"/>
        </w:rPr>
        <w:t>Положением о порядке передачи в безвозмездное пользование имущества, находящегося в муниципальной собственности города Чебоксары, утвержденного решением Чебоксарского городского Собрания депутатов от 17.03.2006 № 143, определен перечень безвозмездных пользователей имущества, находящегося в муниципальной собственности.</w:t>
      </w:r>
    </w:p>
    <w:p w:rsidR="00C96628" w:rsidRDefault="00CE1B15">
      <w:pPr>
        <w:autoSpaceDE w:val="0"/>
        <w:autoSpaceDN w:val="0"/>
        <w:adjustRightInd w:val="0"/>
        <w:ind w:firstLine="709"/>
        <w:jc w:val="both"/>
        <w:rPr>
          <w:sz w:val="28"/>
          <w:szCs w:val="28"/>
        </w:rPr>
      </w:pPr>
      <w:r>
        <w:rPr>
          <w:sz w:val="28"/>
          <w:szCs w:val="28"/>
        </w:rPr>
        <w:t>По данным Комитета по состоянию на 01.01.2020 заключено 94 договора безвозмездного пользования</w:t>
      </w:r>
      <w:r w:rsidR="0062393E">
        <w:rPr>
          <w:sz w:val="28"/>
          <w:szCs w:val="28"/>
        </w:rPr>
        <w:t xml:space="preserve"> общей площадью 38 581,7 кв. м.</w:t>
      </w:r>
      <w:r>
        <w:rPr>
          <w:sz w:val="28"/>
          <w:szCs w:val="28"/>
        </w:rPr>
        <w:t xml:space="preserve">, из них: </w:t>
      </w:r>
    </w:p>
    <w:p w:rsidR="00CE1B15" w:rsidRDefault="00C96628">
      <w:pPr>
        <w:autoSpaceDE w:val="0"/>
        <w:autoSpaceDN w:val="0"/>
        <w:adjustRightInd w:val="0"/>
        <w:ind w:firstLine="709"/>
        <w:jc w:val="both"/>
        <w:rPr>
          <w:sz w:val="28"/>
          <w:szCs w:val="28"/>
        </w:rPr>
      </w:pPr>
      <w:r>
        <w:rPr>
          <w:sz w:val="28"/>
          <w:szCs w:val="28"/>
        </w:rPr>
        <w:t xml:space="preserve">- </w:t>
      </w:r>
      <w:r w:rsidR="004F6294">
        <w:rPr>
          <w:sz w:val="28"/>
          <w:szCs w:val="28"/>
        </w:rPr>
        <w:t xml:space="preserve">5 договоров </w:t>
      </w:r>
      <w:r>
        <w:rPr>
          <w:sz w:val="28"/>
          <w:szCs w:val="28"/>
        </w:rPr>
        <w:t xml:space="preserve">общей площадью 690,5 кв. м. заключены </w:t>
      </w:r>
      <w:r w:rsidR="004F6294">
        <w:rPr>
          <w:sz w:val="28"/>
          <w:szCs w:val="28"/>
        </w:rPr>
        <w:t>с региональным отделением «Союз художников Чувашии» Всеросс</w:t>
      </w:r>
      <w:r>
        <w:rPr>
          <w:sz w:val="28"/>
          <w:szCs w:val="28"/>
        </w:rPr>
        <w:t>ийской творческой общественной организации «Союз художников России»;</w:t>
      </w:r>
    </w:p>
    <w:p w:rsidR="0062393E" w:rsidRDefault="0062393E">
      <w:pPr>
        <w:autoSpaceDE w:val="0"/>
        <w:autoSpaceDN w:val="0"/>
        <w:adjustRightInd w:val="0"/>
        <w:ind w:firstLine="709"/>
        <w:jc w:val="both"/>
        <w:rPr>
          <w:sz w:val="28"/>
          <w:szCs w:val="28"/>
        </w:rPr>
      </w:pPr>
      <w:r>
        <w:rPr>
          <w:sz w:val="28"/>
          <w:szCs w:val="28"/>
        </w:rPr>
        <w:t>- договор общей площадью 1129,4 кв. м. заключен с ФГБОУВО «Московский политехнический университет»;</w:t>
      </w:r>
    </w:p>
    <w:p w:rsidR="00C96628" w:rsidRDefault="00C96628">
      <w:pPr>
        <w:autoSpaceDE w:val="0"/>
        <w:autoSpaceDN w:val="0"/>
        <w:adjustRightInd w:val="0"/>
        <w:ind w:firstLine="709"/>
        <w:jc w:val="both"/>
        <w:rPr>
          <w:sz w:val="28"/>
          <w:szCs w:val="28"/>
        </w:rPr>
      </w:pPr>
      <w:r>
        <w:rPr>
          <w:sz w:val="28"/>
          <w:szCs w:val="28"/>
        </w:rPr>
        <w:t>- 3 договора общей площадью 3 785,7 кв. м. заключены с военным комиссариатом Чувашской Республики;</w:t>
      </w:r>
    </w:p>
    <w:p w:rsidR="00CE1B15" w:rsidRDefault="00C96628">
      <w:pPr>
        <w:autoSpaceDE w:val="0"/>
        <w:autoSpaceDN w:val="0"/>
        <w:adjustRightInd w:val="0"/>
        <w:ind w:firstLine="709"/>
        <w:jc w:val="both"/>
        <w:rPr>
          <w:sz w:val="28"/>
          <w:szCs w:val="28"/>
        </w:rPr>
      </w:pPr>
      <w:r>
        <w:rPr>
          <w:sz w:val="28"/>
          <w:szCs w:val="28"/>
        </w:rPr>
        <w:lastRenderedPageBreak/>
        <w:t xml:space="preserve">- 2 договора общей площадью 395 кв. м. с МКУ «Управление по делам ГО и ЧС по городу Чебоксары; </w:t>
      </w:r>
    </w:p>
    <w:p w:rsidR="00304483" w:rsidRDefault="00C96628">
      <w:pPr>
        <w:autoSpaceDE w:val="0"/>
        <w:autoSpaceDN w:val="0"/>
        <w:adjustRightInd w:val="0"/>
        <w:ind w:firstLine="709"/>
        <w:jc w:val="both"/>
        <w:rPr>
          <w:sz w:val="28"/>
          <w:szCs w:val="28"/>
        </w:rPr>
      </w:pPr>
      <w:r>
        <w:rPr>
          <w:sz w:val="28"/>
          <w:szCs w:val="28"/>
        </w:rPr>
        <w:t xml:space="preserve">- </w:t>
      </w:r>
      <w:r w:rsidR="00407218">
        <w:rPr>
          <w:sz w:val="28"/>
          <w:szCs w:val="28"/>
        </w:rPr>
        <w:t>29</w:t>
      </w:r>
      <w:r>
        <w:rPr>
          <w:sz w:val="28"/>
          <w:szCs w:val="28"/>
        </w:rPr>
        <w:t xml:space="preserve"> договоров общей площадью </w:t>
      </w:r>
      <w:r w:rsidR="0062393E">
        <w:rPr>
          <w:sz w:val="28"/>
          <w:szCs w:val="28"/>
        </w:rPr>
        <w:t>3 397</w:t>
      </w:r>
      <w:r>
        <w:rPr>
          <w:sz w:val="28"/>
          <w:szCs w:val="28"/>
        </w:rPr>
        <w:t xml:space="preserve"> кв. м. заключено </w:t>
      </w:r>
      <w:r w:rsidR="00304483">
        <w:rPr>
          <w:sz w:val="28"/>
          <w:szCs w:val="28"/>
        </w:rPr>
        <w:t>с Управлением Министерства внутренних дел Российской Федерации по городу Чебоксары4</w:t>
      </w:r>
    </w:p>
    <w:p w:rsidR="00304483" w:rsidRDefault="00304483">
      <w:pPr>
        <w:autoSpaceDE w:val="0"/>
        <w:autoSpaceDN w:val="0"/>
        <w:adjustRightInd w:val="0"/>
        <w:ind w:firstLine="709"/>
        <w:jc w:val="both"/>
        <w:rPr>
          <w:sz w:val="28"/>
          <w:szCs w:val="28"/>
        </w:rPr>
      </w:pPr>
      <w:r>
        <w:rPr>
          <w:sz w:val="28"/>
          <w:szCs w:val="28"/>
        </w:rPr>
        <w:t>- договор общей площадью 90,2 кв. м. с БУ Чувашской Республики «Комплексный центр социального обслуживания населения города Чебоксары» Министерства труда и социальной защиты города Чебоксары;</w:t>
      </w:r>
    </w:p>
    <w:p w:rsidR="00304483" w:rsidRDefault="00304483">
      <w:pPr>
        <w:autoSpaceDE w:val="0"/>
        <w:autoSpaceDN w:val="0"/>
        <w:adjustRightInd w:val="0"/>
        <w:ind w:firstLine="709"/>
        <w:jc w:val="both"/>
        <w:rPr>
          <w:sz w:val="28"/>
          <w:szCs w:val="28"/>
        </w:rPr>
      </w:pPr>
      <w:r>
        <w:rPr>
          <w:sz w:val="28"/>
          <w:szCs w:val="28"/>
        </w:rPr>
        <w:t>- договор общей площадью 36,9 кв. м. с МКУ «Земельное управление» города Чебоксары;</w:t>
      </w:r>
    </w:p>
    <w:p w:rsidR="00304483" w:rsidRDefault="00304483">
      <w:pPr>
        <w:autoSpaceDE w:val="0"/>
        <w:autoSpaceDN w:val="0"/>
        <w:adjustRightInd w:val="0"/>
        <w:ind w:firstLine="709"/>
        <w:jc w:val="both"/>
        <w:rPr>
          <w:sz w:val="28"/>
          <w:szCs w:val="28"/>
        </w:rPr>
      </w:pPr>
      <w:r>
        <w:rPr>
          <w:sz w:val="28"/>
          <w:szCs w:val="28"/>
        </w:rPr>
        <w:t>- договор общей площадью 39,7 кв. м. с ТОС «Афанасьевский»;</w:t>
      </w:r>
    </w:p>
    <w:p w:rsidR="00304483" w:rsidRDefault="00304483">
      <w:pPr>
        <w:autoSpaceDE w:val="0"/>
        <w:autoSpaceDN w:val="0"/>
        <w:adjustRightInd w:val="0"/>
        <w:ind w:firstLine="709"/>
        <w:jc w:val="both"/>
        <w:rPr>
          <w:sz w:val="28"/>
          <w:szCs w:val="28"/>
        </w:rPr>
      </w:pPr>
      <w:r>
        <w:rPr>
          <w:sz w:val="28"/>
          <w:szCs w:val="28"/>
        </w:rPr>
        <w:t xml:space="preserve">- </w:t>
      </w:r>
      <w:r w:rsidR="0075599E">
        <w:rPr>
          <w:sz w:val="28"/>
          <w:szCs w:val="28"/>
        </w:rPr>
        <w:t xml:space="preserve">2 </w:t>
      </w:r>
      <w:r>
        <w:rPr>
          <w:sz w:val="28"/>
          <w:szCs w:val="28"/>
        </w:rPr>
        <w:t>догово</w:t>
      </w:r>
      <w:r w:rsidR="0075599E">
        <w:rPr>
          <w:sz w:val="28"/>
          <w:szCs w:val="28"/>
        </w:rPr>
        <w:t>ра</w:t>
      </w:r>
      <w:r>
        <w:rPr>
          <w:sz w:val="28"/>
          <w:szCs w:val="28"/>
        </w:rPr>
        <w:t xml:space="preserve"> общей площадью </w:t>
      </w:r>
      <w:r w:rsidR="0075599E">
        <w:rPr>
          <w:sz w:val="28"/>
          <w:szCs w:val="28"/>
        </w:rPr>
        <w:t>876,1</w:t>
      </w:r>
      <w:r>
        <w:rPr>
          <w:sz w:val="28"/>
          <w:szCs w:val="28"/>
        </w:rPr>
        <w:t xml:space="preserve"> кв. м. со Следственным управлением Следственного комитета Российской Федерации по Чувашской Республике</w:t>
      </w:r>
      <w:r w:rsidR="0075599E">
        <w:rPr>
          <w:sz w:val="28"/>
          <w:szCs w:val="28"/>
        </w:rPr>
        <w:t>;</w:t>
      </w:r>
    </w:p>
    <w:p w:rsidR="0075599E" w:rsidRDefault="0075599E">
      <w:pPr>
        <w:autoSpaceDE w:val="0"/>
        <w:autoSpaceDN w:val="0"/>
        <w:adjustRightInd w:val="0"/>
        <w:ind w:firstLine="709"/>
        <w:jc w:val="both"/>
        <w:rPr>
          <w:sz w:val="28"/>
          <w:szCs w:val="28"/>
        </w:rPr>
      </w:pPr>
      <w:r>
        <w:rPr>
          <w:sz w:val="28"/>
          <w:szCs w:val="28"/>
        </w:rPr>
        <w:t>- договор общей площадью 235,9 кв. м. заключен с ФБГУ «Управление по эксплуатации зданий высших органов власти» Управления делами Президента Российской Федерации;</w:t>
      </w:r>
    </w:p>
    <w:p w:rsidR="0075599E" w:rsidRDefault="0075599E">
      <w:pPr>
        <w:autoSpaceDE w:val="0"/>
        <w:autoSpaceDN w:val="0"/>
        <w:adjustRightInd w:val="0"/>
        <w:ind w:firstLine="709"/>
        <w:jc w:val="both"/>
        <w:rPr>
          <w:sz w:val="28"/>
          <w:szCs w:val="28"/>
        </w:rPr>
      </w:pPr>
      <w:r>
        <w:rPr>
          <w:sz w:val="28"/>
          <w:szCs w:val="28"/>
        </w:rPr>
        <w:t xml:space="preserve">- 8 договоров общей площадью 197,0 кв. м. заключено с </w:t>
      </w:r>
      <w:r w:rsidR="00EB72F6">
        <w:rPr>
          <w:sz w:val="28"/>
          <w:szCs w:val="28"/>
        </w:rPr>
        <w:t>БУ Чувашской Республики «Центральная городская больница»;</w:t>
      </w:r>
    </w:p>
    <w:p w:rsidR="0075599E" w:rsidRDefault="0075599E">
      <w:pPr>
        <w:autoSpaceDE w:val="0"/>
        <w:autoSpaceDN w:val="0"/>
        <w:adjustRightInd w:val="0"/>
        <w:ind w:firstLine="709"/>
        <w:jc w:val="both"/>
        <w:rPr>
          <w:sz w:val="28"/>
          <w:szCs w:val="28"/>
        </w:rPr>
      </w:pPr>
      <w:r>
        <w:rPr>
          <w:sz w:val="28"/>
          <w:szCs w:val="28"/>
        </w:rPr>
        <w:t xml:space="preserve">- </w:t>
      </w:r>
      <w:r w:rsidR="0062393E">
        <w:rPr>
          <w:sz w:val="28"/>
          <w:szCs w:val="28"/>
        </w:rPr>
        <w:t>8</w:t>
      </w:r>
      <w:r>
        <w:rPr>
          <w:sz w:val="28"/>
          <w:szCs w:val="28"/>
        </w:rPr>
        <w:t xml:space="preserve"> договоров общей площадью 2</w:t>
      </w:r>
      <w:r w:rsidR="0062393E">
        <w:rPr>
          <w:sz w:val="28"/>
          <w:szCs w:val="28"/>
        </w:rPr>
        <w:t> 373,8</w:t>
      </w:r>
      <w:r>
        <w:rPr>
          <w:sz w:val="28"/>
          <w:szCs w:val="28"/>
        </w:rPr>
        <w:t xml:space="preserve"> кв. м. заключено с Министерством юстиции Чувашской Республики;</w:t>
      </w:r>
    </w:p>
    <w:p w:rsidR="0075599E" w:rsidRDefault="00EB72F6">
      <w:pPr>
        <w:autoSpaceDE w:val="0"/>
        <w:autoSpaceDN w:val="0"/>
        <w:adjustRightInd w:val="0"/>
        <w:ind w:firstLine="709"/>
        <w:jc w:val="both"/>
        <w:rPr>
          <w:sz w:val="28"/>
          <w:szCs w:val="28"/>
        </w:rPr>
      </w:pPr>
      <w:r>
        <w:rPr>
          <w:sz w:val="28"/>
          <w:szCs w:val="28"/>
        </w:rPr>
        <w:t>- 4 договора общей площадью 382 кв. м. с общественными организа</w:t>
      </w:r>
      <w:r w:rsidR="00407218">
        <w:rPr>
          <w:sz w:val="28"/>
          <w:szCs w:val="28"/>
        </w:rPr>
        <w:t>циями и объединениями инвалидов;</w:t>
      </w:r>
    </w:p>
    <w:p w:rsidR="00407218" w:rsidRDefault="00407218">
      <w:pPr>
        <w:autoSpaceDE w:val="0"/>
        <w:autoSpaceDN w:val="0"/>
        <w:adjustRightInd w:val="0"/>
        <w:ind w:firstLine="709"/>
        <w:jc w:val="both"/>
        <w:rPr>
          <w:sz w:val="28"/>
          <w:szCs w:val="28"/>
        </w:rPr>
      </w:pPr>
      <w:r>
        <w:rPr>
          <w:sz w:val="28"/>
          <w:szCs w:val="28"/>
        </w:rPr>
        <w:t>- 32 договора иные общей площадью 24 952,5 кв. м. заключено с иными муниципальными учреждениями.</w:t>
      </w:r>
    </w:p>
    <w:p w:rsidR="00BD4B4C" w:rsidRDefault="00BD4B4C">
      <w:pPr>
        <w:autoSpaceDE w:val="0"/>
        <w:autoSpaceDN w:val="0"/>
        <w:adjustRightInd w:val="0"/>
        <w:ind w:firstLine="709"/>
        <w:jc w:val="both"/>
        <w:rPr>
          <w:sz w:val="28"/>
          <w:szCs w:val="28"/>
        </w:rPr>
      </w:pPr>
    </w:p>
    <w:p w:rsidR="00D420C2" w:rsidRPr="0079132F" w:rsidRDefault="00D420C2">
      <w:pPr>
        <w:autoSpaceDE w:val="0"/>
        <w:autoSpaceDN w:val="0"/>
        <w:adjustRightInd w:val="0"/>
        <w:ind w:firstLine="709"/>
        <w:jc w:val="both"/>
        <w:rPr>
          <w:sz w:val="28"/>
          <w:szCs w:val="28"/>
        </w:rPr>
      </w:pPr>
      <w:r w:rsidRPr="0079132F">
        <w:rPr>
          <w:sz w:val="28"/>
          <w:szCs w:val="28"/>
        </w:rPr>
        <w:t>Согласно статье 217 Гражданского кодекса Российской Федерации имущество, находящееся в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w:t>
      </w:r>
    </w:p>
    <w:p w:rsidR="00D420C2" w:rsidRPr="0079132F" w:rsidRDefault="00D420C2">
      <w:pPr>
        <w:autoSpaceDE w:val="0"/>
        <w:autoSpaceDN w:val="0"/>
        <w:adjustRightInd w:val="0"/>
        <w:ind w:firstLine="709"/>
        <w:jc w:val="both"/>
        <w:rPr>
          <w:sz w:val="28"/>
          <w:szCs w:val="28"/>
        </w:rPr>
      </w:pPr>
      <w:r w:rsidRPr="0079132F">
        <w:rPr>
          <w:sz w:val="28"/>
          <w:szCs w:val="28"/>
        </w:rPr>
        <w:t xml:space="preserve">Законом, регламентирующим вопросы приватизации муниципального имущества, является Федеральный закон РФ от 21.12.2001 № 178-ФЗ «О приватизации государственного и муниципального имущества» (далее - Закон о приватизации имущества № 178-ФЗ). </w:t>
      </w:r>
    </w:p>
    <w:p w:rsidR="007743D6" w:rsidRPr="0079132F" w:rsidRDefault="007743D6">
      <w:pPr>
        <w:autoSpaceDE w:val="0"/>
        <w:autoSpaceDN w:val="0"/>
        <w:adjustRightInd w:val="0"/>
        <w:ind w:firstLine="709"/>
        <w:jc w:val="both"/>
        <w:rPr>
          <w:sz w:val="28"/>
          <w:szCs w:val="28"/>
        </w:rPr>
      </w:pPr>
      <w:r w:rsidRPr="0079132F">
        <w:rPr>
          <w:sz w:val="28"/>
          <w:szCs w:val="28"/>
        </w:rPr>
        <w:t>Статьей 10 Закона о приватизации имущества № 178-ФЗ предусмотрено, что порядок планирования приватизации муниципального имущества определяется органами местного самоуправления.</w:t>
      </w:r>
    </w:p>
    <w:p w:rsidR="00BB6C9A" w:rsidRPr="0079132F" w:rsidRDefault="00BB6C9A" w:rsidP="00BB6C9A">
      <w:pPr>
        <w:autoSpaceDE w:val="0"/>
        <w:autoSpaceDN w:val="0"/>
        <w:adjustRightInd w:val="0"/>
        <w:ind w:firstLine="709"/>
        <w:jc w:val="both"/>
        <w:rPr>
          <w:sz w:val="28"/>
          <w:szCs w:val="28"/>
        </w:rPr>
      </w:pPr>
      <w:r w:rsidRPr="0079132F">
        <w:rPr>
          <w:sz w:val="28"/>
          <w:szCs w:val="28"/>
        </w:rPr>
        <w:t>Пунктом 2 статьи 3 Закона о приватизации имущества № 178-ФЗ предусмотрено, что отдельным федеральным законом могут быть установлены особенности участия субъектов малого и среднего предпринимательства в приватизации арендуемого муниципального недвижимого имущества.</w:t>
      </w:r>
    </w:p>
    <w:p w:rsidR="00BB6C9A" w:rsidRPr="0079132F" w:rsidRDefault="00BB6C9A" w:rsidP="00BB6C9A">
      <w:pPr>
        <w:autoSpaceDE w:val="0"/>
        <w:autoSpaceDN w:val="0"/>
        <w:adjustRightInd w:val="0"/>
        <w:ind w:firstLine="709"/>
        <w:jc w:val="both"/>
        <w:rPr>
          <w:sz w:val="28"/>
          <w:szCs w:val="28"/>
        </w:rPr>
      </w:pPr>
      <w:r w:rsidRPr="0079132F">
        <w:rPr>
          <w:sz w:val="28"/>
          <w:szCs w:val="28"/>
        </w:rPr>
        <w:t>Таким законом является Федеральный закон РФ от 22.07.2008 № 159-ФЗ «Об особенностях отчуждения недвижимого имущества, находящегося в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(далее - Закон № 159-ФЗ). В нем регламентированы условия предоставления преимущественного права на приобретение арендуемого имущества и порядок его реализации, порядок оплаты приватизированного муниципального имущества, последствия несоблюдения требований закона и переходные положения.</w:t>
      </w:r>
    </w:p>
    <w:p w:rsidR="007743D6" w:rsidRPr="0079132F" w:rsidRDefault="007743D6">
      <w:pPr>
        <w:autoSpaceDE w:val="0"/>
        <w:autoSpaceDN w:val="0"/>
        <w:adjustRightInd w:val="0"/>
        <w:ind w:firstLine="709"/>
        <w:jc w:val="both"/>
        <w:rPr>
          <w:sz w:val="28"/>
          <w:szCs w:val="28"/>
        </w:rPr>
      </w:pPr>
      <w:r w:rsidRPr="0079132F">
        <w:rPr>
          <w:sz w:val="28"/>
          <w:szCs w:val="28"/>
        </w:rPr>
        <w:t>В соответствии с Порядком принятия решений об условиях приватизации муниципального имущества города Чебоксары, утвержденным решением Чебоксарского городского Собрания депутатов от 17.12.2002 № 837, муниципальное имущество города Чебоксары подлежит приватизации после его включения в прогнозный план приватизации.</w:t>
      </w:r>
    </w:p>
    <w:p w:rsidR="007743D6" w:rsidRPr="0079132F" w:rsidRDefault="005B4520">
      <w:pPr>
        <w:autoSpaceDE w:val="0"/>
        <w:autoSpaceDN w:val="0"/>
        <w:adjustRightInd w:val="0"/>
        <w:ind w:firstLine="709"/>
        <w:jc w:val="both"/>
        <w:rPr>
          <w:sz w:val="28"/>
          <w:szCs w:val="28"/>
        </w:rPr>
      </w:pPr>
      <w:r w:rsidRPr="0079132F">
        <w:rPr>
          <w:sz w:val="28"/>
          <w:szCs w:val="28"/>
        </w:rPr>
        <w:t>Прогнозным планом (программой) приватизации муниципального имущества города Чебоксары на 2018, утвержденным решением Чебоксарского городского Собрания депутатов от 28.11.201</w:t>
      </w:r>
      <w:r w:rsidR="00025FAA" w:rsidRPr="0079132F">
        <w:rPr>
          <w:sz w:val="28"/>
          <w:szCs w:val="28"/>
        </w:rPr>
        <w:t>7</w:t>
      </w:r>
      <w:r w:rsidRPr="0079132F">
        <w:rPr>
          <w:sz w:val="28"/>
          <w:szCs w:val="28"/>
        </w:rPr>
        <w:t xml:space="preserve"> № 1009</w:t>
      </w:r>
      <w:r w:rsidR="00692BE7" w:rsidRPr="0079132F">
        <w:rPr>
          <w:sz w:val="28"/>
          <w:szCs w:val="28"/>
        </w:rPr>
        <w:t xml:space="preserve"> (с учетом изменений), предусмотрена приватизация </w:t>
      </w:r>
      <w:r w:rsidR="00404FB9" w:rsidRPr="0079132F">
        <w:rPr>
          <w:sz w:val="28"/>
          <w:szCs w:val="28"/>
        </w:rPr>
        <w:t>154 объектов муниципального имущества, и ожидаемое поступление в бюджет города Чебоксары доходов от приватизации муниципального имущества оценено в размере 105 000,0 тыс. рублей.</w:t>
      </w:r>
    </w:p>
    <w:p w:rsidR="00404FB9" w:rsidRPr="0079132F" w:rsidRDefault="00404FB9">
      <w:pPr>
        <w:autoSpaceDE w:val="0"/>
        <w:autoSpaceDN w:val="0"/>
        <w:adjustRightInd w:val="0"/>
        <w:ind w:firstLine="709"/>
        <w:jc w:val="both"/>
        <w:rPr>
          <w:sz w:val="28"/>
          <w:szCs w:val="28"/>
        </w:rPr>
      </w:pPr>
      <w:r w:rsidRPr="0079132F">
        <w:rPr>
          <w:sz w:val="28"/>
          <w:szCs w:val="28"/>
        </w:rPr>
        <w:t>Бюджетом города Чебоксары на 2018 год и на плановый период 2019 и 2020 годов, утвержденным решением Чебоксарского городского Собрания депутатов от 21.12.2017 № 1025, предусмотрено поступление доходов от реализации имущества, находящегося в собственности городских округов, в объеме 274 620,0 тыс. рублей.</w:t>
      </w:r>
    </w:p>
    <w:p w:rsidR="009E34FD" w:rsidRPr="0079132F" w:rsidRDefault="009E34FD">
      <w:pPr>
        <w:autoSpaceDE w:val="0"/>
        <w:autoSpaceDN w:val="0"/>
        <w:adjustRightInd w:val="0"/>
        <w:ind w:firstLine="709"/>
        <w:jc w:val="both"/>
        <w:rPr>
          <w:sz w:val="28"/>
          <w:szCs w:val="28"/>
        </w:rPr>
      </w:pPr>
      <w:r w:rsidRPr="0079132F">
        <w:rPr>
          <w:sz w:val="28"/>
          <w:szCs w:val="28"/>
        </w:rPr>
        <w:t xml:space="preserve">В соответствии с отчетом о выполнении Прогнозного плана (программы) приватизации муниципального имущества города Чебоксары на 2018 год, утвержденным решением Чебоксарского городского Собрания депутатов от 14.03.2019 № 1564, в 2018 году было приватизировано </w:t>
      </w:r>
      <w:r w:rsidR="004145A7" w:rsidRPr="0079132F">
        <w:rPr>
          <w:sz w:val="28"/>
          <w:szCs w:val="28"/>
        </w:rPr>
        <w:t>55 объектов недвижимости</w:t>
      </w:r>
      <w:r w:rsidRPr="0079132F">
        <w:rPr>
          <w:sz w:val="28"/>
          <w:szCs w:val="28"/>
        </w:rPr>
        <w:t>, из них: 4</w:t>
      </w:r>
      <w:r w:rsidR="004145A7" w:rsidRPr="0079132F">
        <w:rPr>
          <w:sz w:val="28"/>
          <w:szCs w:val="28"/>
        </w:rPr>
        <w:t xml:space="preserve"> </w:t>
      </w:r>
      <w:r w:rsidRPr="0079132F">
        <w:rPr>
          <w:sz w:val="28"/>
          <w:szCs w:val="28"/>
        </w:rPr>
        <w:t xml:space="preserve">объекта путем продажи на открытом аукционе в электронной форме, </w:t>
      </w:r>
      <w:r w:rsidR="004145A7" w:rsidRPr="0079132F">
        <w:rPr>
          <w:sz w:val="28"/>
          <w:szCs w:val="28"/>
        </w:rPr>
        <w:t>14 объектов путем продажи посредством публичного предложения в электронной форме, 3</w:t>
      </w:r>
      <w:r w:rsidR="00407218">
        <w:rPr>
          <w:sz w:val="28"/>
          <w:szCs w:val="28"/>
        </w:rPr>
        <w:t>7</w:t>
      </w:r>
      <w:r w:rsidR="004145A7" w:rsidRPr="0079132F">
        <w:rPr>
          <w:sz w:val="28"/>
          <w:szCs w:val="28"/>
        </w:rPr>
        <w:t xml:space="preserve"> объектов недвижимости приватизированы в соответствии с Законом № 159-ФЗ, 1 объект недвижимости приватизирован путем внесения в качестве вклада в уставный капитал АО «Водоканал».</w:t>
      </w:r>
    </w:p>
    <w:p w:rsidR="004145A7" w:rsidRPr="0079132F" w:rsidRDefault="004145A7" w:rsidP="004145A7">
      <w:pPr>
        <w:autoSpaceDE w:val="0"/>
        <w:autoSpaceDN w:val="0"/>
        <w:adjustRightInd w:val="0"/>
        <w:ind w:firstLine="709"/>
        <w:jc w:val="both"/>
        <w:rPr>
          <w:sz w:val="28"/>
          <w:szCs w:val="28"/>
        </w:rPr>
      </w:pPr>
      <w:r w:rsidRPr="0079132F">
        <w:rPr>
          <w:sz w:val="28"/>
          <w:szCs w:val="28"/>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 0503127) Учреждения по состоянию на 01.01.2019 объем доходов от реализации имущества, находящегося в собственности городских округов за 2018 год составили в сумме 274 626,058 тыс. рублей.</w:t>
      </w:r>
    </w:p>
    <w:p w:rsidR="00025FAA" w:rsidRPr="0079132F" w:rsidRDefault="00025FAA" w:rsidP="00025FAA">
      <w:pPr>
        <w:autoSpaceDE w:val="0"/>
        <w:autoSpaceDN w:val="0"/>
        <w:adjustRightInd w:val="0"/>
        <w:ind w:firstLine="709"/>
        <w:jc w:val="both"/>
        <w:rPr>
          <w:sz w:val="28"/>
          <w:szCs w:val="28"/>
        </w:rPr>
      </w:pPr>
      <w:r w:rsidRPr="0079132F">
        <w:rPr>
          <w:sz w:val="28"/>
          <w:szCs w:val="28"/>
        </w:rPr>
        <w:t>Прогнозным планом (программой) приватизации муниципального имущества города Чебоксары на 2019, утвержденным решением Чебоксарского городского Собрания депутатов от 30.10.2018 № 1429 (с учетом изменений), предусмотрена приватизация 195 объектов муниципального имущества, и ожидаемое поступление в бюджет города Чебоксары доходов от приватизации муниципального имущества оценено в размере 200 000,0 тыс. рублей.</w:t>
      </w:r>
    </w:p>
    <w:p w:rsidR="004145A7" w:rsidRPr="0079132F" w:rsidRDefault="004145A7" w:rsidP="004145A7">
      <w:pPr>
        <w:autoSpaceDE w:val="0"/>
        <w:autoSpaceDN w:val="0"/>
        <w:adjustRightInd w:val="0"/>
        <w:ind w:firstLine="709"/>
        <w:jc w:val="both"/>
        <w:rPr>
          <w:sz w:val="28"/>
          <w:szCs w:val="28"/>
        </w:rPr>
      </w:pPr>
      <w:r w:rsidRPr="0079132F">
        <w:rPr>
          <w:sz w:val="28"/>
          <w:szCs w:val="28"/>
        </w:rPr>
        <w:t xml:space="preserve">В соответствии с данными бухгалтерских документов Комитета в 2019 году было приватизировано </w:t>
      </w:r>
      <w:r w:rsidR="00FD3D9F" w:rsidRPr="0079132F">
        <w:rPr>
          <w:sz w:val="28"/>
          <w:szCs w:val="28"/>
        </w:rPr>
        <w:t>13</w:t>
      </w:r>
      <w:r w:rsidR="00407218">
        <w:rPr>
          <w:sz w:val="28"/>
          <w:szCs w:val="28"/>
        </w:rPr>
        <w:t>9</w:t>
      </w:r>
      <w:r w:rsidRPr="0079132F">
        <w:rPr>
          <w:sz w:val="28"/>
          <w:szCs w:val="28"/>
        </w:rPr>
        <w:t xml:space="preserve"> объектов недвижимости, из них: 3</w:t>
      </w:r>
      <w:r w:rsidR="00407218">
        <w:rPr>
          <w:sz w:val="28"/>
          <w:szCs w:val="28"/>
        </w:rPr>
        <w:t>2</w:t>
      </w:r>
      <w:r w:rsidRPr="0079132F">
        <w:rPr>
          <w:sz w:val="28"/>
          <w:szCs w:val="28"/>
        </w:rPr>
        <w:t xml:space="preserve"> объект путем продажи на открытом аукционе в электронной форме, </w:t>
      </w:r>
      <w:r w:rsidR="00FD3D9F" w:rsidRPr="0079132F">
        <w:rPr>
          <w:sz w:val="28"/>
          <w:szCs w:val="28"/>
        </w:rPr>
        <w:t>32</w:t>
      </w:r>
      <w:r w:rsidRPr="0079132F">
        <w:rPr>
          <w:sz w:val="28"/>
          <w:szCs w:val="28"/>
        </w:rPr>
        <w:t xml:space="preserve"> объект</w:t>
      </w:r>
      <w:r w:rsidR="00FD3D9F" w:rsidRPr="0079132F">
        <w:rPr>
          <w:sz w:val="28"/>
          <w:szCs w:val="28"/>
        </w:rPr>
        <w:t>а</w:t>
      </w:r>
      <w:r w:rsidRPr="0079132F">
        <w:rPr>
          <w:sz w:val="28"/>
          <w:szCs w:val="28"/>
        </w:rPr>
        <w:t xml:space="preserve"> путем продажи посредством публичного предложения в электронной форме, </w:t>
      </w:r>
      <w:r w:rsidR="00FD3D9F" w:rsidRPr="0079132F">
        <w:rPr>
          <w:sz w:val="28"/>
          <w:szCs w:val="28"/>
        </w:rPr>
        <w:t xml:space="preserve">75 </w:t>
      </w:r>
      <w:r w:rsidRPr="0079132F">
        <w:rPr>
          <w:sz w:val="28"/>
          <w:szCs w:val="28"/>
        </w:rPr>
        <w:t>объектов недвижимости приватизированы в соответствии с Законом № 159-ФЗ</w:t>
      </w:r>
      <w:r w:rsidR="00FD3D9F" w:rsidRPr="0079132F">
        <w:rPr>
          <w:sz w:val="28"/>
          <w:szCs w:val="28"/>
        </w:rPr>
        <w:t>.</w:t>
      </w:r>
    </w:p>
    <w:p w:rsidR="00BB6C9A" w:rsidRPr="0079132F" w:rsidRDefault="00025FAA">
      <w:pPr>
        <w:autoSpaceDE w:val="0"/>
        <w:autoSpaceDN w:val="0"/>
        <w:adjustRightInd w:val="0"/>
        <w:ind w:firstLine="709"/>
        <w:jc w:val="both"/>
        <w:rPr>
          <w:sz w:val="28"/>
          <w:szCs w:val="28"/>
        </w:rPr>
      </w:pPr>
      <w:r w:rsidRPr="0079132F">
        <w:rPr>
          <w:sz w:val="28"/>
          <w:szCs w:val="28"/>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 0503127) Учреждения по состоянию на 01.01.2020 объем доходов от реализации имущества, находящегося в собственности городских округов за 2019 год составил в сумме 201 127,675 тыс. рублей.</w:t>
      </w:r>
    </w:p>
    <w:p w:rsidR="00BB6C9A" w:rsidRPr="0079132F" w:rsidRDefault="001240E6">
      <w:pPr>
        <w:autoSpaceDE w:val="0"/>
        <w:autoSpaceDN w:val="0"/>
        <w:adjustRightInd w:val="0"/>
        <w:ind w:firstLine="709"/>
        <w:jc w:val="both"/>
        <w:rPr>
          <w:sz w:val="28"/>
          <w:szCs w:val="28"/>
        </w:rPr>
      </w:pPr>
      <w:r w:rsidRPr="0079132F">
        <w:rPr>
          <w:sz w:val="28"/>
          <w:szCs w:val="28"/>
        </w:rPr>
        <w:t>В соответствии с нормами Закона № 159-ФЗ на основании заявлений субъектов малого и среднего предпринимательства, имеющих преимущественное право на приобретение арендуемого муниципального имущества, в 2018 году было заключено 37 договоров купли-продажи объектов недвижимости, обремененных залоговым обязательством на общую сумму 115 454,43 тыс. рублей, в 2019 году было заключено 75 договоров купли продажи на общую сумму 132 893,267 тыс. рублей.</w:t>
      </w:r>
    </w:p>
    <w:p w:rsidR="000B7F81" w:rsidRPr="0079132F" w:rsidRDefault="000B7F81">
      <w:pPr>
        <w:autoSpaceDE w:val="0"/>
        <w:autoSpaceDN w:val="0"/>
        <w:adjustRightInd w:val="0"/>
        <w:ind w:firstLine="709"/>
        <w:jc w:val="both"/>
        <w:rPr>
          <w:sz w:val="28"/>
          <w:szCs w:val="28"/>
        </w:rPr>
      </w:pPr>
      <w:r w:rsidRPr="0079132F">
        <w:rPr>
          <w:sz w:val="28"/>
          <w:szCs w:val="28"/>
        </w:rPr>
        <w:t>Цена договора купли-продажи муниципального имущества, обремененного залоговым обязательством, определяется на основании оценки рыночной стоимости.</w:t>
      </w:r>
    </w:p>
    <w:p w:rsidR="000B7F81" w:rsidRPr="0079132F" w:rsidRDefault="000B7F81" w:rsidP="000B7F81">
      <w:pPr>
        <w:autoSpaceDE w:val="0"/>
        <w:autoSpaceDN w:val="0"/>
        <w:adjustRightInd w:val="0"/>
        <w:ind w:firstLine="709"/>
        <w:jc w:val="both"/>
        <w:rPr>
          <w:sz w:val="28"/>
          <w:szCs w:val="28"/>
        </w:rPr>
      </w:pPr>
      <w:r w:rsidRPr="0079132F">
        <w:rPr>
          <w:sz w:val="28"/>
          <w:szCs w:val="28"/>
        </w:rPr>
        <w:t>Законом Чувашской Республики от 23.09.2008 №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 срок рассрочки оплаты приобретаемого имущества при реализации преимущественного права на его приобретение установлен 5 лет.</w:t>
      </w:r>
    </w:p>
    <w:p w:rsidR="00E14BDE" w:rsidRPr="0079132F" w:rsidRDefault="00E14BDE" w:rsidP="00D410A1">
      <w:pPr>
        <w:autoSpaceDE w:val="0"/>
        <w:autoSpaceDN w:val="0"/>
        <w:adjustRightInd w:val="0"/>
        <w:ind w:firstLine="709"/>
        <w:jc w:val="both"/>
        <w:rPr>
          <w:sz w:val="28"/>
          <w:szCs w:val="28"/>
        </w:rPr>
      </w:pPr>
      <w:r w:rsidRPr="0079132F">
        <w:rPr>
          <w:sz w:val="28"/>
          <w:szCs w:val="28"/>
        </w:rPr>
        <w:t>По условиям заключаемых Комитетом договоров купли-продажи муниципального имущества, обремененного залоговым обязательством, оплата стоимости нежилого помещения производится в рассрочку в течении 60 (шестьдесят) месяцев со дня подписания договора. Покупатель вправе досрочно оплатить стоимость нежилого помещения с уплатой процентов за пользование рассрочкой.</w:t>
      </w:r>
    </w:p>
    <w:p w:rsidR="00E14BDE" w:rsidRPr="0079132F" w:rsidRDefault="00E14BDE" w:rsidP="00D410A1">
      <w:pPr>
        <w:autoSpaceDE w:val="0"/>
        <w:autoSpaceDN w:val="0"/>
        <w:adjustRightInd w:val="0"/>
        <w:ind w:firstLine="709"/>
        <w:jc w:val="both"/>
        <w:rPr>
          <w:sz w:val="28"/>
          <w:szCs w:val="28"/>
        </w:rPr>
      </w:pPr>
      <w:r w:rsidRPr="0079132F">
        <w:rPr>
          <w:sz w:val="28"/>
          <w:szCs w:val="28"/>
        </w:rPr>
        <w:t xml:space="preserve">Размер рассрочки по условиям договора купли </w:t>
      </w:r>
      <w:r w:rsidR="00F74833" w:rsidRPr="0079132F">
        <w:rPr>
          <w:sz w:val="28"/>
          <w:szCs w:val="28"/>
        </w:rPr>
        <w:t xml:space="preserve">- </w:t>
      </w:r>
      <w:r w:rsidRPr="0079132F">
        <w:rPr>
          <w:sz w:val="28"/>
          <w:szCs w:val="28"/>
        </w:rPr>
        <w:t xml:space="preserve">продажи муниципального </w:t>
      </w:r>
      <w:r w:rsidR="00F74833" w:rsidRPr="0079132F">
        <w:rPr>
          <w:sz w:val="28"/>
          <w:szCs w:val="28"/>
        </w:rPr>
        <w:t>имущества, обремененного залоговым обязательством, составляет одну треть ставки рефинансирования Центрального банка Российской Федерации, действующей на момент дату заключения договора купли – продажи на сумму денежных средств, по уплате которой предоставляется рассрочка. За нарушение сроков оплаты сумм, предусмотренных договором купли продажи</w:t>
      </w:r>
      <w:r w:rsidR="00A62211" w:rsidRPr="0079132F">
        <w:rPr>
          <w:sz w:val="28"/>
          <w:szCs w:val="28"/>
        </w:rPr>
        <w:t>, покупатель оплачивает пени из расчета 0,1 процента от неоплаченной в срок суммы за каждый день просрочки.</w:t>
      </w:r>
    </w:p>
    <w:p w:rsidR="00D410A1" w:rsidRPr="0079132F" w:rsidRDefault="00D410A1" w:rsidP="00D410A1">
      <w:pPr>
        <w:autoSpaceDE w:val="0"/>
        <w:autoSpaceDN w:val="0"/>
        <w:adjustRightInd w:val="0"/>
        <w:ind w:firstLine="709"/>
        <w:jc w:val="both"/>
        <w:rPr>
          <w:sz w:val="28"/>
          <w:szCs w:val="28"/>
        </w:rPr>
      </w:pPr>
      <w:r w:rsidRPr="0079132F">
        <w:rPr>
          <w:sz w:val="28"/>
          <w:szCs w:val="28"/>
        </w:rPr>
        <w:t>По данным комитета по состоянию на 01.01.2019 числилось 113 действующих договоров купли-продажи муниципального имущества, обремененного залоговым обязательством, общей площадью 16 221,1 кв. м. на общую сумму 468 132,9 тыс. рублей. Остаток задолженности по действующим договорам купли-продажи муниципального имущества, обремененного залогом по состоянию на 01.01.20</w:t>
      </w:r>
      <w:r w:rsidR="00E14BDE" w:rsidRPr="0079132F">
        <w:rPr>
          <w:sz w:val="28"/>
          <w:szCs w:val="28"/>
        </w:rPr>
        <w:t>19</w:t>
      </w:r>
      <w:r w:rsidRPr="0079132F">
        <w:rPr>
          <w:sz w:val="28"/>
          <w:szCs w:val="28"/>
        </w:rPr>
        <w:t xml:space="preserve"> состав</w:t>
      </w:r>
      <w:r w:rsidR="00E14BDE" w:rsidRPr="0079132F">
        <w:rPr>
          <w:sz w:val="28"/>
          <w:szCs w:val="28"/>
        </w:rPr>
        <w:t>лял</w:t>
      </w:r>
      <w:r w:rsidRPr="0079132F">
        <w:rPr>
          <w:sz w:val="28"/>
          <w:szCs w:val="28"/>
        </w:rPr>
        <w:t xml:space="preserve"> </w:t>
      </w:r>
      <w:r w:rsidR="00E14BDE" w:rsidRPr="0079132F">
        <w:rPr>
          <w:sz w:val="28"/>
          <w:szCs w:val="28"/>
        </w:rPr>
        <w:t xml:space="preserve">207 520,1 </w:t>
      </w:r>
      <w:r w:rsidRPr="0079132F">
        <w:rPr>
          <w:sz w:val="28"/>
          <w:szCs w:val="28"/>
        </w:rPr>
        <w:t>тыс. рублей.</w:t>
      </w:r>
    </w:p>
    <w:p w:rsidR="00D410A1" w:rsidRPr="0079132F" w:rsidRDefault="00D410A1">
      <w:pPr>
        <w:autoSpaceDE w:val="0"/>
        <w:autoSpaceDN w:val="0"/>
        <w:adjustRightInd w:val="0"/>
        <w:ind w:firstLine="709"/>
        <w:jc w:val="both"/>
        <w:rPr>
          <w:sz w:val="28"/>
          <w:szCs w:val="28"/>
        </w:rPr>
      </w:pPr>
      <w:r w:rsidRPr="0079132F">
        <w:rPr>
          <w:sz w:val="28"/>
          <w:szCs w:val="28"/>
        </w:rPr>
        <w:t>По данным комитета по состоянию на 01.01.2020 числилось 144 действующих договоров купли-продажи муниципального имущества, обремененного залоговым обязательством, общей площадью 16 221,1 кв. м. на общую сумму 357 496,796 тыс. рублей с размером месячной суммы погашения основного долга 6 189,369 тыс. рублей. Остаток задолженности по действующим договорам купли-продажи муниципального имущества, обремененного залогом по состоянию на 01.01.2020 составил 229 551,835,8 тыс. рублей.</w:t>
      </w:r>
    </w:p>
    <w:p w:rsidR="00D410A1" w:rsidRPr="00E56D8E" w:rsidRDefault="00E14BDE">
      <w:pPr>
        <w:autoSpaceDE w:val="0"/>
        <w:autoSpaceDN w:val="0"/>
        <w:adjustRightInd w:val="0"/>
        <w:ind w:firstLine="709"/>
        <w:jc w:val="both"/>
        <w:rPr>
          <w:sz w:val="28"/>
          <w:szCs w:val="28"/>
        </w:rPr>
      </w:pPr>
      <w:r w:rsidRPr="0079132F">
        <w:rPr>
          <w:sz w:val="28"/>
          <w:szCs w:val="28"/>
        </w:rPr>
        <w:t xml:space="preserve">В реестре действующих договоров купли-продажи муниципального имущества, обремененного залоговым обязательством, предоставленных Комитетом по состоянию на 01.01.2020, числились 5 договоров, заключенных в 2014 году. </w:t>
      </w:r>
    </w:p>
    <w:p w:rsidR="00D410A1" w:rsidRPr="0079132F" w:rsidRDefault="00E56D8E">
      <w:pPr>
        <w:autoSpaceDE w:val="0"/>
        <w:autoSpaceDN w:val="0"/>
        <w:adjustRightInd w:val="0"/>
        <w:ind w:firstLine="709"/>
        <w:jc w:val="both"/>
        <w:rPr>
          <w:sz w:val="28"/>
          <w:szCs w:val="28"/>
        </w:rPr>
      </w:pPr>
      <w:r w:rsidRPr="00E56D8E">
        <w:rPr>
          <w:sz w:val="28"/>
          <w:szCs w:val="28"/>
        </w:rPr>
        <w:t xml:space="preserve">В соответствии с нормами действующего законодательства </w:t>
      </w:r>
      <w:r>
        <w:rPr>
          <w:sz w:val="28"/>
          <w:szCs w:val="28"/>
        </w:rPr>
        <w:t>р</w:t>
      </w:r>
      <w:r w:rsidR="00E14BDE" w:rsidRPr="0079132F">
        <w:rPr>
          <w:sz w:val="28"/>
          <w:szCs w:val="28"/>
        </w:rPr>
        <w:t>ассрочка оплаты приобретаемого имущества при реализации преимущественного права предоставляется не более чем на 5 лет, и при добросовестном исполнении сторонами договорных обязательств указанные договора должны были прекратить свое действие.</w:t>
      </w:r>
    </w:p>
    <w:p w:rsidR="00E14BDE" w:rsidRPr="0079132F" w:rsidRDefault="00E14BDE">
      <w:pPr>
        <w:autoSpaceDE w:val="0"/>
        <w:autoSpaceDN w:val="0"/>
        <w:adjustRightInd w:val="0"/>
        <w:ind w:firstLine="709"/>
        <w:jc w:val="both"/>
        <w:rPr>
          <w:sz w:val="28"/>
          <w:szCs w:val="28"/>
        </w:rPr>
      </w:pPr>
      <w:r w:rsidRPr="0079132F">
        <w:rPr>
          <w:sz w:val="28"/>
          <w:szCs w:val="28"/>
        </w:rPr>
        <w:t xml:space="preserve">Договор от 17.01.2014 № Н-585-1 заключен с ООО «Мать и дитя» на приобретение муниципального имущества общей площадью 56,6 кв. м. с рыночной стоимостью 1 466,0 тыс. рублей. По данным Комитета </w:t>
      </w:r>
      <w:r w:rsidR="00A62211" w:rsidRPr="0079132F">
        <w:rPr>
          <w:sz w:val="28"/>
          <w:szCs w:val="28"/>
        </w:rPr>
        <w:t xml:space="preserve">по состоянию на 01.01.2020 сумма исполненных обязательств по договору купли-продажи от 17.01.2014 № Н-585-1 составила в общей сумме </w:t>
      </w:r>
      <w:r w:rsidR="00345F6B" w:rsidRPr="0079132F">
        <w:rPr>
          <w:sz w:val="28"/>
          <w:szCs w:val="28"/>
        </w:rPr>
        <w:t>1 605,924 тыс. рублей</w:t>
      </w:r>
      <w:r w:rsidR="00A62211" w:rsidRPr="0079132F">
        <w:rPr>
          <w:sz w:val="28"/>
          <w:szCs w:val="28"/>
        </w:rPr>
        <w:t xml:space="preserve">, из них сумма основного долга 1 466,0 тыс. рублей, сумма рассрочки </w:t>
      </w:r>
      <w:r w:rsidR="00345F6B" w:rsidRPr="0079132F">
        <w:rPr>
          <w:sz w:val="28"/>
          <w:szCs w:val="28"/>
        </w:rPr>
        <w:t>127,472 тыс. рублей, и сумма пени 12,451 тыс. рублей.</w:t>
      </w:r>
    </w:p>
    <w:p w:rsidR="00D410A1" w:rsidRPr="0079132F" w:rsidRDefault="00345F6B">
      <w:pPr>
        <w:autoSpaceDE w:val="0"/>
        <w:autoSpaceDN w:val="0"/>
        <w:adjustRightInd w:val="0"/>
        <w:ind w:firstLine="709"/>
        <w:jc w:val="both"/>
        <w:rPr>
          <w:sz w:val="28"/>
          <w:szCs w:val="28"/>
        </w:rPr>
      </w:pPr>
      <w:r w:rsidRPr="0079132F">
        <w:rPr>
          <w:sz w:val="28"/>
          <w:szCs w:val="28"/>
        </w:rPr>
        <w:t xml:space="preserve">В связи с тем, что покупатель неоднократно нарушал предусмотренный договором срок оплаты, размер начисленных пени в период действия договора составил в сумме 335,837 тыс. рублей, из них оплачено </w:t>
      </w:r>
      <w:r w:rsidR="006457AA" w:rsidRPr="0079132F">
        <w:rPr>
          <w:sz w:val="28"/>
          <w:szCs w:val="28"/>
        </w:rPr>
        <w:t>12,451 тыс. рублей. Остаток задолженности по пени составляет в сумме 323,386 тыс. рублей.</w:t>
      </w:r>
    </w:p>
    <w:p w:rsidR="006457AA" w:rsidRPr="0079132F" w:rsidRDefault="006457AA">
      <w:pPr>
        <w:autoSpaceDE w:val="0"/>
        <w:autoSpaceDN w:val="0"/>
        <w:adjustRightInd w:val="0"/>
        <w:ind w:firstLine="709"/>
        <w:jc w:val="both"/>
        <w:rPr>
          <w:sz w:val="28"/>
          <w:szCs w:val="28"/>
        </w:rPr>
      </w:pPr>
      <w:r w:rsidRPr="0079132F">
        <w:rPr>
          <w:sz w:val="28"/>
          <w:szCs w:val="28"/>
        </w:rPr>
        <w:t>Однако в реестре действующих договоров, предоставленных Комитетом в ходе настоящей проверки, сумма остатка по договору от 17.01.2014 № Н-585-1 не отражена. Кроме того, и в регистрах бухгалтерского учета Комитета размер</w:t>
      </w:r>
      <w:r w:rsidR="007556BA">
        <w:rPr>
          <w:sz w:val="28"/>
          <w:szCs w:val="28"/>
        </w:rPr>
        <w:t>,</w:t>
      </w:r>
      <w:r w:rsidRPr="0079132F">
        <w:rPr>
          <w:sz w:val="28"/>
          <w:szCs w:val="28"/>
        </w:rPr>
        <w:t xml:space="preserve"> начисленных пени не отражается.</w:t>
      </w:r>
    </w:p>
    <w:p w:rsidR="006457AA" w:rsidRPr="0079132F" w:rsidRDefault="006457AA">
      <w:pPr>
        <w:autoSpaceDE w:val="0"/>
        <w:autoSpaceDN w:val="0"/>
        <w:adjustRightInd w:val="0"/>
        <w:ind w:firstLine="709"/>
        <w:jc w:val="both"/>
        <w:rPr>
          <w:sz w:val="28"/>
          <w:szCs w:val="28"/>
        </w:rPr>
      </w:pPr>
      <w:r w:rsidRPr="0079132F">
        <w:rPr>
          <w:sz w:val="28"/>
          <w:szCs w:val="28"/>
        </w:rPr>
        <w:t>По данным Комитета в 2017 году в Арбитражный суд Чувашской Республики было подано исковое заявление о расторжении договора купли-продажи, однако в ходе рассмотрения было утверждено мировое соглашение от 20.07.2017. Однако и после утверждения мирового соглашения покупатель не исполнял свои обязательства по заключенному договору. Комитетом в адрес службы судебных приставов был направлен исполнительный лист на взыскание задолженности, но 07.10.2019 поступило постановление об окончании и возвращении исполнительного дела взыскателю в связи с невозможностью установления местонахождения должника, его имущества либо получения сведений о наличии принадлежащих ему денежных средств и иных требований.</w:t>
      </w:r>
    </w:p>
    <w:p w:rsidR="008A7D03" w:rsidRPr="0079132F" w:rsidRDefault="008A7D03">
      <w:pPr>
        <w:autoSpaceDE w:val="0"/>
        <w:autoSpaceDN w:val="0"/>
        <w:adjustRightInd w:val="0"/>
        <w:ind w:firstLine="709"/>
        <w:jc w:val="both"/>
        <w:rPr>
          <w:sz w:val="28"/>
          <w:szCs w:val="28"/>
        </w:rPr>
      </w:pPr>
      <w:r w:rsidRPr="0079132F">
        <w:rPr>
          <w:sz w:val="28"/>
          <w:szCs w:val="28"/>
        </w:rPr>
        <w:t xml:space="preserve">Также в реестре действующих договоров по состоянию на 01.01.2020 числились 3 договора купли продажи, заключенных с ООО «Реал-Люкс»: </w:t>
      </w:r>
    </w:p>
    <w:p w:rsidR="008A7D03" w:rsidRPr="0079132F" w:rsidRDefault="0062393E">
      <w:pPr>
        <w:autoSpaceDE w:val="0"/>
        <w:autoSpaceDN w:val="0"/>
        <w:adjustRightInd w:val="0"/>
        <w:ind w:firstLine="709"/>
        <w:jc w:val="both"/>
        <w:rPr>
          <w:sz w:val="28"/>
          <w:szCs w:val="28"/>
        </w:rPr>
      </w:pPr>
      <w:r>
        <w:rPr>
          <w:sz w:val="28"/>
          <w:szCs w:val="28"/>
        </w:rPr>
        <w:t xml:space="preserve">- </w:t>
      </w:r>
      <w:r w:rsidR="008A7D03" w:rsidRPr="0079132F">
        <w:rPr>
          <w:sz w:val="28"/>
          <w:szCs w:val="28"/>
        </w:rPr>
        <w:t>от 03.04.2014 № Н-608 на сумму 1 088,136 тыс. рублей, задолженность по которому по состоянию на 01.01.2020 составляла в сумме 337,440 тыс. рублей (без учета рассрочки и пени);</w:t>
      </w:r>
    </w:p>
    <w:p w:rsidR="008A7D03" w:rsidRPr="0079132F" w:rsidRDefault="0062393E">
      <w:pPr>
        <w:autoSpaceDE w:val="0"/>
        <w:autoSpaceDN w:val="0"/>
        <w:adjustRightInd w:val="0"/>
        <w:ind w:firstLine="709"/>
        <w:jc w:val="both"/>
        <w:rPr>
          <w:sz w:val="28"/>
          <w:szCs w:val="28"/>
        </w:rPr>
      </w:pPr>
      <w:r>
        <w:rPr>
          <w:sz w:val="28"/>
          <w:szCs w:val="28"/>
        </w:rPr>
        <w:t xml:space="preserve">- </w:t>
      </w:r>
      <w:r w:rsidR="008A7D03" w:rsidRPr="0079132F">
        <w:rPr>
          <w:sz w:val="28"/>
          <w:szCs w:val="28"/>
        </w:rPr>
        <w:t>от 07.04.2014 № Н-609 на сумму 414,068 тыс. рублей, задолженность по состоянию на 01.01.2020 составляла 161,787 тыс. рублей (без учета рассрочки и пени);</w:t>
      </w:r>
    </w:p>
    <w:p w:rsidR="008A7D03" w:rsidRPr="0079132F" w:rsidRDefault="0062393E">
      <w:pPr>
        <w:autoSpaceDE w:val="0"/>
        <w:autoSpaceDN w:val="0"/>
        <w:adjustRightInd w:val="0"/>
        <w:ind w:firstLine="709"/>
        <w:jc w:val="both"/>
        <w:rPr>
          <w:sz w:val="28"/>
          <w:szCs w:val="28"/>
        </w:rPr>
      </w:pPr>
      <w:r>
        <w:rPr>
          <w:sz w:val="28"/>
          <w:szCs w:val="28"/>
        </w:rPr>
        <w:t xml:space="preserve">- </w:t>
      </w:r>
      <w:r w:rsidR="008A7D03" w:rsidRPr="0079132F">
        <w:rPr>
          <w:sz w:val="28"/>
          <w:szCs w:val="28"/>
        </w:rPr>
        <w:t xml:space="preserve">от 17.04.2014 № Н-615 на сумму 487,966 тыс. рублей, задолженность по состоянию на 01.01.2020 составляла 173,205 тыс. рублей (без учета рассрочки и пени). </w:t>
      </w:r>
    </w:p>
    <w:p w:rsidR="008A7D03" w:rsidRPr="0079132F" w:rsidRDefault="008A7D03">
      <w:pPr>
        <w:autoSpaceDE w:val="0"/>
        <w:autoSpaceDN w:val="0"/>
        <w:adjustRightInd w:val="0"/>
        <w:ind w:firstLine="709"/>
        <w:jc w:val="both"/>
        <w:rPr>
          <w:sz w:val="28"/>
          <w:szCs w:val="28"/>
        </w:rPr>
      </w:pPr>
      <w:r w:rsidRPr="0079132F">
        <w:rPr>
          <w:sz w:val="28"/>
          <w:szCs w:val="28"/>
        </w:rPr>
        <w:t>По данным Комитета в ходе работы по взысканию задолженности по указанным договорам купли-продажи, Комитетом в судебном порядке получено определение о включении в реестр требований кредиторов, как залоговых кредиторов.</w:t>
      </w:r>
    </w:p>
    <w:p w:rsidR="008A7D03" w:rsidRPr="0079132F" w:rsidRDefault="008A7D03">
      <w:pPr>
        <w:autoSpaceDE w:val="0"/>
        <w:autoSpaceDN w:val="0"/>
        <w:adjustRightInd w:val="0"/>
        <w:ind w:firstLine="709"/>
        <w:jc w:val="both"/>
        <w:rPr>
          <w:sz w:val="28"/>
          <w:szCs w:val="28"/>
        </w:rPr>
      </w:pPr>
      <w:r w:rsidRPr="0079132F">
        <w:rPr>
          <w:sz w:val="28"/>
          <w:szCs w:val="28"/>
        </w:rPr>
        <w:t>В соответствии с нормами законодательства о несостоятельности (банкротстве) из средств, вырученных от реализации предмета залога 70 процентов направляется на погашение требований кредитора по обязательству, обеспеченному залогом имущества должника, но не более чем</w:t>
      </w:r>
      <w:r w:rsidR="00EE5183" w:rsidRPr="0079132F">
        <w:rPr>
          <w:sz w:val="28"/>
          <w:szCs w:val="28"/>
        </w:rPr>
        <w:t xml:space="preserve"> основная сумма задолженности по обеспеченному залогом обязательству и причитающихся процентов.</w:t>
      </w:r>
    </w:p>
    <w:p w:rsidR="008A7D03" w:rsidRPr="0079132F" w:rsidRDefault="008A7D03">
      <w:pPr>
        <w:autoSpaceDE w:val="0"/>
        <w:autoSpaceDN w:val="0"/>
        <w:adjustRightInd w:val="0"/>
        <w:ind w:firstLine="709"/>
        <w:jc w:val="both"/>
        <w:rPr>
          <w:sz w:val="28"/>
          <w:szCs w:val="28"/>
        </w:rPr>
      </w:pPr>
    </w:p>
    <w:p w:rsidR="00BB6C9A" w:rsidRPr="0079132F" w:rsidRDefault="007E1C50">
      <w:pPr>
        <w:autoSpaceDE w:val="0"/>
        <w:autoSpaceDN w:val="0"/>
        <w:adjustRightInd w:val="0"/>
        <w:ind w:firstLine="709"/>
        <w:jc w:val="both"/>
        <w:rPr>
          <w:sz w:val="28"/>
          <w:szCs w:val="28"/>
        </w:rPr>
      </w:pPr>
      <w:r w:rsidRPr="0079132F">
        <w:rPr>
          <w:sz w:val="28"/>
          <w:szCs w:val="28"/>
        </w:rPr>
        <w:t>Передача в аренду нежилых помещений, находящихся в муниципальной собственности, осуществляется Комитетом в соответствии с Положением о порядке аренды нежилых помещений муниципальной собственности города Чебоксары, утвержденным решением Чебоксарского городского Собрания депутатов от 25.11.2010 № 42 (далее по тексту – Положение о порядке аренды).</w:t>
      </w:r>
    </w:p>
    <w:p w:rsidR="007E1C50" w:rsidRPr="0079132F" w:rsidRDefault="007E1C50">
      <w:pPr>
        <w:autoSpaceDE w:val="0"/>
        <w:autoSpaceDN w:val="0"/>
        <w:adjustRightInd w:val="0"/>
        <w:ind w:firstLine="709"/>
        <w:jc w:val="both"/>
        <w:rPr>
          <w:sz w:val="28"/>
          <w:szCs w:val="28"/>
        </w:rPr>
      </w:pPr>
      <w:r w:rsidRPr="0079132F">
        <w:rPr>
          <w:sz w:val="28"/>
          <w:szCs w:val="28"/>
        </w:rPr>
        <w:t>Согласно норм Положения о порядке аренды предоставление в аренду нежилых помещений осуществляется Комитетом по результатам проведения торгов (конкурсов или аукционов) в соответствии со ст. 17.1 Федерального закона от 26.07.2006 № 135-ФЗ «О защите конкуренции» и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от 10.02.2010 № 67.</w:t>
      </w:r>
    </w:p>
    <w:p w:rsidR="00FD3D9F" w:rsidRPr="0079132F" w:rsidRDefault="000E1152">
      <w:pPr>
        <w:autoSpaceDE w:val="0"/>
        <w:autoSpaceDN w:val="0"/>
        <w:adjustRightInd w:val="0"/>
        <w:ind w:firstLine="709"/>
        <w:jc w:val="both"/>
        <w:rPr>
          <w:sz w:val="28"/>
          <w:szCs w:val="28"/>
        </w:rPr>
      </w:pPr>
      <w:r w:rsidRPr="0079132F">
        <w:rPr>
          <w:sz w:val="28"/>
          <w:szCs w:val="28"/>
        </w:rPr>
        <w:t>В 2018 году Комитетом проведено 29 аукционов на право заключения договора аренды, по итогам которых заключено 56 договора аренды нежилых помещений муниципальной собственности общей площадью 4 582,4 кв. м.</w:t>
      </w:r>
    </w:p>
    <w:p w:rsidR="000E1152" w:rsidRPr="0079132F" w:rsidRDefault="000E1152">
      <w:pPr>
        <w:autoSpaceDE w:val="0"/>
        <w:autoSpaceDN w:val="0"/>
        <w:adjustRightInd w:val="0"/>
        <w:ind w:firstLine="709"/>
        <w:jc w:val="both"/>
        <w:rPr>
          <w:sz w:val="28"/>
          <w:szCs w:val="28"/>
        </w:rPr>
      </w:pPr>
      <w:r w:rsidRPr="0079132F">
        <w:rPr>
          <w:sz w:val="28"/>
          <w:szCs w:val="28"/>
        </w:rPr>
        <w:t xml:space="preserve">В 2019 году Комитетом проведен </w:t>
      </w:r>
      <w:r w:rsidR="00DA51C5" w:rsidRPr="0079132F">
        <w:rPr>
          <w:sz w:val="28"/>
          <w:szCs w:val="28"/>
        </w:rPr>
        <w:t>31</w:t>
      </w:r>
      <w:r w:rsidRPr="0079132F">
        <w:rPr>
          <w:sz w:val="28"/>
          <w:szCs w:val="28"/>
        </w:rPr>
        <w:t xml:space="preserve"> аукцион на право заключения договора аренды, по итогам которых заключено 21 договор аренды нежилых помещений муниципальной собственности общей площадью </w:t>
      </w:r>
      <w:r w:rsidR="0048560D" w:rsidRPr="0079132F">
        <w:rPr>
          <w:sz w:val="28"/>
          <w:szCs w:val="28"/>
        </w:rPr>
        <w:t>3 365,2</w:t>
      </w:r>
      <w:r w:rsidRPr="0079132F">
        <w:rPr>
          <w:sz w:val="28"/>
          <w:szCs w:val="28"/>
        </w:rPr>
        <w:t xml:space="preserve"> кв. м.</w:t>
      </w:r>
    </w:p>
    <w:p w:rsidR="00F65E8E" w:rsidRPr="0079132F" w:rsidRDefault="00F65E8E" w:rsidP="00F65E8E">
      <w:pPr>
        <w:autoSpaceDE w:val="0"/>
        <w:autoSpaceDN w:val="0"/>
        <w:adjustRightInd w:val="0"/>
        <w:ind w:firstLine="709"/>
        <w:jc w:val="both"/>
        <w:rPr>
          <w:sz w:val="28"/>
          <w:szCs w:val="28"/>
        </w:rPr>
      </w:pPr>
      <w:r w:rsidRPr="0079132F">
        <w:rPr>
          <w:sz w:val="28"/>
          <w:szCs w:val="28"/>
        </w:rPr>
        <w:t>Размер арендной платы, а в случае проведения торгов - начальный размер арендной платы, определяется по результатам проведения оценки рыночной стоимости арендной платы.</w:t>
      </w:r>
    </w:p>
    <w:p w:rsidR="00F65E8E" w:rsidRPr="0079132F" w:rsidRDefault="00F65E8E" w:rsidP="00F65E8E">
      <w:pPr>
        <w:autoSpaceDE w:val="0"/>
        <w:autoSpaceDN w:val="0"/>
        <w:adjustRightInd w:val="0"/>
        <w:ind w:firstLine="709"/>
        <w:jc w:val="both"/>
        <w:rPr>
          <w:sz w:val="28"/>
          <w:szCs w:val="28"/>
        </w:rPr>
      </w:pPr>
      <w:r w:rsidRPr="0079132F">
        <w:rPr>
          <w:sz w:val="28"/>
          <w:szCs w:val="28"/>
        </w:rPr>
        <w:t xml:space="preserve">Выбор организации, осуществляющей оценку рыночной стоимости муниципального имущества и оценку стоимости арендной платы муниципального имущества, проводится Комитетом по результатам проведения электронных аукционов на проведение такой оценки. В 2018 году </w:t>
      </w:r>
      <w:r w:rsidR="000234F8" w:rsidRPr="0079132F">
        <w:rPr>
          <w:sz w:val="28"/>
          <w:szCs w:val="28"/>
        </w:rPr>
        <w:t>по итогам проведения аукционов было заключено 7 муниципальных контрактов, в 2019 году -7 муниципальных контрактов, и 4 договора закупками малого объема (через электронный магазин).</w:t>
      </w:r>
    </w:p>
    <w:p w:rsidR="00FD3D9F" w:rsidRPr="0079132F" w:rsidRDefault="000E1152">
      <w:pPr>
        <w:autoSpaceDE w:val="0"/>
        <w:autoSpaceDN w:val="0"/>
        <w:adjustRightInd w:val="0"/>
        <w:ind w:firstLine="709"/>
        <w:jc w:val="both"/>
        <w:rPr>
          <w:sz w:val="28"/>
          <w:szCs w:val="28"/>
        </w:rPr>
      </w:pPr>
      <w:r w:rsidRPr="0079132F">
        <w:rPr>
          <w:sz w:val="28"/>
          <w:szCs w:val="28"/>
        </w:rPr>
        <w:t>Расчет прогнозных поступлений доходов от использования имущества</w:t>
      </w:r>
      <w:r w:rsidR="0023794D" w:rsidRPr="0079132F">
        <w:rPr>
          <w:sz w:val="28"/>
          <w:szCs w:val="28"/>
        </w:rPr>
        <w:t xml:space="preserve"> проводится Комитетом в соответствии с Методикой прогнозирования поступлений по доходам и по источникам финансирования дефицита бюджета города Чебоксары</w:t>
      </w:r>
      <w:r w:rsidR="00892F16" w:rsidRPr="0079132F">
        <w:rPr>
          <w:sz w:val="28"/>
          <w:szCs w:val="28"/>
        </w:rPr>
        <w:t>, утвержденной распоряжением Чебоксарского городского Комитета по управлению имуществом от 05.08.2016 № 525-р.</w:t>
      </w:r>
    </w:p>
    <w:p w:rsidR="00892F16" w:rsidRPr="0079132F" w:rsidRDefault="00892F16">
      <w:pPr>
        <w:autoSpaceDE w:val="0"/>
        <w:autoSpaceDN w:val="0"/>
        <w:adjustRightInd w:val="0"/>
        <w:ind w:firstLine="709"/>
        <w:jc w:val="both"/>
        <w:rPr>
          <w:sz w:val="28"/>
          <w:szCs w:val="28"/>
        </w:rPr>
      </w:pPr>
      <w:r w:rsidRPr="0079132F">
        <w:rPr>
          <w:sz w:val="28"/>
          <w:szCs w:val="28"/>
        </w:rPr>
        <w:t xml:space="preserve">При расчете прогнозных поступлений доходов от аренды имущества, находящегося в муниципальной собственности Комитетом принимаются в расчет действующие договора аренды с учетом прогнозируемого выбытия арендуемых площадей в результате приватизации муниципального имущества в соответствии с нормами Федерального закона № 159-ФЗ </w:t>
      </w:r>
      <w:r w:rsidR="00077731" w:rsidRPr="0079132F">
        <w:rPr>
          <w:sz w:val="28"/>
          <w:szCs w:val="28"/>
        </w:rPr>
        <w:t>и Закона о приватизации имущества № 178-ФЗ.</w:t>
      </w:r>
    </w:p>
    <w:p w:rsidR="00077731" w:rsidRPr="0079132F" w:rsidRDefault="00077731">
      <w:pPr>
        <w:autoSpaceDE w:val="0"/>
        <w:autoSpaceDN w:val="0"/>
        <w:adjustRightInd w:val="0"/>
        <w:ind w:firstLine="709"/>
        <w:jc w:val="both"/>
        <w:rPr>
          <w:sz w:val="28"/>
          <w:szCs w:val="28"/>
        </w:rPr>
      </w:pPr>
      <w:r w:rsidRPr="0079132F">
        <w:rPr>
          <w:sz w:val="28"/>
          <w:szCs w:val="28"/>
        </w:rPr>
        <w:t>По данным Комитета по состоянию на 01.01.2018 числилось 435 договоров аренды общей площадью 49 490 кв. м. с ежемесячным начислением арендной платы в сумме 9 493,1 тыс. рублей, по состоянию на 01.01.2019 числилось 389 договоров аренды нежилого помещения муниципальной собственности общей площадью 43 838 кв. м. с ежемесячным начислением арендной платы в сумме 7 506,7 тыс. рублей, по состоянию на 01.01.2020 числилось 284 договора аренды нежилого помещения муниципальной собственности общей площадью 37 553,6 кв. м. с ежемесячным начислением арендной платы в сумме 6 305,7 тыс. рублей.</w:t>
      </w:r>
    </w:p>
    <w:p w:rsidR="00077731" w:rsidRPr="0079132F" w:rsidRDefault="00077731">
      <w:pPr>
        <w:autoSpaceDE w:val="0"/>
        <w:autoSpaceDN w:val="0"/>
        <w:adjustRightInd w:val="0"/>
        <w:ind w:firstLine="709"/>
        <w:jc w:val="both"/>
        <w:rPr>
          <w:sz w:val="28"/>
          <w:szCs w:val="28"/>
        </w:rPr>
      </w:pPr>
      <w:r w:rsidRPr="0079132F">
        <w:rPr>
          <w:sz w:val="28"/>
          <w:szCs w:val="28"/>
        </w:rPr>
        <w:t>Аналитический учет начислений</w:t>
      </w:r>
      <w:r w:rsidR="0048560D" w:rsidRPr="0079132F">
        <w:rPr>
          <w:sz w:val="28"/>
          <w:szCs w:val="28"/>
        </w:rPr>
        <w:t>, поступлений, задолженностей и пени по арендной плате нежилых помещений ведется Комитетом в разрезе договоров аренды с использованием программного комплекса АИС «Аренда» с последующим отражением начисленных сумму в журнале операций расчетов с дебиторами по дохам (ф. 0504071) и карточке счета 205 00 «Расчеты по доходам» в программе 1С:Бухгалтерия.</w:t>
      </w:r>
    </w:p>
    <w:p w:rsidR="00254670" w:rsidRPr="0079132F" w:rsidRDefault="00254670">
      <w:pPr>
        <w:autoSpaceDE w:val="0"/>
        <w:autoSpaceDN w:val="0"/>
        <w:adjustRightInd w:val="0"/>
        <w:ind w:firstLine="709"/>
        <w:jc w:val="both"/>
        <w:rPr>
          <w:sz w:val="28"/>
          <w:szCs w:val="28"/>
        </w:rPr>
      </w:pPr>
      <w:r w:rsidRPr="0079132F">
        <w:rPr>
          <w:sz w:val="28"/>
          <w:szCs w:val="28"/>
        </w:rPr>
        <w:t>По условиям договора аренды нежилого помещения муниципальной собственности арендная плата перечисляется ежемесячно за каждый месяц вперед до 10 числа текущего месяца на единый балансовый счет Управления федерального казначейства по Чувашской Республике. За просрочку арендных платежей по условиям договора аренды нежилого помещения муниципальной   уплачивает пени в размере одной сотой ставки рефинансирования Центрального банка Российской Федерации, действовавшей в период образования недоимки</w:t>
      </w:r>
      <w:r w:rsidR="00E5089E" w:rsidRPr="0079132F">
        <w:rPr>
          <w:sz w:val="28"/>
          <w:szCs w:val="28"/>
        </w:rPr>
        <w:t xml:space="preserve"> за каждый день просрочки до дня полного погашения задолженности.</w:t>
      </w:r>
    </w:p>
    <w:p w:rsidR="009A6965" w:rsidRPr="0079132F" w:rsidRDefault="009A6965">
      <w:pPr>
        <w:autoSpaceDE w:val="0"/>
        <w:autoSpaceDN w:val="0"/>
        <w:adjustRightInd w:val="0"/>
        <w:ind w:firstLine="709"/>
        <w:jc w:val="both"/>
        <w:rPr>
          <w:sz w:val="28"/>
          <w:szCs w:val="28"/>
        </w:rPr>
      </w:pPr>
      <w:r w:rsidRPr="0079132F">
        <w:rPr>
          <w:sz w:val="28"/>
          <w:szCs w:val="28"/>
        </w:rPr>
        <w:t>Информация о сумме пеней по фактам просрочки за проверяемый период Комитетом не предоставлена.</w:t>
      </w:r>
    </w:p>
    <w:p w:rsidR="0048560D" w:rsidRPr="0079132F" w:rsidRDefault="0048560D">
      <w:pPr>
        <w:autoSpaceDE w:val="0"/>
        <w:autoSpaceDN w:val="0"/>
        <w:adjustRightInd w:val="0"/>
        <w:ind w:firstLine="709"/>
        <w:jc w:val="both"/>
        <w:rPr>
          <w:sz w:val="28"/>
          <w:szCs w:val="28"/>
        </w:rPr>
      </w:pPr>
      <w:r w:rsidRPr="0079132F">
        <w:rPr>
          <w:sz w:val="28"/>
          <w:szCs w:val="28"/>
        </w:rPr>
        <w:t>По данным Комитета задолженность по арендной плате муниципального имущества по состоянию на 01.01.201</w:t>
      </w:r>
      <w:r w:rsidR="0058271F" w:rsidRPr="0079132F">
        <w:rPr>
          <w:sz w:val="28"/>
          <w:szCs w:val="28"/>
        </w:rPr>
        <w:t>9</w:t>
      </w:r>
      <w:r w:rsidRPr="0079132F">
        <w:rPr>
          <w:sz w:val="28"/>
          <w:szCs w:val="28"/>
        </w:rPr>
        <w:t xml:space="preserve"> составля</w:t>
      </w:r>
      <w:r w:rsidR="0058271F" w:rsidRPr="0079132F">
        <w:rPr>
          <w:sz w:val="28"/>
          <w:szCs w:val="28"/>
        </w:rPr>
        <w:t>л</w:t>
      </w:r>
      <w:r w:rsidRPr="0079132F">
        <w:rPr>
          <w:sz w:val="28"/>
          <w:szCs w:val="28"/>
        </w:rPr>
        <w:t xml:space="preserve">а в сумме </w:t>
      </w:r>
      <w:r w:rsidR="0058271F" w:rsidRPr="0079132F">
        <w:rPr>
          <w:sz w:val="28"/>
          <w:szCs w:val="28"/>
        </w:rPr>
        <w:t>24 062,72 тыс. рублей, по состоянию на 01.01.2020 в сумме 20 688,5 тыс. рублей, что более чем на 15 процентов или на сумму 3 374,2 тыс. рублей меньше показателей предыдущего года.</w:t>
      </w:r>
    </w:p>
    <w:p w:rsidR="0048560D" w:rsidRPr="0079132F" w:rsidRDefault="0058271F">
      <w:pPr>
        <w:autoSpaceDE w:val="0"/>
        <w:autoSpaceDN w:val="0"/>
        <w:adjustRightInd w:val="0"/>
        <w:ind w:firstLine="709"/>
        <w:jc w:val="both"/>
        <w:rPr>
          <w:sz w:val="28"/>
          <w:szCs w:val="28"/>
        </w:rPr>
      </w:pPr>
      <w:r w:rsidRPr="0079132F">
        <w:rPr>
          <w:sz w:val="28"/>
          <w:szCs w:val="28"/>
        </w:rPr>
        <w:t xml:space="preserve">Количество договоров аренды муниципального имущества, имеющих задолженность более 2-х месяцев по состоянию на 01.01.2018 составляло 58 договоров с общей суммой задолженности в размере 4 290,89 тыс. рублей, по состоянию на 01.01.2019 количество договоров, имеющих задолженность более 2-х месяцев уменьшилось и составило 37 договоров с общей суммой задолженности 2 369,11 тыс. рублей. По состоянию на 01.01.2020 количество договоров аренды муниципального имущества, имеющих задолженность более 2-х месяцев составило 39 договоров с общей сумой </w:t>
      </w:r>
      <w:r w:rsidR="00F64FA9" w:rsidRPr="0079132F">
        <w:rPr>
          <w:sz w:val="28"/>
          <w:szCs w:val="28"/>
        </w:rPr>
        <w:t xml:space="preserve">просроченной </w:t>
      </w:r>
      <w:r w:rsidRPr="0079132F">
        <w:rPr>
          <w:sz w:val="28"/>
          <w:szCs w:val="28"/>
        </w:rPr>
        <w:t>задолженности 2 116,616 тыс. рублей.</w:t>
      </w:r>
    </w:p>
    <w:p w:rsidR="0048560D" w:rsidRPr="0079132F" w:rsidRDefault="004F109C">
      <w:pPr>
        <w:autoSpaceDE w:val="0"/>
        <w:autoSpaceDN w:val="0"/>
        <w:adjustRightInd w:val="0"/>
        <w:ind w:firstLine="709"/>
        <w:jc w:val="both"/>
        <w:rPr>
          <w:sz w:val="28"/>
          <w:szCs w:val="28"/>
        </w:rPr>
      </w:pPr>
      <w:r w:rsidRPr="0079132F">
        <w:rPr>
          <w:sz w:val="28"/>
          <w:szCs w:val="28"/>
        </w:rPr>
        <w:t>В целях сокращения задолженности по арендным платежам за использование муниципального имущества Комитетом в 2018 году в адрес должников было направлено 544 претензии на сумму 34 116,09 тыс. рублей, из них оплачено на сумму 15 009,36 тыс. рублей, предъявлено 98 исковых требований на сумму 8 227,17 тыс. рублей, принято 41 решение суда о взыскании задолженности на сумму 1 421,43 тыс. рублей, из них произведена оплата по 12 искам на сумму 182,4 тыс. рублей.</w:t>
      </w:r>
    </w:p>
    <w:p w:rsidR="004F109C" w:rsidRPr="0079132F" w:rsidRDefault="004F109C">
      <w:pPr>
        <w:autoSpaceDE w:val="0"/>
        <w:autoSpaceDN w:val="0"/>
        <w:adjustRightInd w:val="0"/>
        <w:ind w:firstLine="709"/>
        <w:jc w:val="both"/>
        <w:rPr>
          <w:sz w:val="28"/>
          <w:szCs w:val="28"/>
        </w:rPr>
      </w:pPr>
      <w:r w:rsidRPr="0079132F">
        <w:rPr>
          <w:sz w:val="28"/>
          <w:szCs w:val="28"/>
        </w:rPr>
        <w:t>Согласно представленной Комитетом информации в 2019 году должникам по арендной плате муниципального имущества было направлено 480 претензий на сумму 23 028,67 тыс. рублей, из них оплачено на сумму 7 305,2 тыс. рублей, предъявлено 137 исковых требований на сумму 11 168,38 тыс. рублей, принято 44 решения суда о взыскании задолженности, из них оплачено 10 решений на сумму 312,2 тыс. рублей.</w:t>
      </w:r>
    </w:p>
    <w:p w:rsidR="001240E6" w:rsidRPr="0079132F" w:rsidRDefault="0062393E">
      <w:pPr>
        <w:autoSpaceDE w:val="0"/>
        <w:autoSpaceDN w:val="0"/>
        <w:adjustRightInd w:val="0"/>
        <w:ind w:firstLine="709"/>
        <w:jc w:val="both"/>
        <w:rPr>
          <w:sz w:val="28"/>
          <w:szCs w:val="28"/>
        </w:rPr>
      </w:pPr>
      <w:r>
        <w:rPr>
          <w:sz w:val="28"/>
          <w:szCs w:val="28"/>
        </w:rPr>
        <w:t xml:space="preserve">В целях контроля за эффективным и целевым использованием арендуемых помещений Комитетом регулярно проводятся проверки. В 2019 году </w:t>
      </w:r>
      <w:r w:rsidR="00BD4B4C">
        <w:rPr>
          <w:sz w:val="28"/>
          <w:szCs w:val="28"/>
        </w:rPr>
        <w:t>было проверено 418 объектов недвижимости, из них: 257 объектов</w:t>
      </w:r>
      <w:r w:rsidR="007556BA">
        <w:rPr>
          <w:sz w:val="28"/>
          <w:szCs w:val="28"/>
        </w:rPr>
        <w:t>,</w:t>
      </w:r>
      <w:r w:rsidR="00BD4B4C">
        <w:rPr>
          <w:sz w:val="28"/>
          <w:szCs w:val="28"/>
        </w:rPr>
        <w:t xml:space="preserve"> переданных в аренду, 144 объектов</w:t>
      </w:r>
      <w:r w:rsidR="007556BA">
        <w:rPr>
          <w:sz w:val="28"/>
          <w:szCs w:val="28"/>
        </w:rPr>
        <w:t>,</w:t>
      </w:r>
      <w:r w:rsidR="00BD4B4C">
        <w:rPr>
          <w:sz w:val="28"/>
          <w:szCs w:val="28"/>
        </w:rPr>
        <w:t xml:space="preserve"> переданных в оперативное управление и 17 объектов, переданных в безвозмездное пользование.</w:t>
      </w:r>
    </w:p>
    <w:p w:rsidR="00D420C2" w:rsidRPr="0079132F" w:rsidRDefault="00D420C2">
      <w:pPr>
        <w:pStyle w:val="21"/>
        <w:spacing w:after="0" w:line="240" w:lineRule="auto"/>
        <w:ind w:left="0" w:firstLine="709"/>
        <w:jc w:val="both"/>
        <w:rPr>
          <w:b/>
          <w:sz w:val="28"/>
          <w:szCs w:val="28"/>
        </w:rPr>
      </w:pPr>
      <w:bookmarkStart w:id="0" w:name="_GoBack"/>
      <w:bookmarkEnd w:id="0"/>
    </w:p>
    <w:sectPr w:rsidR="00D420C2" w:rsidRPr="0079132F">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18" w:rsidRDefault="00407218">
      <w:r>
        <w:separator/>
      </w:r>
    </w:p>
  </w:endnote>
  <w:endnote w:type="continuationSeparator" w:id="0">
    <w:p w:rsidR="00407218" w:rsidRDefault="0040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8" w:rsidRDefault="0040721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7218" w:rsidRDefault="0040721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8" w:rsidRDefault="0040721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18" w:rsidRDefault="00407218">
      <w:r>
        <w:separator/>
      </w:r>
    </w:p>
  </w:footnote>
  <w:footnote w:type="continuationSeparator" w:id="0">
    <w:p w:rsidR="00407218" w:rsidRDefault="0040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8" w:rsidRDefault="00407218">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7218" w:rsidRDefault="0040721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18" w:rsidRDefault="00407218">
    <w:pPr>
      <w:pStyle w:val="ad"/>
      <w:framePr w:wrap="around" w:vAnchor="text" w:hAnchor="margin" w:xAlign="center" w:y="1"/>
      <w:rPr>
        <w:rStyle w:val="a9"/>
        <w:rFonts w:ascii="Times New Roman" w:hAnsi="Times New Roman"/>
      </w:rPr>
    </w:pPr>
    <w:r>
      <w:rPr>
        <w:rStyle w:val="a9"/>
        <w:rFonts w:ascii="Times New Roman" w:hAnsi="Times New Roman"/>
      </w:rPr>
      <w:fldChar w:fldCharType="begin"/>
    </w:r>
    <w:r>
      <w:rPr>
        <w:rStyle w:val="a9"/>
        <w:rFonts w:ascii="Times New Roman" w:hAnsi="Times New Roman"/>
      </w:rPr>
      <w:instrText xml:space="preserve">PAGE  </w:instrText>
    </w:r>
    <w:r>
      <w:rPr>
        <w:rStyle w:val="a9"/>
        <w:rFonts w:ascii="Times New Roman" w:hAnsi="Times New Roman"/>
      </w:rPr>
      <w:fldChar w:fldCharType="separate"/>
    </w:r>
    <w:r w:rsidR="001C2D2C">
      <w:rPr>
        <w:rStyle w:val="a9"/>
        <w:rFonts w:ascii="Times New Roman" w:hAnsi="Times New Roman"/>
        <w:noProof/>
      </w:rPr>
      <w:t>7</w:t>
    </w:r>
    <w:r>
      <w:rPr>
        <w:rStyle w:val="a9"/>
        <w:rFonts w:ascii="Times New Roman" w:hAnsi="Times New Roman"/>
      </w:rPr>
      <w:fldChar w:fldCharType="end"/>
    </w:r>
  </w:p>
  <w:p w:rsidR="00407218" w:rsidRDefault="0040721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15612D2"/>
    <w:lvl w:ilvl="0">
      <w:start w:val="1"/>
      <w:numFmt w:val="decimal"/>
      <w:pStyle w:val="a"/>
      <w:lvlText w:val="%1."/>
      <w:lvlJc w:val="left"/>
      <w:pPr>
        <w:tabs>
          <w:tab w:val="num" w:pos="360"/>
        </w:tabs>
        <w:ind w:left="360" w:hanging="360"/>
      </w:pPr>
    </w:lvl>
  </w:abstractNum>
  <w:abstractNum w:abstractNumId="1" w15:restartNumberingAfterBreak="0">
    <w:nsid w:val="186F03B5"/>
    <w:multiLevelType w:val="hybridMultilevel"/>
    <w:tmpl w:val="8BCECFD6"/>
    <w:lvl w:ilvl="0" w:tplc="C23C213C">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15:restartNumberingAfterBreak="0">
    <w:nsid w:val="21AC0E3B"/>
    <w:multiLevelType w:val="hybridMultilevel"/>
    <w:tmpl w:val="5E72CEE2"/>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3" w15:restartNumberingAfterBreak="0">
    <w:nsid w:val="22D207A6"/>
    <w:multiLevelType w:val="hybridMultilevel"/>
    <w:tmpl w:val="4AF03BB4"/>
    <w:lvl w:ilvl="0" w:tplc="F86AA0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8934087"/>
    <w:multiLevelType w:val="hybridMultilevel"/>
    <w:tmpl w:val="6436D0EE"/>
    <w:lvl w:ilvl="0" w:tplc="24F2AF52">
      <w:numFmt w:val="bullet"/>
      <w:lvlText w:val="-"/>
      <w:lvlJc w:val="left"/>
      <w:pPr>
        <w:tabs>
          <w:tab w:val="num" w:pos="1069"/>
        </w:tabs>
        <w:ind w:left="1069"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C2163A3"/>
    <w:multiLevelType w:val="hybridMultilevel"/>
    <w:tmpl w:val="4EFC94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ED6663"/>
    <w:multiLevelType w:val="hybridMultilevel"/>
    <w:tmpl w:val="DE40C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317E19"/>
    <w:multiLevelType w:val="hybridMultilevel"/>
    <w:tmpl w:val="5C5A79FA"/>
    <w:lvl w:ilvl="0" w:tplc="97C043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F4"/>
    <w:rsid w:val="000234F8"/>
    <w:rsid w:val="00025FAA"/>
    <w:rsid w:val="00077731"/>
    <w:rsid w:val="000B7F81"/>
    <w:rsid w:val="000C753D"/>
    <w:rsid w:val="000E1152"/>
    <w:rsid w:val="001240E6"/>
    <w:rsid w:val="001C2D2C"/>
    <w:rsid w:val="00206746"/>
    <w:rsid w:val="002248D1"/>
    <w:rsid w:val="0023794D"/>
    <w:rsid w:val="00254670"/>
    <w:rsid w:val="002B5E8B"/>
    <w:rsid w:val="002D10F4"/>
    <w:rsid w:val="00304483"/>
    <w:rsid w:val="00345F6B"/>
    <w:rsid w:val="003F68AC"/>
    <w:rsid w:val="00404FB9"/>
    <w:rsid w:val="00407218"/>
    <w:rsid w:val="004145A7"/>
    <w:rsid w:val="0048560D"/>
    <w:rsid w:val="004F109C"/>
    <w:rsid w:val="004F6294"/>
    <w:rsid w:val="00563522"/>
    <w:rsid w:val="005721BE"/>
    <w:rsid w:val="0058271F"/>
    <w:rsid w:val="005B4520"/>
    <w:rsid w:val="0062393E"/>
    <w:rsid w:val="006457AA"/>
    <w:rsid w:val="00692BE7"/>
    <w:rsid w:val="006D481B"/>
    <w:rsid w:val="007422D0"/>
    <w:rsid w:val="007556BA"/>
    <w:rsid w:val="0075599E"/>
    <w:rsid w:val="007743D6"/>
    <w:rsid w:val="0078568C"/>
    <w:rsid w:val="0079132F"/>
    <w:rsid w:val="007E1C50"/>
    <w:rsid w:val="00815096"/>
    <w:rsid w:val="00816989"/>
    <w:rsid w:val="0082377F"/>
    <w:rsid w:val="0087168E"/>
    <w:rsid w:val="00892F16"/>
    <w:rsid w:val="008A7D03"/>
    <w:rsid w:val="00977288"/>
    <w:rsid w:val="0099065F"/>
    <w:rsid w:val="009A6965"/>
    <w:rsid w:val="009E34FD"/>
    <w:rsid w:val="00A62211"/>
    <w:rsid w:val="00B129F4"/>
    <w:rsid w:val="00B46039"/>
    <w:rsid w:val="00BA77CC"/>
    <w:rsid w:val="00BB6C9A"/>
    <w:rsid w:val="00BD17EC"/>
    <w:rsid w:val="00BD2BC8"/>
    <w:rsid w:val="00BD4B4C"/>
    <w:rsid w:val="00BE53CC"/>
    <w:rsid w:val="00C96628"/>
    <w:rsid w:val="00CE1B15"/>
    <w:rsid w:val="00CF147A"/>
    <w:rsid w:val="00D410A1"/>
    <w:rsid w:val="00D420C2"/>
    <w:rsid w:val="00DA51C5"/>
    <w:rsid w:val="00E14BDE"/>
    <w:rsid w:val="00E45772"/>
    <w:rsid w:val="00E5089E"/>
    <w:rsid w:val="00E56D8E"/>
    <w:rsid w:val="00EB72F6"/>
    <w:rsid w:val="00EE5183"/>
    <w:rsid w:val="00F64FA9"/>
    <w:rsid w:val="00F65E8E"/>
    <w:rsid w:val="00F666C3"/>
    <w:rsid w:val="00F74833"/>
    <w:rsid w:val="00FD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74B62-D5D1-4693-B207-C8D7B852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10"/>
    <w:next w:val="a0"/>
    <w:autoRedefine/>
    <w:qFormat/>
    <w:pPr>
      <w:keepNext/>
      <w:overflowPunct w:val="0"/>
      <w:autoSpaceDE w:val="0"/>
      <w:autoSpaceDN w:val="0"/>
      <w:adjustRightInd w:val="0"/>
      <w:spacing w:before="0" w:after="0"/>
      <w:ind w:firstLine="709"/>
      <w:textAlignment w:val="baseline"/>
      <w:outlineLvl w:val="0"/>
    </w:pPr>
    <w:rPr>
      <w:b w:val="0"/>
      <w:bCs w:val="0"/>
      <w:caps w:val="0"/>
      <w:sz w:val="28"/>
    </w:rPr>
  </w:style>
  <w:style w:type="paragraph" w:styleId="2">
    <w:name w:val="heading 2"/>
    <w:basedOn w:val="20"/>
    <w:next w:val="a0"/>
    <w:autoRedefine/>
    <w:qFormat/>
    <w:pPr>
      <w:keepNext/>
      <w:ind w:left="0" w:firstLine="709"/>
      <w:jc w:val="center"/>
      <w:outlineLvl w:val="1"/>
    </w:pPr>
    <w:rPr>
      <w:rFonts w:cs="Arial"/>
      <w:b/>
      <w:bCs/>
      <w:iCs/>
      <w:smallCaps w:val="0"/>
      <w:sz w:val="28"/>
      <w:szCs w:val="28"/>
    </w:rPr>
  </w:style>
  <w:style w:type="paragraph" w:styleId="3">
    <w:name w:val="heading 3"/>
    <w:basedOn w:val="4"/>
    <w:next w:val="a0"/>
    <w:autoRedefine/>
    <w:qFormat/>
    <w:pPr>
      <w:spacing w:before="360" w:after="180"/>
      <w:jc w:val="both"/>
      <w:outlineLvl w:val="2"/>
    </w:pPr>
    <w:rPr>
      <w:rFonts w:cs="Arial"/>
      <w:bCs w:val="0"/>
      <w:szCs w:val="24"/>
    </w:rPr>
  </w:style>
  <w:style w:type="paragraph" w:styleId="4">
    <w:name w:val="heading 4"/>
    <w:basedOn w:val="a0"/>
    <w:next w:val="a0"/>
    <w:autoRedefine/>
    <w:qFormat/>
    <w:pPr>
      <w:keepNext/>
      <w:jc w:val="right"/>
      <w:outlineLvl w:val="3"/>
    </w:pPr>
    <w:rPr>
      <w:b/>
      <w:bCs/>
      <w:szCs w:val="28"/>
    </w:rPr>
  </w:style>
  <w:style w:type="paragraph" w:styleId="5">
    <w:name w:val="heading 5"/>
    <w:basedOn w:val="a0"/>
    <w:next w:val="a0"/>
    <w:autoRedefine/>
    <w:qFormat/>
    <w:pPr>
      <w:jc w:val="right"/>
      <w:outlineLvl w:val="4"/>
    </w:pPr>
    <w:rPr>
      <w:bCs/>
      <w:iCs/>
      <w:szCs w:val="26"/>
    </w:rPr>
  </w:style>
  <w:style w:type="paragraph" w:styleId="7">
    <w:name w:val="heading 7"/>
    <w:basedOn w:val="a0"/>
    <w:next w:val="a0"/>
    <w:autoRedefine/>
    <w:qFormat/>
    <w:pPr>
      <w:jc w:val="right"/>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a"/>
    <w:next w:val="a0"/>
    <w:autoRedefine/>
    <w:pPr>
      <w:numPr>
        <w:numId w:val="0"/>
      </w:numPr>
    </w:pPr>
  </w:style>
  <w:style w:type="paragraph" w:styleId="a">
    <w:name w:val="List Number"/>
    <w:basedOn w:val="a0"/>
    <w:semiHidden/>
    <w:pPr>
      <w:numPr>
        <w:numId w:val="2"/>
      </w:numPr>
    </w:pPr>
  </w:style>
  <w:style w:type="paragraph" w:styleId="20">
    <w:name w:val="toc 2"/>
    <w:basedOn w:val="a0"/>
    <w:next w:val="a0"/>
    <w:autoRedefine/>
    <w:semiHidden/>
    <w:pPr>
      <w:ind w:left="240"/>
    </w:pPr>
    <w:rPr>
      <w:smallCaps/>
      <w:sz w:val="20"/>
      <w:szCs w:val="20"/>
    </w:rPr>
  </w:style>
  <w:style w:type="paragraph" w:styleId="10">
    <w:name w:val="toc 1"/>
    <w:basedOn w:val="a0"/>
    <w:next w:val="a0"/>
    <w:autoRedefine/>
    <w:semiHidden/>
    <w:pPr>
      <w:spacing w:before="120" w:after="120"/>
    </w:pPr>
    <w:rPr>
      <w:b/>
      <w:bCs/>
      <w:caps/>
      <w:sz w:val="20"/>
      <w:szCs w:val="20"/>
    </w:rPr>
  </w:style>
  <w:style w:type="paragraph" w:styleId="30">
    <w:name w:val="toc 3"/>
    <w:basedOn w:val="a0"/>
    <w:next w:val="a0"/>
    <w:autoRedefine/>
    <w:semiHidden/>
    <w:pPr>
      <w:ind w:left="480"/>
    </w:pPr>
    <w:rPr>
      <w:iCs/>
      <w:sz w:val="20"/>
      <w:szCs w:val="20"/>
    </w:rPr>
  </w:style>
  <w:style w:type="paragraph" w:customStyle="1" w:styleId="a5">
    <w:name w:val="Знак Знак Знак Знак Знак Знак Знак"/>
    <w:basedOn w:val="a0"/>
    <w:rPr>
      <w:rFonts w:ascii="Verdana" w:hAnsi="Verdana" w:cs="Verdana"/>
      <w:sz w:val="20"/>
      <w:szCs w:val="20"/>
      <w:lang w:val="en-US" w:eastAsia="en-US"/>
    </w:rPr>
  </w:style>
  <w:style w:type="paragraph" w:styleId="a6">
    <w:name w:val="Body Text"/>
    <w:basedOn w:val="a0"/>
    <w:semiHidden/>
    <w:pPr>
      <w:spacing w:after="120"/>
    </w:pPr>
  </w:style>
  <w:style w:type="paragraph" w:styleId="a7">
    <w:name w:val="Document Map"/>
    <w:basedOn w:val="a0"/>
    <w:semiHidden/>
    <w:pPr>
      <w:shd w:val="clear" w:color="auto" w:fill="000080"/>
    </w:pPr>
    <w:rPr>
      <w:rFonts w:ascii="Tahoma" w:hAnsi="Tahoma" w:cs="Tahoma"/>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styleId="21">
    <w:name w:val="Body Text Indent 2"/>
    <w:basedOn w:val="a0"/>
    <w:semiHidden/>
    <w:pPr>
      <w:spacing w:after="120" w:line="480" w:lineRule="auto"/>
      <w:ind w:left="283"/>
    </w:pPr>
  </w:style>
  <w:style w:type="paragraph" w:styleId="a8">
    <w:name w:val="footer"/>
    <w:basedOn w:val="a0"/>
    <w:semiHidden/>
    <w:pPr>
      <w:tabs>
        <w:tab w:val="center" w:pos="4677"/>
        <w:tab w:val="right" w:pos="9355"/>
      </w:tabs>
    </w:pPr>
  </w:style>
  <w:style w:type="character" w:styleId="a9">
    <w:name w:val="page number"/>
    <w:basedOn w:val="a1"/>
    <w:semiHidden/>
  </w:style>
  <w:style w:type="paragraph" w:styleId="aa">
    <w:name w:val="Balloon Text"/>
    <w:basedOn w:val="a0"/>
    <w:semiHidden/>
    <w:rPr>
      <w:rFonts w:ascii="Tahoma" w:hAnsi="Tahoma" w:cs="Tahoma"/>
      <w:sz w:val="16"/>
      <w:szCs w:val="16"/>
    </w:rPr>
  </w:style>
  <w:style w:type="paragraph" w:customStyle="1" w:styleId="31">
    <w:name w:val="Основной текст 31"/>
    <w:basedOn w:val="a0"/>
    <w:pPr>
      <w:widowControl w:val="0"/>
      <w:ind w:right="-574"/>
      <w:jc w:val="both"/>
    </w:pPr>
    <w:rPr>
      <w:sz w:val="28"/>
      <w:szCs w:val="20"/>
    </w:rPr>
  </w:style>
  <w:style w:type="character" w:customStyle="1" w:styleId="ab">
    <w:name w:val="Гипертекстовая ссылка"/>
    <w:rPr>
      <w:color w:val="008000"/>
    </w:rPr>
  </w:style>
  <w:style w:type="paragraph" w:styleId="ac">
    <w:name w:val="Body Text Indent"/>
    <w:basedOn w:val="a0"/>
    <w:semiHidden/>
    <w:pPr>
      <w:ind w:firstLine="709"/>
      <w:jc w:val="both"/>
    </w:pPr>
    <w:rPr>
      <w:sz w:val="28"/>
      <w:szCs w:val="28"/>
    </w:rPr>
  </w:style>
  <w:style w:type="paragraph" w:styleId="32">
    <w:name w:val="Body Text Indent 3"/>
    <w:basedOn w:val="a0"/>
    <w:semiHidden/>
    <w:pPr>
      <w:spacing w:after="120"/>
      <w:ind w:left="283"/>
    </w:pPr>
    <w:rPr>
      <w:sz w:val="16"/>
      <w:szCs w:val="16"/>
    </w:rPr>
  </w:style>
  <w:style w:type="paragraph" w:customStyle="1" w:styleId="11">
    <w:name w:val="Обычный1"/>
  </w:style>
  <w:style w:type="paragraph" w:styleId="22">
    <w:name w:val="Body Text 2"/>
    <w:basedOn w:val="a0"/>
    <w:semiHidden/>
    <w:pPr>
      <w:spacing w:after="120" w:line="480" w:lineRule="auto"/>
    </w:pPr>
  </w:style>
  <w:style w:type="paragraph" w:styleId="ad">
    <w:name w:val="header"/>
    <w:basedOn w:val="a0"/>
    <w:semiHidden/>
    <w:pPr>
      <w:tabs>
        <w:tab w:val="center" w:pos="4153"/>
        <w:tab w:val="right" w:pos="8306"/>
      </w:tabs>
    </w:pPr>
    <w:rPr>
      <w:rFonts w:ascii="Tahoma" w:hAnsi="Tahoma"/>
    </w:rPr>
  </w:style>
  <w:style w:type="paragraph" w:customStyle="1" w:styleId="Ieieeeieiioeooe">
    <w:name w:val="Ie?iee eieiioeooe"/>
    <w:basedOn w:val="a0"/>
    <w:pPr>
      <w:tabs>
        <w:tab w:val="center" w:pos="4153"/>
        <w:tab w:val="right" w:pos="8306"/>
      </w:tabs>
      <w:autoSpaceDE w:val="0"/>
      <w:autoSpaceDN w:val="0"/>
      <w:adjustRightInd w:val="0"/>
    </w:pPr>
    <w:rPr>
      <w:sz w:val="28"/>
      <w:szCs w:val="28"/>
    </w:rPr>
  </w:style>
  <w:style w:type="character" w:customStyle="1" w:styleId="ae">
    <w:name w:val="Обычный (веб) Знак"/>
    <w:rPr>
      <w:sz w:val="24"/>
      <w:szCs w:val="24"/>
      <w:lang w:val="ru-RU" w:eastAsia="ru-RU" w:bidi="ar-SA"/>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7F5D-1CC1-4100-BA93-6141D17C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4259</Words>
  <Characters>24278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Проверка деятельности УИО в части соблюдения законодательства РФ при приватизации муниципального имущества ЗАТО Северск за период 2008-2009 годы</vt:lpstr>
    </vt:vector>
  </TitlesOfParts>
  <Company>User</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Проверка деятельности УИО в части соблюдения законодательства РФ при приватизации муниципального имущества ЗАТО Северск за период 2008-2009 годы</dc:title>
  <dc:subject/>
  <dc:creator>User</dc:creator>
  <cp:keywords/>
  <dc:description/>
  <cp:lastModifiedBy>Харитонов Е.В.</cp:lastModifiedBy>
  <cp:revision>6</cp:revision>
  <cp:lastPrinted>2010-08-20T06:53:00Z</cp:lastPrinted>
  <dcterms:created xsi:type="dcterms:W3CDTF">2020-02-17T06:08:00Z</dcterms:created>
  <dcterms:modified xsi:type="dcterms:W3CDTF">2021-08-25T05:46:00Z</dcterms:modified>
</cp:coreProperties>
</file>