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34" w:rsidRDefault="003D2F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2F34" w:rsidRDefault="003D2F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2F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F34" w:rsidRDefault="003D2F34">
            <w:pPr>
              <w:pStyle w:val="ConsPlusNormal"/>
            </w:pPr>
            <w: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F34" w:rsidRDefault="003D2F34">
            <w:pPr>
              <w:pStyle w:val="ConsPlusNormal"/>
              <w:jc w:val="right"/>
            </w:pPr>
            <w:r>
              <w:t>N 32</w:t>
            </w:r>
          </w:p>
        </w:tc>
      </w:tr>
    </w:tbl>
    <w:p w:rsidR="003D2F34" w:rsidRDefault="003D2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Title"/>
        <w:jc w:val="center"/>
      </w:pPr>
      <w:r>
        <w:t>ЗАКОН</w:t>
      </w:r>
    </w:p>
    <w:p w:rsidR="003D2F34" w:rsidRDefault="003D2F34">
      <w:pPr>
        <w:pStyle w:val="ConsPlusTitle"/>
        <w:jc w:val="center"/>
      </w:pPr>
    </w:p>
    <w:p w:rsidR="003D2F34" w:rsidRDefault="003D2F34">
      <w:pPr>
        <w:pStyle w:val="ConsPlusTitle"/>
        <w:jc w:val="center"/>
      </w:pPr>
      <w:r>
        <w:t>ЧУВАШСКОЙ РЕСПУБЛИКИ</w:t>
      </w:r>
    </w:p>
    <w:p w:rsidR="003D2F34" w:rsidRDefault="003D2F34">
      <w:pPr>
        <w:pStyle w:val="ConsPlusTitle"/>
        <w:jc w:val="center"/>
      </w:pPr>
    </w:p>
    <w:p w:rsidR="003D2F34" w:rsidRDefault="003D2F34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3D2F34" w:rsidRDefault="003D2F34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3D2F34" w:rsidRDefault="003D2F34">
      <w:pPr>
        <w:pStyle w:val="ConsPlusTitle"/>
        <w:jc w:val="center"/>
      </w:pPr>
      <w:r>
        <w:t>НАЗНАЧЕНИЯ И МАСШТАБНЫЕ ИНВЕСТИЦИОННЫЕ ПРОЕКТЫ,</w:t>
      </w:r>
    </w:p>
    <w:p w:rsidR="003D2F34" w:rsidRDefault="003D2F34">
      <w:pPr>
        <w:pStyle w:val="ConsPlusTitle"/>
        <w:jc w:val="center"/>
      </w:pPr>
      <w:r>
        <w:t>ДЛЯ РАЗМЕЩЕНИЯ (РЕАЛИЗАЦИИ) КОТОРЫХ ДОПУСКАЕТСЯ</w:t>
      </w:r>
    </w:p>
    <w:p w:rsidR="003D2F34" w:rsidRDefault="003D2F34">
      <w:pPr>
        <w:pStyle w:val="ConsPlusTitle"/>
        <w:jc w:val="center"/>
      </w:pPr>
      <w:r>
        <w:t>ПРЕДОСТАВЛЕНИЕ ЗЕМЕЛЬНОГО УЧАСТКА, НАХОДЯЩЕГОСЯ</w:t>
      </w:r>
    </w:p>
    <w:p w:rsidR="003D2F34" w:rsidRDefault="003D2F34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3D2F34" w:rsidRDefault="003D2F34">
      <w:pPr>
        <w:pStyle w:val="ConsPlusTitle"/>
        <w:jc w:val="center"/>
      </w:pPr>
      <w:r>
        <w:t>МУНИЦИПАЛЬНОЙ СОБСТВЕННОСТИ, И ЗЕМЕЛЬНОГО УЧАСТКА,</w:t>
      </w:r>
    </w:p>
    <w:p w:rsidR="003D2F34" w:rsidRDefault="003D2F34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3D2F34" w:rsidRDefault="003D2F34">
      <w:pPr>
        <w:pStyle w:val="ConsPlusTitle"/>
        <w:jc w:val="center"/>
      </w:pPr>
      <w:r>
        <w:t>В АРЕНДУ БЕЗ ПРОВЕДЕНИЯ ТОРГОВ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jc w:val="right"/>
      </w:pPr>
      <w:proofErr w:type="gramStart"/>
      <w:r>
        <w:t>Принят</w:t>
      </w:r>
      <w:proofErr w:type="gramEnd"/>
    </w:p>
    <w:p w:rsidR="003D2F34" w:rsidRDefault="003D2F34">
      <w:pPr>
        <w:pStyle w:val="ConsPlusNormal"/>
        <w:jc w:val="right"/>
      </w:pPr>
      <w:r>
        <w:t>Государственным Советом</w:t>
      </w:r>
    </w:p>
    <w:p w:rsidR="003D2F34" w:rsidRDefault="003D2F34">
      <w:pPr>
        <w:pStyle w:val="ConsPlusNormal"/>
        <w:jc w:val="right"/>
      </w:pPr>
      <w:r>
        <w:t>Чувашской Республики</w:t>
      </w:r>
    </w:p>
    <w:p w:rsidR="003D2F34" w:rsidRDefault="003D2F34">
      <w:pPr>
        <w:pStyle w:val="ConsPlusNormal"/>
        <w:jc w:val="right"/>
      </w:pPr>
      <w:r>
        <w:t>11 июня 2015 года</w:t>
      </w:r>
    </w:p>
    <w:p w:rsidR="003D2F34" w:rsidRDefault="003D2F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2F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F34" w:rsidRDefault="003D2F3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F34" w:rsidRDefault="003D2F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2F34" w:rsidRDefault="003D2F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F34" w:rsidRDefault="003D2F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15.06.2018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20.04.2020 </w:t>
            </w:r>
            <w:hyperlink r:id="rId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F34" w:rsidRDefault="003D2F34"/>
        </w:tc>
      </w:tr>
    </w:tbl>
    <w:p w:rsidR="003D2F34" w:rsidRDefault="003D2F34">
      <w:pPr>
        <w:pStyle w:val="ConsPlusNormal"/>
        <w:jc w:val="both"/>
      </w:pPr>
    </w:p>
    <w:p w:rsidR="003D2F34" w:rsidRDefault="003D2F3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критерии, которым должны соответствовать объекты социально-культурного и коммунально-бытового назначения, а также масштабные инвестиционные проекты, для размещения (реализации) которых в соответствии с распоряжением Главы Чувашской Республики предоставляются юридическим лицам земельные участки, находящиеся в государственной собственности Чувашской Республики, муниципальной собственности, и земельные участки, государственная собственность на которые не разграничена (далее - земельные участки</w:t>
      </w:r>
      <w:proofErr w:type="gramEnd"/>
      <w:r>
        <w:t>), в аренду без проведения торгов.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ind w:firstLine="540"/>
        <w:jc w:val="both"/>
      </w:pPr>
      <w:proofErr w:type="gramStart"/>
      <w:r>
        <w:t>Предоставление земельного участка в аренду без проведения торгов в целях размещения объектов социально-культурного и коммунально-бытового назначения допускается в случае, если такие объекты соответствуют приоритетам и целям, определенным в прогнозах социально-экономического развития Российской Федерации, государственных программах Российской Федерации, государственных программах Чувашской Республики, муниципальных программах.</w:t>
      </w:r>
      <w:proofErr w:type="gramEnd"/>
    </w:p>
    <w:p w:rsidR="003D2F34" w:rsidRDefault="003D2F3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15.06.2018 N 34)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3D2F34" w:rsidRDefault="003D2F34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15.06.2018 N 34)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ind w:firstLine="540"/>
        <w:jc w:val="both"/>
      </w:pPr>
      <w:r>
        <w:lastRenderedPageBreak/>
        <w:t xml:space="preserve">1. Предоставление земельного участка в аренду без проведения торгов в </w:t>
      </w:r>
      <w:proofErr w:type="gramStart"/>
      <w:r>
        <w:t>целях</w:t>
      </w:r>
      <w:proofErr w:type="gramEnd"/>
      <w:r>
        <w:t xml:space="preserve"> реализации масштабных инвестиционных проектов допускается в случаях:</w:t>
      </w:r>
    </w:p>
    <w:p w:rsidR="003D2F34" w:rsidRDefault="003D2F34">
      <w:pPr>
        <w:pStyle w:val="ConsPlusNormal"/>
        <w:spacing w:before="220"/>
        <w:ind w:firstLine="540"/>
        <w:jc w:val="both"/>
      </w:pPr>
      <w:proofErr w:type="gramStart"/>
      <w:r>
        <w:t>1) реализации масштабных инвестиционных проектов (на территориях сельских и городских поселений, городских округов, за исключением города Чебоксары, с объемом собственных и (или) заемных средств инвестора свыше 30,0 млн. рублей, на территории города Чебоксары с объемом собственных и (или) заемных средств инвестора свыше 50,0 млн. рублей) при условии, если такие проекты признаны инвестиционными проектами, имеющими важное экономическое и социальное значение для</w:t>
      </w:r>
      <w:proofErr w:type="gramEnd"/>
      <w:r>
        <w:t xml:space="preserve"> Чувашской Республики, в соответствии с законодательством Чувашской Республики и в соответствии с обосновывающими документами, представленными инициатором инвестиционного проекта,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стоимости, предполагают строительство каких-либо </w:t>
      </w:r>
      <w:proofErr w:type="gramStart"/>
      <w:r>
        <w:t>из</w:t>
      </w:r>
      <w:proofErr w:type="gramEnd"/>
      <w:r>
        <w:t xml:space="preserve"> следующих объектов:</w:t>
      </w:r>
    </w:p>
    <w:p w:rsidR="003D2F34" w:rsidRDefault="003D2F34">
      <w:pPr>
        <w:pStyle w:val="ConsPlusNormal"/>
        <w:spacing w:before="220"/>
        <w:ind w:firstLine="540"/>
        <w:jc w:val="both"/>
      </w:pPr>
      <w:proofErr w:type="gramStart"/>
      <w:r>
        <w:t>а) объекты, размещение которых позволит значительно увеличить количество рабочих мест в течение пяти лет начиная с года начала реализации масштабного инвестиционного проекта в муниципальном образовании, на территории которого они размещаются, - создание не менее 50 новых рабочих мест на территориях сельских и городских поселений, либо не менее 100 новых рабочих мест на территориях городских округов (за исключением города Чебоксары), либо не</w:t>
      </w:r>
      <w:proofErr w:type="gramEnd"/>
      <w:r>
        <w:t xml:space="preserve"> менее 150 новых рабочих мест в городе Чебоксары;</w:t>
      </w:r>
    </w:p>
    <w:p w:rsidR="003D2F34" w:rsidRDefault="003D2F34">
      <w:pPr>
        <w:pStyle w:val="ConsPlusNormal"/>
        <w:spacing w:before="220"/>
        <w:ind w:firstLine="540"/>
        <w:jc w:val="both"/>
      </w:pPr>
      <w:r>
        <w:t>б) объекты, размещение которых позволит значительно увеличить ежегодные поступления от налогов, взимаемых на территории муниципального образования, но не менее чем на 5,0 млн. рублей;</w:t>
      </w:r>
    </w:p>
    <w:p w:rsidR="003D2F34" w:rsidRDefault="003D2F34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2) реализации масштабных инвестиционных проектов в сфере жилищного строительства при условии, если такие проекты в соответствии с обосновывающими документами, представленными инициатором инвестиционного проекта, предполагают строительство каких-либо </w:t>
      </w:r>
      <w:proofErr w:type="gramStart"/>
      <w:r>
        <w:t>из</w:t>
      </w:r>
      <w:proofErr w:type="gramEnd"/>
      <w:r>
        <w:t xml:space="preserve"> следующих объектов:</w:t>
      </w:r>
    </w:p>
    <w:p w:rsidR="003D2F34" w:rsidRDefault="003D2F34">
      <w:pPr>
        <w:pStyle w:val="ConsPlusNormal"/>
        <w:spacing w:before="220"/>
        <w:ind w:firstLine="540"/>
        <w:jc w:val="both"/>
      </w:pPr>
      <w:r>
        <w:t xml:space="preserve">а) индивидуальные жилые дома, многоквартирные дома, передаваемые в собственность или социальный наем гражданам, лишившимся жилого помещения в </w:t>
      </w:r>
      <w:proofErr w:type="gramStart"/>
      <w:r>
        <w:t>результате</w:t>
      </w:r>
      <w:proofErr w:type="gramEnd"/>
      <w:r>
        <w:t xml:space="preserve"> чрезвычайных ситуаций;</w:t>
      </w:r>
    </w:p>
    <w:p w:rsidR="003D2F34" w:rsidRDefault="003D2F34">
      <w:pPr>
        <w:pStyle w:val="ConsPlusNormal"/>
        <w:spacing w:before="220"/>
        <w:ind w:firstLine="540"/>
        <w:jc w:val="both"/>
      </w:pPr>
      <w:proofErr w:type="gramStart"/>
      <w:r>
        <w:t>б) многоквартирный дом на предоставляемом земельном участке с условием исполнения обязательств по завершению строительства многоквартирного дома, расположенного на ином земельном участке и включенного в утвержденный Главой Чувашской Республики план-график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Республики;</w:t>
      </w:r>
      <w:proofErr w:type="gramEnd"/>
    </w:p>
    <w:p w:rsidR="003D2F34" w:rsidRDefault="003D2F34">
      <w:pPr>
        <w:pStyle w:val="ConsPlusNormal"/>
        <w:jc w:val="both"/>
      </w:pPr>
      <w:r>
        <w:t xml:space="preserve">(пп. "б"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20.04.2020 N 28)</w:t>
      </w:r>
    </w:p>
    <w:p w:rsidR="003D2F34" w:rsidRDefault="003D2F34">
      <w:pPr>
        <w:pStyle w:val="ConsPlusNormal"/>
        <w:spacing w:before="220"/>
        <w:ind w:firstLine="540"/>
        <w:jc w:val="both"/>
      </w:pPr>
      <w:r>
        <w:t xml:space="preserve">в) многоквартирный дом на предоставляемом земельном участке с условием удовлетворения требований пострадавших граждан, вытекающих из договора, предусматривающего передачу жилого помещения. </w:t>
      </w: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2</w:t>
        </w:r>
      </w:hyperlink>
      <w:r>
        <w:t xml:space="preserve"> Закона Чувашской Республики от 25 ноября 2011 года N 67 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 к пострадавшим гражданам относятся граждане,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Республики.</w:t>
      </w:r>
      <w:proofErr w:type="gramEnd"/>
    </w:p>
    <w:p w:rsidR="003D2F34" w:rsidRDefault="003D2F34">
      <w:pPr>
        <w:pStyle w:val="ConsPlusNormal"/>
        <w:jc w:val="both"/>
      </w:pPr>
      <w:r>
        <w:t xml:space="preserve">(пп. "в"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20.04.2020 N 28)</w:t>
      </w:r>
    </w:p>
    <w:p w:rsidR="003D2F34" w:rsidRDefault="003D2F34">
      <w:pPr>
        <w:pStyle w:val="ConsPlusNormal"/>
        <w:spacing w:before="220"/>
        <w:ind w:firstLine="540"/>
        <w:jc w:val="both"/>
      </w:pPr>
      <w:r>
        <w:t xml:space="preserve">2. Порядок определения соответствия масштабного инвестиционного проекта критериям, указанным в </w:t>
      </w:r>
      <w:hyperlink w:anchor="P4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части 1</w:t>
        </w:r>
      </w:hyperlink>
      <w:r>
        <w:t xml:space="preserve"> настоящей статьи, устанавливается Кабинетом Министров Чувашской Республики.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D2F34" w:rsidRDefault="003D2F34">
      <w:pPr>
        <w:pStyle w:val="ConsPlusNormal"/>
        <w:jc w:val="right"/>
      </w:pPr>
      <w:r>
        <w:t>Главы Чувашской Республики</w:t>
      </w:r>
    </w:p>
    <w:p w:rsidR="003D2F34" w:rsidRDefault="003D2F34">
      <w:pPr>
        <w:pStyle w:val="ConsPlusNormal"/>
        <w:jc w:val="right"/>
      </w:pPr>
      <w:r>
        <w:t>М.ИГНАТЬЕВ</w:t>
      </w:r>
    </w:p>
    <w:p w:rsidR="003D2F34" w:rsidRDefault="003D2F34">
      <w:pPr>
        <w:pStyle w:val="ConsPlusNormal"/>
      </w:pPr>
      <w:r>
        <w:t>г. Чебоксары</w:t>
      </w:r>
    </w:p>
    <w:p w:rsidR="003D2F34" w:rsidRDefault="003D2F34">
      <w:pPr>
        <w:pStyle w:val="ConsPlusNormal"/>
        <w:spacing w:before="220"/>
      </w:pPr>
      <w:r>
        <w:t>22 июня 2015 года</w:t>
      </w:r>
    </w:p>
    <w:p w:rsidR="003D2F34" w:rsidRDefault="003D2F34">
      <w:pPr>
        <w:pStyle w:val="ConsPlusNormal"/>
        <w:spacing w:before="220"/>
      </w:pPr>
      <w:r>
        <w:t>N 32</w:t>
      </w: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jc w:val="both"/>
      </w:pPr>
    </w:p>
    <w:p w:rsidR="003D2F34" w:rsidRDefault="003D2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1" w:name="_GoBack"/>
      <w:bookmarkEnd w:id="1"/>
    </w:p>
    <w:sectPr w:rsidR="000029B9" w:rsidSect="00D9437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4"/>
    <w:rsid w:val="000029B9"/>
    <w:rsid w:val="001A6CE8"/>
    <w:rsid w:val="0031653B"/>
    <w:rsid w:val="003D2F34"/>
    <w:rsid w:val="00425778"/>
    <w:rsid w:val="00855D4A"/>
    <w:rsid w:val="00903DC5"/>
    <w:rsid w:val="00B16BB2"/>
    <w:rsid w:val="00BE5F7F"/>
    <w:rsid w:val="00C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CF87315BEB6F99D2EC66EFBC11E8937405EF36299A2D272133CB2C1674A8CF488F11406804072538DB48FD0C1109CA575743CaBE7I" TargetMode="External"/><Relationship Id="rId13" Type="http://schemas.openxmlformats.org/officeDocument/2006/relationships/hyperlink" Target="consultantplus://offline/ref=B436CCF87315BEB6F99D30CB78979F1A82341F57FA6697F68826156BED91611FCCB48EA1504286152317D8B88FDE8B40D8EE7A743BA8F69A8DC4FADFa6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6CCF87315BEB6F99D30CB78979F1A82341F57FA6697F68826156BED91611FCCB48EA1504286152317D8B987DE8B40D8EE7A743BA8F69A8DC4FADFa6E5I" TargetMode="External"/><Relationship Id="rId12" Type="http://schemas.openxmlformats.org/officeDocument/2006/relationships/hyperlink" Target="consultantplus://offline/ref=B436CCF87315BEB6F99D30CB78979F1A82341F57FA679AF78D2E156BED91611FCCB48EA1504286152317D8B986DE8B40D8EE7A743BA8F69A8DC4FADFa6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6CCF87315BEB6F99D30CB78979F1A82341F57FA6496F18D21156BED91611FCCB48EA1504286152317D8B987DE8B40D8EE7A743BA8F69A8DC4FADFa6E5I" TargetMode="External"/><Relationship Id="rId11" Type="http://schemas.openxmlformats.org/officeDocument/2006/relationships/hyperlink" Target="consultantplus://offline/ref=B436CCF87315BEB6F99D30CB78979F1A82341F57FA6697F68826156BED91611FCCB48EA1504286152317D8B987DE8B40D8EE7A743BA8F69A8DC4FADFa6E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36CCF87315BEB6F99D30CB78979F1A82341F57FA6496F18D21156BED91611FCCB48EA1504286152317D8B88FDE8B40D8EE7A743BA8F69A8DC4FADFa6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6CCF87315BEB6F99D30CB78979F1A82341F57FA6496F18D21156BED91611FCCB48EA1504286152317D8B986DE8B40D8EE7A743BA8F69A8DC4FADFa6E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2021-10-05T08:04:00Z</dcterms:created>
  <dcterms:modified xsi:type="dcterms:W3CDTF">2021-10-05T08:04:00Z</dcterms:modified>
</cp:coreProperties>
</file>