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432E53" w:rsidRDefault="008B7B67" w:rsidP="008B7B67">
      <w:pPr>
        <w:pStyle w:val="8"/>
        <w:ind w:firstLine="709"/>
        <w:jc w:val="both"/>
        <w:rPr>
          <w:rFonts w:ascii="Arial" w:hAnsi="Arial" w:cs="Arial"/>
          <w:bCs w:val="0"/>
          <w:sz w:val="32"/>
          <w:szCs w:val="32"/>
        </w:rPr>
      </w:pPr>
      <w:r w:rsidRPr="008B7B67">
        <w:rPr>
          <w:noProof/>
          <w:sz w:val="32"/>
          <w:szCs w:val="32"/>
        </w:rPr>
        <mc:AlternateContent>
          <mc:Choice Requires="wpg">
            <w:drawing>
              <wp:anchor distT="0" distB="0" distL="114300" distR="114300" simplePos="0" relativeHeight="251661312" behindDoc="0" locked="0" layoutInCell="1" allowOverlap="1" wp14:anchorId="1018B7B4" wp14:editId="1F4C3DF9">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656206">
        <w:rPr>
          <w:rFonts w:ascii="Arial" w:hAnsi="Arial" w:cs="Arial"/>
          <w:color w:val="001E82"/>
          <w:sz w:val="32"/>
          <w:szCs w:val="32"/>
        </w:rPr>
        <w:t xml:space="preserve">8. </w:t>
      </w:r>
      <w:r w:rsidR="008B0F0B">
        <w:rPr>
          <w:rFonts w:ascii="Arial" w:hAnsi="Arial" w:cs="Arial"/>
          <w:color w:val="001E82"/>
          <w:sz w:val="32"/>
          <w:szCs w:val="32"/>
        </w:rPr>
        <w:t>Потре</w:t>
      </w:r>
      <w:r w:rsidR="008B0F0B" w:rsidRPr="00432E53">
        <w:rPr>
          <w:rFonts w:ascii="Arial" w:hAnsi="Arial" w:cs="Arial"/>
          <w:color w:val="001E82"/>
          <w:sz w:val="32"/>
          <w:szCs w:val="32"/>
        </w:rPr>
        <w:t>бительский рынок</w:t>
      </w:r>
    </w:p>
    <w:p w:rsidR="008B7B67" w:rsidRPr="00432E53" w:rsidRDefault="008B7B67" w:rsidP="00E85EB6">
      <w:pPr>
        <w:ind w:firstLine="708"/>
        <w:jc w:val="both"/>
        <w:rPr>
          <w:rFonts w:ascii="Arial" w:hAnsi="Arial" w:cs="Arial"/>
          <w:bCs/>
        </w:rPr>
      </w:pPr>
    </w:p>
    <w:p w:rsidR="008B7B67" w:rsidRPr="00432E53" w:rsidRDefault="008B7B67" w:rsidP="00E85EB6">
      <w:pPr>
        <w:ind w:firstLine="708"/>
        <w:jc w:val="both"/>
        <w:rPr>
          <w:rFonts w:ascii="Arial" w:hAnsi="Arial" w:cs="Arial"/>
          <w:bCs/>
        </w:rPr>
      </w:pPr>
    </w:p>
    <w:p w:rsidR="00AC3227" w:rsidRPr="00432E53" w:rsidRDefault="00AF3CF3" w:rsidP="00AC3227">
      <w:pPr>
        <w:ind w:firstLine="709"/>
        <w:contextualSpacing/>
        <w:jc w:val="both"/>
        <w:rPr>
          <w:rFonts w:ascii="Arial" w:hAnsi="Arial" w:cs="Arial"/>
          <w:color w:val="000000"/>
        </w:rPr>
      </w:pPr>
      <w:r w:rsidRPr="00AF3CF3">
        <w:rPr>
          <w:rFonts w:ascii="Arial" w:hAnsi="Arial" w:cs="Arial"/>
          <w:color w:val="000000"/>
        </w:rPr>
        <w:t>В Чувашской Республике насчитывается более 6,2 тыс. объектов розничной торговли, 0,9 тыс. объектов общественного питания и 2,3 тыс. объектов бытового обслуживания.</w:t>
      </w:r>
    </w:p>
    <w:p w:rsidR="00AC3227" w:rsidRPr="00432E53" w:rsidRDefault="00AC3227" w:rsidP="00AC3227">
      <w:pPr>
        <w:ind w:firstLine="709"/>
        <w:contextualSpacing/>
        <w:jc w:val="both"/>
        <w:rPr>
          <w:rFonts w:ascii="Arial" w:hAnsi="Arial" w:cs="Arial"/>
          <w:color w:val="000000"/>
        </w:rPr>
      </w:pPr>
      <w:r w:rsidRPr="00432E53">
        <w:rPr>
          <w:rFonts w:ascii="Arial" w:hAnsi="Arial" w:cs="Arial"/>
          <w:color w:val="000000"/>
        </w:rPr>
        <w:t>За 2021 г. динамика показателей развития торговли и сферы платных услуг положительная.</w:t>
      </w:r>
    </w:p>
    <w:p w:rsidR="008B0F0B" w:rsidRPr="00432E53" w:rsidRDefault="008B0F0B" w:rsidP="008B0F0B">
      <w:pPr>
        <w:ind w:firstLine="709"/>
        <w:contextualSpacing/>
        <w:jc w:val="both"/>
        <w:rPr>
          <w:color w:val="000000"/>
        </w:rPr>
      </w:pPr>
    </w:p>
    <w:p w:rsidR="008B0F0B" w:rsidRPr="00432E53" w:rsidRDefault="008B0F0B" w:rsidP="008B0F0B">
      <w:pPr>
        <w:contextualSpacing/>
        <w:jc w:val="both"/>
        <w:rPr>
          <w:color w:val="000000"/>
        </w:rPr>
      </w:pPr>
      <w:r w:rsidRPr="00432E53">
        <w:rPr>
          <w:rFonts w:ascii="Arial" w:hAnsi="Arial" w:cs="Arial"/>
          <w:noProof/>
        </w:rPr>
        <w:drawing>
          <wp:inline distT="0" distB="0" distL="0" distR="0" wp14:anchorId="301D4119" wp14:editId="6D571ADF">
            <wp:extent cx="5936776" cy="2490717"/>
            <wp:effectExtent l="0" t="0" r="698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F0B" w:rsidRPr="00432E53" w:rsidRDefault="008B0F0B" w:rsidP="008B0F0B">
      <w:pPr>
        <w:ind w:firstLine="709"/>
        <w:contextualSpacing/>
        <w:jc w:val="both"/>
        <w:rPr>
          <w:color w:val="000000"/>
        </w:rPr>
      </w:pPr>
    </w:p>
    <w:p w:rsidR="00AC3227" w:rsidRPr="00432E53" w:rsidRDefault="00AC3227" w:rsidP="00AC3227">
      <w:pPr>
        <w:pStyle w:val="af7"/>
        <w:ind w:firstLine="709"/>
        <w:jc w:val="both"/>
        <w:rPr>
          <w:rFonts w:ascii="Arial" w:eastAsia="Times New Roman" w:hAnsi="Arial" w:cs="Arial"/>
          <w:color w:val="000000"/>
          <w:sz w:val="24"/>
          <w:szCs w:val="24"/>
          <w:lang w:eastAsia="ru-RU"/>
        </w:rPr>
      </w:pPr>
      <w:r w:rsidRPr="00432E53">
        <w:rPr>
          <w:rFonts w:ascii="Arial" w:eastAsia="Times New Roman" w:hAnsi="Arial" w:cs="Arial"/>
          <w:color w:val="000000"/>
          <w:sz w:val="24"/>
          <w:szCs w:val="24"/>
          <w:lang w:eastAsia="ru-RU"/>
        </w:rPr>
        <w:t>Общий оборот розничной торговли в 2021 год</w:t>
      </w:r>
      <w:r w:rsidR="003752DD" w:rsidRPr="00432E53">
        <w:rPr>
          <w:rFonts w:ascii="Arial" w:eastAsia="Times New Roman" w:hAnsi="Arial" w:cs="Arial"/>
          <w:color w:val="000000"/>
          <w:sz w:val="24"/>
          <w:szCs w:val="24"/>
          <w:lang w:eastAsia="ru-RU"/>
        </w:rPr>
        <w:t>у</w:t>
      </w:r>
      <w:r w:rsidRPr="00432E53">
        <w:rPr>
          <w:rFonts w:ascii="Arial" w:eastAsia="Times New Roman" w:hAnsi="Arial" w:cs="Arial"/>
          <w:color w:val="000000"/>
          <w:sz w:val="24"/>
          <w:szCs w:val="24"/>
          <w:lang w:eastAsia="ru-RU"/>
        </w:rPr>
        <w:t xml:space="preserve"> составил </w:t>
      </w:r>
      <w:r w:rsidR="003752DD" w:rsidRPr="00432E53">
        <w:rPr>
          <w:rFonts w:ascii="Arial" w:eastAsia="Times New Roman" w:hAnsi="Arial" w:cs="Arial"/>
          <w:color w:val="000000"/>
          <w:sz w:val="24"/>
          <w:szCs w:val="24"/>
          <w:lang w:eastAsia="ru-RU"/>
        </w:rPr>
        <w:t>200932,3</w:t>
      </w:r>
      <w:r w:rsidRPr="00432E53">
        <w:rPr>
          <w:rFonts w:ascii="Arial" w:eastAsia="Times New Roman" w:hAnsi="Arial" w:cs="Arial"/>
          <w:color w:val="000000"/>
          <w:sz w:val="24"/>
          <w:szCs w:val="24"/>
          <w:lang w:eastAsia="ru-RU"/>
        </w:rPr>
        <w:t xml:space="preserve"> млн. ру</w:t>
      </w:r>
      <w:r w:rsidRPr="00432E53">
        <w:rPr>
          <w:rFonts w:ascii="Arial" w:eastAsia="Times New Roman" w:hAnsi="Arial" w:cs="Arial"/>
          <w:color w:val="000000"/>
          <w:sz w:val="24"/>
          <w:szCs w:val="24"/>
          <w:lang w:eastAsia="ru-RU"/>
        </w:rPr>
        <w:t>б</w:t>
      </w:r>
      <w:r w:rsidRPr="00432E53">
        <w:rPr>
          <w:rFonts w:ascii="Arial" w:eastAsia="Times New Roman" w:hAnsi="Arial" w:cs="Arial"/>
          <w:color w:val="000000"/>
          <w:sz w:val="24"/>
          <w:szCs w:val="24"/>
          <w:lang w:eastAsia="ru-RU"/>
        </w:rPr>
        <w:t>лей или 1</w:t>
      </w:r>
      <w:r w:rsidR="003752DD" w:rsidRPr="00432E53">
        <w:rPr>
          <w:rFonts w:ascii="Arial" w:eastAsia="Times New Roman" w:hAnsi="Arial" w:cs="Arial"/>
          <w:color w:val="000000"/>
          <w:sz w:val="24"/>
          <w:szCs w:val="24"/>
          <w:lang w:eastAsia="ru-RU"/>
        </w:rPr>
        <w:t>08,6</w:t>
      </w:r>
      <w:r w:rsidRPr="00432E53">
        <w:rPr>
          <w:rFonts w:ascii="Arial" w:eastAsia="Times New Roman" w:hAnsi="Arial" w:cs="Arial"/>
          <w:color w:val="000000"/>
          <w:sz w:val="24"/>
          <w:szCs w:val="24"/>
          <w:lang w:eastAsia="ru-RU"/>
        </w:rPr>
        <w:t xml:space="preserve">% к </w:t>
      </w:r>
      <w:r w:rsidR="003752DD" w:rsidRPr="00432E53">
        <w:rPr>
          <w:rFonts w:ascii="Arial" w:eastAsia="Times New Roman" w:hAnsi="Arial" w:cs="Arial"/>
          <w:color w:val="000000"/>
          <w:sz w:val="24"/>
          <w:szCs w:val="24"/>
          <w:lang w:eastAsia="ru-RU"/>
        </w:rPr>
        <w:t>2020 году</w:t>
      </w:r>
      <w:r w:rsidRPr="00432E53">
        <w:rPr>
          <w:rFonts w:ascii="Arial" w:eastAsia="Times New Roman" w:hAnsi="Arial" w:cs="Arial"/>
          <w:color w:val="000000"/>
          <w:sz w:val="24"/>
          <w:szCs w:val="24"/>
          <w:lang w:eastAsia="ru-RU"/>
        </w:rPr>
        <w:t xml:space="preserve"> (по России – 10</w:t>
      </w:r>
      <w:r w:rsidR="003752DD" w:rsidRPr="00432E53">
        <w:rPr>
          <w:rFonts w:ascii="Arial" w:eastAsia="Times New Roman" w:hAnsi="Arial" w:cs="Arial"/>
          <w:color w:val="000000"/>
          <w:sz w:val="24"/>
          <w:szCs w:val="24"/>
          <w:lang w:eastAsia="ru-RU"/>
        </w:rPr>
        <w:t>7,3</w:t>
      </w:r>
      <w:r w:rsidRPr="00432E53">
        <w:rPr>
          <w:rFonts w:ascii="Arial" w:eastAsia="Times New Roman" w:hAnsi="Arial" w:cs="Arial"/>
          <w:color w:val="000000"/>
          <w:sz w:val="24"/>
          <w:szCs w:val="24"/>
          <w:lang w:eastAsia="ru-RU"/>
        </w:rPr>
        <w:t xml:space="preserve">%, по ПФО – </w:t>
      </w:r>
      <w:r w:rsidRPr="00432E53">
        <w:rPr>
          <w:rFonts w:ascii="Arial" w:eastAsia="Times New Roman" w:hAnsi="Arial" w:cs="Arial"/>
          <w:sz w:val="24"/>
          <w:szCs w:val="24"/>
          <w:lang w:eastAsia="ru-RU"/>
        </w:rPr>
        <w:t>10</w:t>
      </w:r>
      <w:r w:rsidR="003752DD" w:rsidRPr="00432E53">
        <w:rPr>
          <w:rFonts w:ascii="Arial" w:eastAsia="Times New Roman" w:hAnsi="Arial" w:cs="Arial"/>
          <w:sz w:val="24"/>
          <w:szCs w:val="24"/>
          <w:lang w:eastAsia="ru-RU"/>
        </w:rPr>
        <w:t>5,4</w:t>
      </w:r>
      <w:r w:rsidRPr="00432E53">
        <w:rPr>
          <w:rFonts w:ascii="Arial" w:eastAsia="Times New Roman" w:hAnsi="Arial" w:cs="Arial"/>
          <w:color w:val="000000"/>
          <w:sz w:val="24"/>
          <w:szCs w:val="24"/>
          <w:lang w:eastAsia="ru-RU"/>
        </w:rPr>
        <w:t>%).</w:t>
      </w:r>
    </w:p>
    <w:p w:rsidR="0066144E" w:rsidRPr="00432E53" w:rsidRDefault="0066144E" w:rsidP="0066144E">
      <w:pPr>
        <w:ind w:firstLine="708"/>
        <w:jc w:val="both"/>
        <w:rPr>
          <w:rFonts w:ascii="Arial" w:hAnsi="Arial" w:cs="Arial"/>
          <w:color w:val="000000"/>
        </w:rPr>
      </w:pPr>
      <w:r w:rsidRPr="00432E53">
        <w:rPr>
          <w:rFonts w:ascii="Arial" w:hAnsi="Arial" w:cs="Arial"/>
          <w:color w:val="000000"/>
        </w:rPr>
        <w:t>В сфере розничной торговли сохраняется тенденция опережающего роста объема продаж непродовольственных товаров. В структуре оборота розничной торговли удельный вес пищевых продуктов, включая напитки, и табачных изделий в январе-</w:t>
      </w:r>
      <w:r w:rsidR="003752DD" w:rsidRPr="00432E53">
        <w:rPr>
          <w:rFonts w:ascii="Arial" w:hAnsi="Arial" w:cs="Arial"/>
          <w:color w:val="000000"/>
        </w:rPr>
        <w:t>декабре</w:t>
      </w:r>
      <w:r w:rsidRPr="00432E53">
        <w:rPr>
          <w:rFonts w:ascii="Arial" w:hAnsi="Arial" w:cs="Arial"/>
          <w:color w:val="000000"/>
        </w:rPr>
        <w:t xml:space="preserve"> 2021 года составил 4</w:t>
      </w:r>
      <w:r w:rsidR="006432A5" w:rsidRPr="00432E53">
        <w:rPr>
          <w:rFonts w:ascii="Arial" w:hAnsi="Arial" w:cs="Arial"/>
          <w:color w:val="000000"/>
        </w:rPr>
        <w:t>6,4</w:t>
      </w:r>
      <w:r w:rsidRPr="00432E53">
        <w:rPr>
          <w:rFonts w:ascii="Arial" w:hAnsi="Arial" w:cs="Arial"/>
          <w:color w:val="000000"/>
        </w:rPr>
        <w:t xml:space="preserve">% (в </w:t>
      </w:r>
      <w:r w:rsidR="006432A5" w:rsidRPr="00432E53">
        <w:rPr>
          <w:rFonts w:ascii="Arial" w:hAnsi="Arial" w:cs="Arial"/>
          <w:color w:val="000000"/>
        </w:rPr>
        <w:t xml:space="preserve">январе-декабре </w:t>
      </w:r>
      <w:r w:rsidRPr="00432E53">
        <w:rPr>
          <w:rFonts w:ascii="Arial" w:hAnsi="Arial" w:cs="Arial"/>
          <w:color w:val="000000"/>
        </w:rPr>
        <w:t>2020 год</w:t>
      </w:r>
      <w:r w:rsidR="006432A5" w:rsidRPr="00432E53">
        <w:rPr>
          <w:rFonts w:ascii="Arial" w:hAnsi="Arial" w:cs="Arial"/>
          <w:color w:val="000000"/>
        </w:rPr>
        <w:t>а</w:t>
      </w:r>
      <w:r w:rsidRPr="00432E53">
        <w:rPr>
          <w:rFonts w:ascii="Arial" w:hAnsi="Arial" w:cs="Arial"/>
          <w:color w:val="000000"/>
        </w:rPr>
        <w:t xml:space="preserve"> – </w:t>
      </w:r>
      <w:r w:rsidR="006432A5" w:rsidRPr="00432E53">
        <w:rPr>
          <w:rFonts w:ascii="Arial" w:hAnsi="Arial" w:cs="Arial"/>
        </w:rPr>
        <w:t>49,8</w:t>
      </w:r>
      <w:r w:rsidRPr="00432E53">
        <w:rPr>
          <w:rFonts w:ascii="Arial" w:hAnsi="Arial" w:cs="Arial"/>
          <w:color w:val="000000"/>
        </w:rPr>
        <w:t>%), непродовольственных товаров – 5</w:t>
      </w:r>
      <w:r w:rsidR="006432A5" w:rsidRPr="00432E53">
        <w:rPr>
          <w:rFonts w:ascii="Arial" w:hAnsi="Arial" w:cs="Arial"/>
          <w:color w:val="000000"/>
        </w:rPr>
        <w:t>3,6</w:t>
      </w:r>
      <w:r w:rsidRPr="00432E53">
        <w:rPr>
          <w:rFonts w:ascii="Arial" w:hAnsi="Arial" w:cs="Arial"/>
          <w:color w:val="000000"/>
        </w:rPr>
        <w:t xml:space="preserve">% (соответственно </w:t>
      </w:r>
      <w:r w:rsidR="006432A5" w:rsidRPr="00432E53">
        <w:rPr>
          <w:rFonts w:ascii="Arial" w:hAnsi="Arial" w:cs="Arial"/>
          <w:color w:val="000000"/>
        </w:rPr>
        <w:t>50,2</w:t>
      </w:r>
      <w:r w:rsidRPr="00432E53">
        <w:rPr>
          <w:rFonts w:ascii="Arial" w:hAnsi="Arial" w:cs="Arial"/>
          <w:color w:val="000000"/>
        </w:rPr>
        <w:t>%). Прев</w:t>
      </w:r>
      <w:r w:rsidRPr="00432E53">
        <w:rPr>
          <w:rFonts w:ascii="Arial" w:hAnsi="Arial" w:cs="Arial"/>
          <w:color w:val="000000"/>
        </w:rPr>
        <w:t>ы</w:t>
      </w:r>
      <w:r w:rsidRPr="00432E53">
        <w:rPr>
          <w:rFonts w:ascii="Arial" w:hAnsi="Arial" w:cs="Arial"/>
          <w:color w:val="000000"/>
        </w:rPr>
        <w:t>шение доли непродовольственных товаров в общем объеме товарооборота явл</w:t>
      </w:r>
      <w:r w:rsidRPr="00432E53">
        <w:rPr>
          <w:rFonts w:ascii="Arial" w:hAnsi="Arial" w:cs="Arial"/>
          <w:color w:val="000000"/>
        </w:rPr>
        <w:t>я</w:t>
      </w:r>
      <w:r w:rsidRPr="00432E53">
        <w:rPr>
          <w:rFonts w:ascii="Arial" w:hAnsi="Arial" w:cs="Arial"/>
          <w:color w:val="000000"/>
        </w:rPr>
        <w:t>ется положительным показателем структуры розничного товарооборота и хара</w:t>
      </w:r>
      <w:r w:rsidRPr="00432E53">
        <w:rPr>
          <w:rFonts w:ascii="Arial" w:hAnsi="Arial" w:cs="Arial"/>
          <w:color w:val="000000"/>
        </w:rPr>
        <w:t>к</w:t>
      </w:r>
      <w:r w:rsidRPr="00432E53">
        <w:rPr>
          <w:rFonts w:ascii="Arial" w:hAnsi="Arial" w:cs="Arial"/>
          <w:color w:val="000000"/>
        </w:rPr>
        <w:t xml:space="preserve">теризует благоприятные изменения в уровне потребления населения. </w:t>
      </w:r>
    </w:p>
    <w:p w:rsidR="008B4953" w:rsidRPr="00432E53" w:rsidRDefault="008B4953" w:rsidP="0064709B">
      <w:pPr>
        <w:ind w:firstLine="709"/>
        <w:contextualSpacing/>
        <w:jc w:val="both"/>
        <w:rPr>
          <w:rFonts w:ascii="Arial" w:hAnsi="Arial" w:cs="Arial"/>
          <w:color w:val="000000"/>
        </w:rPr>
      </w:pPr>
    </w:p>
    <w:p w:rsidR="002873D6" w:rsidRPr="00432E53" w:rsidRDefault="008B4953" w:rsidP="002873D6">
      <w:pPr>
        <w:contextualSpacing/>
        <w:jc w:val="center"/>
        <w:rPr>
          <w:rFonts w:ascii="Arial" w:hAnsi="Arial" w:cs="Arial"/>
          <w:b/>
          <w:bCs/>
          <w:color w:val="000000"/>
          <w:sz w:val="26"/>
          <w:szCs w:val="26"/>
        </w:rPr>
      </w:pPr>
      <w:r w:rsidRPr="00432E53">
        <w:rPr>
          <w:rFonts w:ascii="Arial" w:hAnsi="Arial" w:cs="Arial"/>
          <w:b/>
          <w:bCs/>
          <w:color w:val="000000"/>
          <w:sz w:val="26"/>
          <w:szCs w:val="26"/>
        </w:rPr>
        <w:t>Структура розничного товарооборота</w:t>
      </w:r>
      <w:r w:rsidR="00FE14C1" w:rsidRPr="00432E53">
        <w:rPr>
          <w:rFonts w:ascii="Arial" w:hAnsi="Arial" w:cs="Arial"/>
          <w:b/>
          <w:bCs/>
          <w:color w:val="000000"/>
          <w:sz w:val="26"/>
          <w:szCs w:val="26"/>
        </w:rPr>
        <w:t xml:space="preserve"> </w:t>
      </w:r>
      <w:r w:rsidR="0066144E" w:rsidRPr="00432E53">
        <w:rPr>
          <w:rFonts w:ascii="Arial" w:hAnsi="Arial" w:cs="Arial"/>
          <w:b/>
          <w:bCs/>
          <w:color w:val="000000"/>
          <w:sz w:val="26"/>
          <w:szCs w:val="26"/>
        </w:rPr>
        <w:t xml:space="preserve">за </w:t>
      </w:r>
      <w:r w:rsidRPr="00432E53">
        <w:rPr>
          <w:rFonts w:ascii="Arial" w:hAnsi="Arial" w:cs="Arial"/>
          <w:b/>
          <w:bCs/>
          <w:color w:val="000000"/>
          <w:sz w:val="26"/>
          <w:szCs w:val="26"/>
        </w:rPr>
        <w:t>2021</w:t>
      </w:r>
      <w:r w:rsidR="00FE14C1" w:rsidRPr="00432E53">
        <w:rPr>
          <w:rFonts w:ascii="Arial" w:hAnsi="Arial" w:cs="Arial"/>
          <w:b/>
          <w:bCs/>
          <w:color w:val="000000"/>
          <w:sz w:val="26"/>
          <w:szCs w:val="26"/>
        </w:rPr>
        <w:t xml:space="preserve"> г</w:t>
      </w:r>
      <w:r w:rsidR="006432A5" w:rsidRPr="00432E53">
        <w:rPr>
          <w:rFonts w:ascii="Arial" w:hAnsi="Arial" w:cs="Arial"/>
          <w:b/>
          <w:bCs/>
          <w:color w:val="000000"/>
          <w:sz w:val="26"/>
          <w:szCs w:val="26"/>
        </w:rPr>
        <w:t>од</w:t>
      </w:r>
    </w:p>
    <w:p w:rsidR="00FE14C1" w:rsidRPr="00432E53" w:rsidRDefault="006432A5" w:rsidP="002873D6">
      <w:pPr>
        <w:contextualSpacing/>
        <w:jc w:val="center"/>
        <w:rPr>
          <w:rFonts w:ascii="Arial" w:hAnsi="Arial" w:cs="Arial"/>
          <w:color w:val="000000"/>
        </w:rPr>
      </w:pPr>
      <w:r w:rsidRPr="00432E53">
        <w:rPr>
          <w:rFonts w:ascii="Arial" w:hAnsi="Arial" w:cs="Arial"/>
          <w:noProof/>
          <w:color w:val="000000"/>
        </w:rPr>
        <w:drawing>
          <wp:anchor distT="0" distB="0" distL="114300" distR="114300" simplePos="0" relativeHeight="251678720" behindDoc="0" locked="0" layoutInCell="1" allowOverlap="1" wp14:anchorId="41AEBF18" wp14:editId="67E5CCB7">
            <wp:simplePos x="0" y="0"/>
            <wp:positionH relativeFrom="column">
              <wp:posOffset>349388</wp:posOffset>
            </wp:positionH>
            <wp:positionV relativeFrom="paragraph">
              <wp:posOffset>1004046</wp:posOffset>
            </wp:positionV>
            <wp:extent cx="334645" cy="334645"/>
            <wp:effectExtent l="0" t="0" r="8255" b="8255"/>
            <wp:wrapNone/>
            <wp:docPr id="8" name="Picture 16" descr="еда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еда значо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32E53">
        <w:rPr>
          <w:rFonts w:ascii="Arial" w:hAnsi="Arial" w:cs="Arial"/>
          <w:b/>
          <w:bCs/>
          <w:noProof/>
        </w:rPr>
        <mc:AlternateContent>
          <mc:Choice Requires="wps">
            <w:drawing>
              <wp:anchor distT="0" distB="0" distL="114300" distR="114300" simplePos="0" relativeHeight="251673600" behindDoc="0" locked="0" layoutInCell="1" allowOverlap="1" wp14:anchorId="75EB6FE1" wp14:editId="642FFE0D">
                <wp:simplePos x="0" y="0"/>
                <wp:positionH relativeFrom="column">
                  <wp:posOffset>3961130</wp:posOffset>
                </wp:positionH>
                <wp:positionV relativeFrom="paragraph">
                  <wp:posOffset>847725</wp:posOffset>
                </wp:positionV>
                <wp:extent cx="1300480" cy="574675"/>
                <wp:effectExtent l="0" t="0" r="0" b="0"/>
                <wp:wrapNone/>
                <wp:docPr id="14" name="Прямоугольник 63"/>
                <wp:cNvGraphicFramePr/>
                <a:graphic xmlns:a="http://schemas.openxmlformats.org/drawingml/2006/main">
                  <a:graphicData uri="http://schemas.microsoft.com/office/word/2010/wordprocessingShape">
                    <wps:wsp>
                      <wps:cNvSpPr/>
                      <wps:spPr>
                        <a:xfrm>
                          <a:off x="0" y="0"/>
                          <a:ext cx="1300480" cy="574675"/>
                        </a:xfrm>
                        <a:prstGeom prst="rect">
                          <a:avLst/>
                        </a:prstGeom>
                      </wps:spPr>
                      <wps:txbx>
                        <w:txbxContent>
                          <w:p w:rsidR="00011A57" w:rsidRPr="00A45401"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Непродовол</w:t>
                            </w:r>
                            <w:r w:rsidRPr="00A45401">
                              <w:rPr>
                                <w:rFonts w:ascii="Arial" w:eastAsia="Roboto" w:hAnsi="Arial" w:cs="Arial"/>
                                <w:color w:val="000000"/>
                                <w:kern w:val="24"/>
                                <w:sz w:val="21"/>
                                <w:szCs w:val="21"/>
                              </w:rPr>
                              <w:t>ь</w:t>
                            </w:r>
                            <w:r w:rsidRPr="00A45401">
                              <w:rPr>
                                <w:rFonts w:ascii="Arial" w:eastAsia="Roboto" w:hAnsi="Arial" w:cs="Arial"/>
                                <w:color w:val="000000"/>
                                <w:kern w:val="24"/>
                                <w:sz w:val="21"/>
                                <w:szCs w:val="21"/>
                              </w:rPr>
                              <w:t>ственные</w:t>
                            </w:r>
                          </w:p>
                          <w:p w:rsidR="00011A57" w:rsidRPr="00A45401" w:rsidRDefault="00011A57" w:rsidP="002873D6">
                            <w:pPr>
                              <w:pStyle w:val="a8"/>
                              <w:spacing w:before="0" w:beforeAutospacing="0" w:after="0" w:afterAutospacing="0"/>
                              <w:jc w:val="center"/>
                              <w:rPr>
                                <w:rFonts w:ascii="Arial" w:hAnsi="Arial" w:cs="Arial"/>
                                <w:sz w:val="21"/>
                                <w:szCs w:val="21"/>
                              </w:rPr>
                            </w:pPr>
                            <w:r w:rsidRPr="00A45401">
                              <w:rPr>
                                <w:rFonts w:ascii="Arial" w:eastAsia="Roboto" w:hAnsi="Arial" w:cs="Arial"/>
                                <w:color w:val="000000"/>
                                <w:kern w:val="24"/>
                                <w:sz w:val="21"/>
                                <w:szCs w:val="21"/>
                              </w:rPr>
                              <w:t>товары</w:t>
                            </w:r>
                          </w:p>
                        </w:txbxContent>
                      </wps:txbx>
                      <wps:bodyPr wrap="square" lIns="91346" tIns="45684" rIns="91346" bIns="45684">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left:0;text-align:left;margin-left:311.9pt;margin-top:66.75pt;width:102.4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" filled="f" stroked="f">
                <v:textbox inset="2.53739mm,1.269mm,2.53739mm,1.269mm">
                  <w:txbxContent>
                    <w:p w:rsidR="00011A57" w:rsidRPr="00A45401"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Непродовол</w:t>
                      </w:r>
                      <w:r w:rsidRPr="00A45401">
                        <w:rPr>
                          <w:rFonts w:ascii="Arial" w:eastAsia="Roboto" w:hAnsi="Arial" w:cs="Arial"/>
                          <w:color w:val="000000"/>
                          <w:kern w:val="24"/>
                          <w:sz w:val="21"/>
                          <w:szCs w:val="21"/>
                        </w:rPr>
                        <w:t>ь</w:t>
                      </w:r>
                      <w:r w:rsidRPr="00A45401">
                        <w:rPr>
                          <w:rFonts w:ascii="Arial" w:eastAsia="Roboto" w:hAnsi="Arial" w:cs="Arial"/>
                          <w:color w:val="000000"/>
                          <w:kern w:val="24"/>
                          <w:sz w:val="21"/>
                          <w:szCs w:val="21"/>
                        </w:rPr>
                        <w:t>ственные</w:t>
                      </w:r>
                    </w:p>
                    <w:p w:rsidR="00011A57" w:rsidRPr="00A45401" w:rsidRDefault="00011A57" w:rsidP="002873D6">
                      <w:pPr>
                        <w:pStyle w:val="a8"/>
                        <w:spacing w:before="0" w:beforeAutospacing="0" w:after="0" w:afterAutospacing="0"/>
                        <w:jc w:val="center"/>
                        <w:rPr>
                          <w:rFonts w:ascii="Arial" w:hAnsi="Arial" w:cs="Arial"/>
                          <w:sz w:val="21"/>
                          <w:szCs w:val="21"/>
                        </w:rPr>
                      </w:pPr>
                      <w:r w:rsidRPr="00A45401">
                        <w:rPr>
                          <w:rFonts w:ascii="Arial" w:eastAsia="Roboto" w:hAnsi="Arial" w:cs="Arial"/>
                          <w:color w:val="000000"/>
                          <w:kern w:val="24"/>
                          <w:sz w:val="21"/>
                          <w:szCs w:val="21"/>
                        </w:rPr>
                        <w:t>товары</w:t>
                      </w:r>
                    </w:p>
                  </w:txbxContent>
                </v:textbox>
              </v:rect>
            </w:pict>
          </mc:Fallback>
        </mc:AlternateContent>
      </w:r>
      <w:r w:rsidRPr="00432E53">
        <w:rPr>
          <w:rFonts w:ascii="Arial" w:hAnsi="Arial" w:cs="Arial"/>
          <w:noProof/>
          <w:color w:val="000000"/>
        </w:rPr>
        <w:drawing>
          <wp:anchor distT="0" distB="0" distL="114300" distR="114300" simplePos="0" relativeHeight="251676672" behindDoc="0" locked="0" layoutInCell="1" allowOverlap="1" wp14:anchorId="2032278B" wp14:editId="3F23CBC6">
            <wp:simplePos x="0" y="0"/>
            <wp:positionH relativeFrom="column">
              <wp:posOffset>5319395</wp:posOffset>
            </wp:positionH>
            <wp:positionV relativeFrom="paragraph">
              <wp:posOffset>923925</wp:posOffset>
            </wp:positionV>
            <wp:extent cx="361950" cy="368935"/>
            <wp:effectExtent l="0" t="0" r="0" b="0"/>
            <wp:wrapNone/>
            <wp:docPr id="1040" name="Picture 16" descr="http://cdn.onlinewebfonts.com/svg/img_560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cdn.onlinewebfonts.com/svg/img_56079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89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32E53">
        <w:rPr>
          <w:rFonts w:ascii="Arial" w:hAnsi="Arial" w:cs="Arial"/>
          <w:b/>
          <w:bCs/>
          <w:noProof/>
        </w:rPr>
        <mc:AlternateContent>
          <mc:Choice Requires="wps">
            <w:drawing>
              <wp:anchor distT="0" distB="0" distL="114300" distR="114300" simplePos="0" relativeHeight="251667456" behindDoc="0" locked="0" layoutInCell="1" allowOverlap="1" wp14:anchorId="5B4D4152" wp14:editId="3DCFD130">
                <wp:simplePos x="0" y="0"/>
                <wp:positionH relativeFrom="column">
                  <wp:posOffset>630555</wp:posOffset>
                </wp:positionH>
                <wp:positionV relativeFrom="paragraph">
                  <wp:posOffset>807085</wp:posOffset>
                </wp:positionV>
                <wp:extent cx="1589405" cy="609600"/>
                <wp:effectExtent l="0" t="0" r="0" b="0"/>
                <wp:wrapNone/>
                <wp:docPr id="10" name="Прямоугольник 63"/>
                <wp:cNvGraphicFramePr/>
                <a:graphic xmlns:a="http://schemas.openxmlformats.org/drawingml/2006/main">
                  <a:graphicData uri="http://schemas.microsoft.com/office/word/2010/wordprocessingShape">
                    <wps:wsp>
                      <wps:cNvSpPr/>
                      <wps:spPr>
                        <a:xfrm>
                          <a:off x="0" y="0"/>
                          <a:ext cx="1589405" cy="609600"/>
                        </a:xfrm>
                        <a:prstGeom prst="rect">
                          <a:avLst/>
                        </a:prstGeom>
                      </wps:spPr>
                      <wps:txbx>
                        <w:txbxContent>
                          <w:p w:rsidR="00011A57"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П</w:t>
                            </w:r>
                            <w:r>
                              <w:rPr>
                                <w:rFonts w:ascii="Arial" w:eastAsia="Roboto" w:hAnsi="Arial" w:cs="Arial"/>
                                <w:color w:val="000000"/>
                                <w:kern w:val="24"/>
                                <w:sz w:val="21"/>
                                <w:szCs w:val="21"/>
                              </w:rPr>
                              <w:t>ищевые</w:t>
                            </w:r>
                          </w:p>
                          <w:p w:rsidR="00011A57" w:rsidRPr="00A45401" w:rsidRDefault="00011A57" w:rsidP="002873D6">
                            <w:pPr>
                              <w:pStyle w:val="a8"/>
                              <w:spacing w:before="0" w:beforeAutospacing="0" w:after="0" w:afterAutospacing="0"/>
                              <w:jc w:val="center"/>
                              <w:rPr>
                                <w:rFonts w:ascii="Arial" w:hAnsi="Arial" w:cs="Arial"/>
                                <w:sz w:val="21"/>
                                <w:szCs w:val="21"/>
                              </w:rPr>
                            </w:pPr>
                            <w:r>
                              <w:rPr>
                                <w:rFonts w:ascii="Arial" w:eastAsia="Roboto" w:hAnsi="Arial" w:cs="Arial"/>
                                <w:color w:val="000000"/>
                                <w:kern w:val="24"/>
                                <w:sz w:val="21"/>
                                <w:szCs w:val="21"/>
                              </w:rPr>
                              <w:t>продукты, включая напитки</w:t>
                            </w:r>
                          </w:p>
                        </w:txbxContent>
                      </wps:txbx>
                      <wps:bodyPr wrap="square" lIns="91346" tIns="45684" rIns="91346" bIns="45684">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9.65pt;margin-top:63.55pt;width:125.1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" filled="f" stroked="f">
                <v:textbox inset="2.53739mm,1.269mm,2.53739mm,1.269mm">
                  <w:txbxContent>
                    <w:p w:rsidR="00011A57"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П</w:t>
                      </w:r>
                      <w:r>
                        <w:rPr>
                          <w:rFonts w:ascii="Arial" w:eastAsia="Roboto" w:hAnsi="Arial" w:cs="Arial"/>
                          <w:color w:val="000000"/>
                          <w:kern w:val="24"/>
                          <w:sz w:val="21"/>
                          <w:szCs w:val="21"/>
                        </w:rPr>
                        <w:t>ищевые</w:t>
                      </w:r>
                    </w:p>
                    <w:p w:rsidR="00011A57" w:rsidRPr="00A45401" w:rsidRDefault="00011A57" w:rsidP="002873D6">
                      <w:pPr>
                        <w:pStyle w:val="a8"/>
                        <w:spacing w:before="0" w:beforeAutospacing="0" w:after="0" w:afterAutospacing="0"/>
                        <w:jc w:val="center"/>
                        <w:rPr>
                          <w:rFonts w:ascii="Arial" w:hAnsi="Arial" w:cs="Arial"/>
                          <w:sz w:val="21"/>
                          <w:szCs w:val="21"/>
                        </w:rPr>
                      </w:pPr>
                      <w:r>
                        <w:rPr>
                          <w:rFonts w:ascii="Arial" w:eastAsia="Roboto" w:hAnsi="Arial" w:cs="Arial"/>
                          <w:color w:val="000000"/>
                          <w:kern w:val="24"/>
                          <w:sz w:val="21"/>
                          <w:szCs w:val="21"/>
                        </w:rPr>
                        <w:t>продукты, включая напитки</w:t>
                      </w:r>
                    </w:p>
                  </w:txbxContent>
                </v:textbox>
              </v:rect>
            </w:pict>
          </mc:Fallback>
        </mc:AlternateContent>
      </w:r>
      <w:r w:rsidR="00962D66" w:rsidRPr="00432E53">
        <w:rPr>
          <w:rFonts w:ascii="Arial" w:hAnsi="Arial" w:cs="Arial"/>
          <w:noProof/>
          <w:color w:val="000000"/>
        </w:rPr>
        <mc:AlternateContent>
          <mc:Choice Requires="wps">
            <w:drawing>
              <wp:anchor distT="0" distB="0" distL="114300" distR="114300" simplePos="0" relativeHeight="251675648" behindDoc="0" locked="0" layoutInCell="1" allowOverlap="1" wp14:anchorId="6898F594" wp14:editId="4F12121F">
                <wp:simplePos x="0" y="0"/>
                <wp:positionH relativeFrom="column">
                  <wp:posOffset>238760</wp:posOffset>
                </wp:positionH>
                <wp:positionV relativeFrom="paragraph">
                  <wp:posOffset>889000</wp:posOffset>
                </wp:positionV>
                <wp:extent cx="549910" cy="549910"/>
                <wp:effectExtent l="0" t="0" r="21590" b="21590"/>
                <wp:wrapNone/>
                <wp:docPr id="15" name="Овал 14"/>
                <wp:cNvGraphicFramePr/>
                <a:graphic xmlns:a="http://schemas.openxmlformats.org/drawingml/2006/main">
                  <a:graphicData uri="http://schemas.microsoft.com/office/word/2010/wordprocessingShape">
                    <wps:wsp>
                      <wps:cNvSpPr/>
                      <wps:spPr>
                        <a:xfrm>
                          <a:off x="0" y="0"/>
                          <a:ext cx="549910" cy="549910"/>
                        </a:xfrm>
                        <a:prstGeom prst="ellipse">
                          <a:avLst/>
                        </a:prstGeom>
                        <a:solidFill>
                          <a:sysClr val="window" lastClr="FFFFFF"/>
                        </a:solidFill>
                        <a:ln w="25400" cap="flat" cmpd="sng" algn="ctr">
                          <a:solidFill>
                            <a:srgbClr val="001E82"/>
                          </a:solidFill>
                          <a:prstDash val="solid"/>
                        </a:ln>
                        <a:effectLst/>
                      </wps:spPr>
                      <wps:bodyPr lIns="91372" tIns="45686" rIns="91372" bIns="45686" rtlCol="0" anchor="ctr"/>
                    </wps:wsp>
                  </a:graphicData>
                </a:graphic>
              </wp:anchor>
            </w:drawing>
          </mc:Choice>
          <mc:Fallback>
            <w:pict>
              <v:oval id="Овал 14" o:spid="_x0000_s1026" style="position:absolute;margin-left:18.8pt;margin-top:70pt;width:43.3pt;height:43.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" fillcolor="window" strokecolor="#001e82" strokeweight="2pt">
                <v:textbox inset="2.53811mm,1.2691mm,2.53811mm,1.2691mm"/>
              </v:oval>
            </w:pict>
          </mc:Fallback>
        </mc:AlternateContent>
      </w:r>
      <w:r w:rsidR="00962D66" w:rsidRPr="00432E53">
        <w:rPr>
          <w:rFonts w:ascii="Arial" w:hAnsi="Arial" w:cs="Arial"/>
          <w:noProof/>
          <w:color w:val="000000"/>
        </w:rPr>
        <mc:AlternateContent>
          <mc:Choice Requires="wps">
            <w:drawing>
              <wp:anchor distT="0" distB="0" distL="114300" distR="114300" simplePos="0" relativeHeight="251677696" behindDoc="0" locked="0" layoutInCell="1" allowOverlap="1" wp14:anchorId="034E038F" wp14:editId="62EB45AF">
                <wp:simplePos x="0" y="0"/>
                <wp:positionH relativeFrom="column">
                  <wp:posOffset>530225</wp:posOffset>
                </wp:positionH>
                <wp:positionV relativeFrom="paragraph">
                  <wp:posOffset>1436370</wp:posOffset>
                </wp:positionV>
                <wp:extent cx="1434465" cy="0"/>
                <wp:effectExtent l="0" t="0" r="13335" b="19050"/>
                <wp:wrapNone/>
                <wp:docPr id="21" name="Прямая соединительная линия 13"/>
                <wp:cNvGraphicFramePr/>
                <a:graphic xmlns:a="http://schemas.openxmlformats.org/drawingml/2006/main">
                  <a:graphicData uri="http://schemas.microsoft.com/office/word/2010/wordprocessingShape">
                    <wps:wsp>
                      <wps:cNvCnPr/>
                      <wps:spPr>
                        <a:xfrm>
                          <a:off x="0" y="0"/>
                          <a:ext cx="14344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5pt,113.1pt" to="154.7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" strokecolor="#4a7ebb"/>
            </w:pict>
          </mc:Fallback>
        </mc:AlternateContent>
      </w:r>
      <w:r w:rsidR="00962D66" w:rsidRPr="00432E53">
        <w:rPr>
          <w:rFonts w:ascii="Arial" w:hAnsi="Arial" w:cs="Arial"/>
          <w:noProof/>
          <w:color w:val="000000"/>
        </w:rPr>
        <mc:AlternateContent>
          <mc:Choice Requires="wps">
            <w:drawing>
              <wp:anchor distT="0" distB="0" distL="114300" distR="114300" simplePos="0" relativeHeight="251664384" behindDoc="0" locked="0" layoutInCell="1" allowOverlap="1" wp14:anchorId="76DD4861" wp14:editId="222EA11C">
                <wp:simplePos x="0" y="0"/>
                <wp:positionH relativeFrom="column">
                  <wp:posOffset>5205730</wp:posOffset>
                </wp:positionH>
                <wp:positionV relativeFrom="paragraph">
                  <wp:posOffset>829945</wp:posOffset>
                </wp:positionV>
                <wp:extent cx="549910" cy="549910"/>
                <wp:effectExtent l="0" t="0" r="21590" b="21590"/>
                <wp:wrapNone/>
                <wp:docPr id="6" name="Овал 2"/>
                <wp:cNvGraphicFramePr/>
                <a:graphic xmlns:a="http://schemas.openxmlformats.org/drawingml/2006/main">
                  <a:graphicData uri="http://schemas.microsoft.com/office/word/2010/wordprocessingShape">
                    <wps:wsp>
                      <wps:cNvSpPr/>
                      <wps:spPr>
                        <a:xfrm>
                          <a:off x="0" y="0"/>
                          <a:ext cx="549910" cy="549910"/>
                        </a:xfrm>
                        <a:prstGeom prst="ellipse">
                          <a:avLst/>
                        </a:prstGeom>
                        <a:solidFill>
                          <a:sysClr val="window" lastClr="FFFFFF"/>
                        </a:solidFill>
                        <a:ln w="25400" cap="flat" cmpd="sng" algn="ctr">
                          <a:solidFill>
                            <a:srgbClr val="001E82"/>
                          </a:solidFill>
                          <a:prstDash val="solid"/>
                        </a:ln>
                        <a:effectLst/>
                      </wps:spPr>
                      <wps:bodyPr lIns="91372" tIns="45686" rIns="91372" bIns="45686" rtlCol="0" anchor="ctr"/>
                    </wps:wsp>
                  </a:graphicData>
                </a:graphic>
              </wp:anchor>
            </w:drawing>
          </mc:Choice>
          <mc:Fallback>
            <w:pict>
              <v:oval id="Овал 2" o:spid="_x0000_s1026" style="position:absolute;margin-left:409.9pt;margin-top:65.35pt;width:43.3pt;height:4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" fillcolor="window" strokecolor="#001e82" strokeweight="2pt">
                <v:textbox inset="2.53811mm,1.2691mm,2.53811mm,1.2691mm"/>
              </v:oval>
            </w:pict>
          </mc:Fallback>
        </mc:AlternateContent>
      </w:r>
      <w:r w:rsidR="00962D66" w:rsidRPr="00432E53">
        <w:rPr>
          <w:rFonts w:ascii="Arial" w:hAnsi="Arial" w:cs="Arial"/>
          <w:noProof/>
          <w:color w:val="000000"/>
        </w:rPr>
        <mc:AlternateContent>
          <mc:Choice Requires="wps">
            <w:drawing>
              <wp:anchor distT="0" distB="0" distL="114300" distR="114300" simplePos="0" relativeHeight="251663360" behindDoc="0" locked="0" layoutInCell="1" allowOverlap="1" wp14:anchorId="71E769FD" wp14:editId="55D9FF4D">
                <wp:simplePos x="0" y="0"/>
                <wp:positionH relativeFrom="column">
                  <wp:posOffset>3836035</wp:posOffset>
                </wp:positionH>
                <wp:positionV relativeFrom="paragraph">
                  <wp:posOffset>1393825</wp:posOffset>
                </wp:positionV>
                <wp:extent cx="1603375" cy="0"/>
                <wp:effectExtent l="0" t="0" r="15875" b="19050"/>
                <wp:wrapNone/>
                <wp:docPr id="5" name="Прямая соединительная линия 1"/>
                <wp:cNvGraphicFramePr/>
                <a:graphic xmlns:a="http://schemas.openxmlformats.org/drawingml/2006/main">
                  <a:graphicData uri="http://schemas.microsoft.com/office/word/2010/wordprocessingShape">
                    <wps:wsp>
                      <wps:cNvCnPr/>
                      <wps:spPr>
                        <a:xfrm>
                          <a:off x="0" y="0"/>
                          <a:ext cx="1603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109.75pt" to="428.3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" strokecolor="#4a7ebb"/>
            </w:pict>
          </mc:Fallback>
        </mc:AlternateContent>
      </w:r>
      <w:r w:rsidR="00FE14C1" w:rsidRPr="00432E53">
        <w:rPr>
          <w:rFonts w:ascii="Arial" w:hAnsi="Arial" w:cs="Arial"/>
          <w:b/>
          <w:noProof/>
          <w:sz w:val="26"/>
          <w:szCs w:val="26"/>
        </w:rPr>
        <w:drawing>
          <wp:inline distT="0" distB="0" distL="0" distR="0" wp14:anchorId="2724187F" wp14:editId="2ECC8CB7">
            <wp:extent cx="5120640" cy="2489982"/>
            <wp:effectExtent l="0" t="0" r="381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44E" w:rsidRPr="00432E53" w:rsidRDefault="0066144E" w:rsidP="0066144E">
      <w:pPr>
        <w:ind w:firstLine="709"/>
        <w:contextualSpacing/>
        <w:jc w:val="both"/>
        <w:rPr>
          <w:rFonts w:ascii="Arial" w:hAnsi="Arial" w:cs="Arial"/>
          <w:color w:val="000000"/>
        </w:rPr>
      </w:pPr>
      <w:r w:rsidRPr="00432E53">
        <w:rPr>
          <w:rFonts w:ascii="Arial" w:hAnsi="Arial" w:cs="Arial"/>
          <w:color w:val="000000"/>
        </w:rPr>
        <w:lastRenderedPageBreak/>
        <w:t>Оборот розничной торговли на 96,5% формировался торгующими организ</w:t>
      </w:r>
      <w:r w:rsidRPr="00432E53">
        <w:rPr>
          <w:rFonts w:ascii="Arial" w:hAnsi="Arial" w:cs="Arial"/>
          <w:color w:val="000000"/>
        </w:rPr>
        <w:t>а</w:t>
      </w:r>
      <w:r w:rsidRPr="00432E53">
        <w:rPr>
          <w:rFonts w:ascii="Arial" w:hAnsi="Arial" w:cs="Arial"/>
          <w:color w:val="000000"/>
        </w:rPr>
        <w:t>циями и индивидуальными предпринимателями, осуществляющими деятельность в стационарной торговой сети (вне рынка). Доля продажи товаров на рынках и я</w:t>
      </w:r>
      <w:r w:rsidRPr="00432E53">
        <w:rPr>
          <w:rFonts w:ascii="Arial" w:hAnsi="Arial" w:cs="Arial"/>
          <w:color w:val="000000"/>
        </w:rPr>
        <w:t>р</w:t>
      </w:r>
      <w:r w:rsidRPr="00432E53">
        <w:rPr>
          <w:rFonts w:ascii="Arial" w:hAnsi="Arial" w:cs="Arial"/>
          <w:color w:val="000000"/>
        </w:rPr>
        <w:t>марках составила 3,5%,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w:t>
      </w:r>
      <w:r w:rsidRPr="00432E53">
        <w:rPr>
          <w:rFonts w:ascii="Arial" w:hAnsi="Arial" w:cs="Arial"/>
          <w:color w:val="000000"/>
        </w:rPr>
        <w:t>р</w:t>
      </w:r>
      <w:r w:rsidRPr="00432E53">
        <w:rPr>
          <w:rFonts w:ascii="Arial" w:hAnsi="Arial" w:cs="Arial"/>
          <w:color w:val="000000"/>
        </w:rPr>
        <w:t>марки).</w:t>
      </w:r>
    </w:p>
    <w:p w:rsidR="0066144E" w:rsidRPr="00432E53" w:rsidRDefault="006432A5" w:rsidP="0066144E">
      <w:pPr>
        <w:ind w:firstLine="709"/>
        <w:jc w:val="both"/>
        <w:rPr>
          <w:rFonts w:ascii="Arial" w:eastAsia="Calibri" w:hAnsi="Arial" w:cs="Arial"/>
          <w:lang w:eastAsia="en-US"/>
        </w:rPr>
      </w:pPr>
      <w:r w:rsidRPr="00432E53">
        <w:rPr>
          <w:rFonts w:ascii="Arial" w:eastAsia="Calibri" w:hAnsi="Arial" w:cs="Arial"/>
          <w:lang w:eastAsia="en-US"/>
        </w:rPr>
        <w:t xml:space="preserve">В течение </w:t>
      </w:r>
      <w:r w:rsidR="0066144E" w:rsidRPr="00432E53">
        <w:rPr>
          <w:rFonts w:ascii="Arial" w:eastAsia="Calibri" w:hAnsi="Arial" w:cs="Arial"/>
          <w:lang w:eastAsia="en-US"/>
        </w:rPr>
        <w:t>2021 года рынок продовольствия отличался стабильностью, фа</w:t>
      </w:r>
      <w:r w:rsidR="0066144E" w:rsidRPr="00432E53">
        <w:rPr>
          <w:rFonts w:ascii="Arial" w:eastAsia="Calibri" w:hAnsi="Arial" w:cs="Arial"/>
          <w:lang w:eastAsia="en-US"/>
        </w:rPr>
        <w:t>к</w:t>
      </w:r>
      <w:r w:rsidR="0066144E" w:rsidRPr="00432E53">
        <w:rPr>
          <w:rFonts w:ascii="Arial" w:eastAsia="Calibri" w:hAnsi="Arial" w:cs="Arial"/>
          <w:lang w:eastAsia="en-US"/>
        </w:rPr>
        <w:t xml:space="preserve">ты повышенного (ажиотажного) спроса, а также исчезновение отдельных видов товаров не наблюдались. Ежедневные потребности в продуктах питания и спрос населения на них удовлетворены в полном объеме. </w:t>
      </w:r>
    </w:p>
    <w:p w:rsidR="0066144E" w:rsidRPr="00432E53" w:rsidRDefault="0066144E" w:rsidP="0066144E">
      <w:pPr>
        <w:ind w:firstLine="709"/>
        <w:jc w:val="both"/>
        <w:rPr>
          <w:rFonts w:ascii="Arial" w:eastAsia="Calibri" w:hAnsi="Arial" w:cs="Arial"/>
          <w:lang w:eastAsia="en-US"/>
        </w:rPr>
      </w:pPr>
      <w:r w:rsidRPr="00432E53">
        <w:rPr>
          <w:rFonts w:ascii="Arial" w:eastAsia="Calibri" w:hAnsi="Arial" w:cs="Arial"/>
          <w:lang w:eastAsia="en-US"/>
        </w:rPr>
        <w:t xml:space="preserve">На </w:t>
      </w:r>
      <w:r w:rsidR="006432A5" w:rsidRPr="00432E53">
        <w:rPr>
          <w:rFonts w:ascii="Arial" w:eastAsia="Calibri" w:hAnsi="Arial" w:cs="Arial"/>
          <w:lang w:eastAsia="en-US"/>
        </w:rPr>
        <w:t>3</w:t>
      </w:r>
      <w:r w:rsidRPr="00432E53">
        <w:rPr>
          <w:rFonts w:ascii="Arial" w:eastAsia="Calibri" w:hAnsi="Arial" w:cs="Arial"/>
          <w:lang w:eastAsia="en-US"/>
        </w:rPr>
        <w:t xml:space="preserve">1 </w:t>
      </w:r>
      <w:r w:rsidR="006432A5" w:rsidRPr="00432E53">
        <w:rPr>
          <w:rFonts w:ascii="Arial" w:eastAsia="Calibri" w:hAnsi="Arial" w:cs="Arial"/>
          <w:lang w:eastAsia="en-US"/>
        </w:rPr>
        <w:t>декабря</w:t>
      </w:r>
      <w:r w:rsidRPr="00432E53">
        <w:rPr>
          <w:rFonts w:ascii="Arial" w:eastAsia="Calibri" w:hAnsi="Arial" w:cs="Arial"/>
          <w:lang w:eastAsia="en-US"/>
        </w:rPr>
        <w:t xml:space="preserve"> 2021 г. в организациях розничной торговли имелось това</w:t>
      </w:r>
      <w:r w:rsidRPr="00432E53">
        <w:rPr>
          <w:rFonts w:ascii="Arial" w:eastAsia="Calibri" w:hAnsi="Arial" w:cs="Arial"/>
          <w:lang w:eastAsia="en-US"/>
        </w:rPr>
        <w:t>р</w:t>
      </w:r>
      <w:r w:rsidRPr="00432E53">
        <w:rPr>
          <w:rFonts w:ascii="Arial" w:eastAsia="Calibri" w:hAnsi="Arial" w:cs="Arial"/>
          <w:lang w:eastAsia="en-US"/>
        </w:rPr>
        <w:t>ных запасов на 1</w:t>
      </w:r>
      <w:r w:rsidR="006432A5" w:rsidRPr="00432E53">
        <w:rPr>
          <w:rFonts w:ascii="Arial" w:eastAsia="Calibri" w:hAnsi="Arial" w:cs="Arial"/>
          <w:lang w:eastAsia="en-US"/>
        </w:rPr>
        <w:t>3015,8</w:t>
      </w:r>
      <w:r w:rsidRPr="00432E53">
        <w:rPr>
          <w:rFonts w:ascii="Arial" w:eastAsia="Calibri" w:hAnsi="Arial" w:cs="Arial"/>
          <w:lang w:eastAsia="en-US"/>
        </w:rPr>
        <w:t xml:space="preserve"> млн. рублей, или на </w:t>
      </w:r>
      <w:r w:rsidR="006432A5" w:rsidRPr="00432E53">
        <w:rPr>
          <w:rFonts w:ascii="Arial" w:eastAsia="Calibri" w:hAnsi="Arial" w:cs="Arial"/>
          <w:lang w:eastAsia="en-US"/>
        </w:rPr>
        <w:t>37</w:t>
      </w:r>
      <w:r w:rsidRPr="00432E53">
        <w:rPr>
          <w:rFonts w:ascii="Arial" w:eastAsia="Calibri" w:hAnsi="Arial" w:cs="Arial"/>
          <w:lang w:eastAsia="en-US"/>
        </w:rPr>
        <w:t xml:space="preserve"> дн</w:t>
      </w:r>
      <w:r w:rsidR="006432A5" w:rsidRPr="00432E53">
        <w:rPr>
          <w:rFonts w:ascii="Arial" w:eastAsia="Calibri" w:hAnsi="Arial" w:cs="Arial"/>
          <w:lang w:eastAsia="en-US"/>
        </w:rPr>
        <w:t>ей</w:t>
      </w:r>
      <w:r w:rsidRPr="00432E53">
        <w:rPr>
          <w:rFonts w:ascii="Arial" w:eastAsia="Calibri" w:hAnsi="Arial" w:cs="Arial"/>
          <w:lang w:eastAsia="en-US"/>
        </w:rPr>
        <w:t xml:space="preserve"> торговли. </w:t>
      </w:r>
      <w:proofErr w:type="gramStart"/>
      <w:r w:rsidRPr="00432E53">
        <w:rPr>
          <w:rFonts w:ascii="Arial" w:eastAsia="Calibri" w:hAnsi="Arial" w:cs="Arial"/>
          <w:lang w:eastAsia="en-US"/>
        </w:rPr>
        <w:t>В течение года наибольший объем товарных запасов в розничной торговли отмечен в феврале (50 дней).</w:t>
      </w:r>
      <w:proofErr w:type="gramEnd"/>
    </w:p>
    <w:p w:rsidR="0066144E" w:rsidRPr="00432E53" w:rsidRDefault="0066144E" w:rsidP="0066144E">
      <w:pPr>
        <w:ind w:firstLine="709"/>
        <w:contextualSpacing/>
        <w:jc w:val="both"/>
        <w:rPr>
          <w:rFonts w:ascii="Arial" w:hAnsi="Arial" w:cs="Arial"/>
          <w:color w:val="000000"/>
        </w:rPr>
      </w:pPr>
      <w:r w:rsidRPr="0039397E">
        <w:rPr>
          <w:rFonts w:ascii="Arial" w:hAnsi="Arial" w:cs="Arial"/>
          <w:color w:val="000000"/>
        </w:rPr>
        <w:t>Общий оборот оптовой торговли  в 2021 год</w:t>
      </w:r>
      <w:r w:rsidR="00D25161" w:rsidRPr="0039397E">
        <w:rPr>
          <w:rFonts w:ascii="Arial" w:hAnsi="Arial" w:cs="Arial"/>
          <w:color w:val="000000"/>
        </w:rPr>
        <w:t>у</w:t>
      </w:r>
      <w:r w:rsidRPr="0039397E">
        <w:rPr>
          <w:rFonts w:ascii="Arial" w:hAnsi="Arial" w:cs="Arial"/>
          <w:color w:val="000000"/>
        </w:rPr>
        <w:t xml:space="preserve"> составил </w:t>
      </w:r>
      <w:r w:rsidR="0039397E" w:rsidRPr="0039397E">
        <w:rPr>
          <w:rFonts w:ascii="Arial" w:hAnsi="Arial" w:cs="Arial"/>
          <w:color w:val="000000"/>
        </w:rPr>
        <w:t>259199,6</w:t>
      </w:r>
      <w:r w:rsidRPr="0039397E">
        <w:rPr>
          <w:rFonts w:ascii="Arial" w:hAnsi="Arial" w:cs="Arial"/>
          <w:color w:val="000000"/>
        </w:rPr>
        <w:t xml:space="preserve"> млн. ру</w:t>
      </w:r>
      <w:r w:rsidRPr="0039397E">
        <w:rPr>
          <w:rFonts w:ascii="Arial" w:hAnsi="Arial" w:cs="Arial"/>
          <w:color w:val="000000"/>
        </w:rPr>
        <w:t>б</w:t>
      </w:r>
      <w:r w:rsidRPr="0039397E">
        <w:rPr>
          <w:rFonts w:ascii="Arial" w:hAnsi="Arial" w:cs="Arial"/>
          <w:color w:val="000000"/>
        </w:rPr>
        <w:t>лей, или 1</w:t>
      </w:r>
      <w:r w:rsidR="0039397E" w:rsidRPr="0039397E">
        <w:rPr>
          <w:rFonts w:ascii="Arial" w:hAnsi="Arial" w:cs="Arial"/>
          <w:color w:val="000000"/>
        </w:rPr>
        <w:t>2</w:t>
      </w:r>
      <w:r w:rsidR="00D25161" w:rsidRPr="0039397E">
        <w:rPr>
          <w:rFonts w:ascii="Arial" w:hAnsi="Arial" w:cs="Arial"/>
          <w:color w:val="000000"/>
        </w:rPr>
        <w:t>1,</w:t>
      </w:r>
      <w:r w:rsidR="0039397E" w:rsidRPr="0039397E">
        <w:rPr>
          <w:rFonts w:ascii="Arial" w:hAnsi="Arial" w:cs="Arial"/>
          <w:color w:val="000000"/>
        </w:rPr>
        <w:t>1</w:t>
      </w:r>
      <w:r w:rsidRPr="0039397E">
        <w:rPr>
          <w:rFonts w:ascii="Arial" w:hAnsi="Arial" w:cs="Arial"/>
          <w:color w:val="000000"/>
        </w:rPr>
        <w:t>% к 2020 год</w:t>
      </w:r>
      <w:r w:rsidR="00D25161" w:rsidRPr="0039397E">
        <w:rPr>
          <w:rFonts w:ascii="Arial" w:hAnsi="Arial" w:cs="Arial"/>
          <w:color w:val="000000"/>
        </w:rPr>
        <w:t>у</w:t>
      </w:r>
      <w:r w:rsidRPr="0039397E">
        <w:rPr>
          <w:rFonts w:ascii="Arial" w:hAnsi="Arial" w:cs="Arial"/>
          <w:color w:val="000000"/>
        </w:rPr>
        <w:t>. В общем объеме оборота оптовой торговли на долю организаций, не относящихся к субъектам малого предпринимательства, прих</w:t>
      </w:r>
      <w:r w:rsidRPr="0039397E">
        <w:rPr>
          <w:rFonts w:ascii="Arial" w:hAnsi="Arial" w:cs="Arial"/>
          <w:color w:val="000000"/>
        </w:rPr>
        <w:t>о</w:t>
      </w:r>
      <w:r w:rsidRPr="0039397E">
        <w:rPr>
          <w:rFonts w:ascii="Arial" w:hAnsi="Arial" w:cs="Arial"/>
          <w:color w:val="000000"/>
        </w:rPr>
        <w:t>дилось 5</w:t>
      </w:r>
      <w:r w:rsidR="00333A18" w:rsidRPr="0039397E">
        <w:rPr>
          <w:rFonts w:ascii="Arial" w:hAnsi="Arial" w:cs="Arial"/>
          <w:color w:val="000000"/>
        </w:rPr>
        <w:t>3,6</w:t>
      </w:r>
      <w:r w:rsidRPr="0039397E">
        <w:rPr>
          <w:rFonts w:ascii="Arial" w:hAnsi="Arial" w:cs="Arial"/>
          <w:color w:val="000000"/>
        </w:rPr>
        <w:t>%, на долю субъектов малого предпринимательства – 4</w:t>
      </w:r>
      <w:r w:rsidR="00333A18" w:rsidRPr="0039397E">
        <w:rPr>
          <w:rFonts w:ascii="Arial" w:hAnsi="Arial" w:cs="Arial"/>
          <w:color w:val="000000"/>
        </w:rPr>
        <w:t>6,4</w:t>
      </w:r>
      <w:r w:rsidRPr="0039397E">
        <w:rPr>
          <w:rFonts w:ascii="Arial" w:hAnsi="Arial" w:cs="Arial"/>
          <w:color w:val="000000"/>
        </w:rPr>
        <w:t>%. В 2021 год</w:t>
      </w:r>
      <w:r w:rsidR="0039397E" w:rsidRPr="0039397E">
        <w:rPr>
          <w:rFonts w:ascii="Arial" w:hAnsi="Arial" w:cs="Arial"/>
          <w:color w:val="000000"/>
        </w:rPr>
        <w:t>у</w:t>
      </w:r>
      <w:r w:rsidRPr="0039397E">
        <w:rPr>
          <w:rFonts w:ascii="Arial" w:hAnsi="Arial" w:cs="Arial"/>
          <w:color w:val="000000"/>
        </w:rPr>
        <w:t xml:space="preserve"> оборот оптовой торговли на 70,</w:t>
      </w:r>
      <w:r w:rsidR="00333A18" w:rsidRPr="0039397E">
        <w:rPr>
          <w:rFonts w:ascii="Arial" w:hAnsi="Arial" w:cs="Arial"/>
          <w:color w:val="000000"/>
        </w:rPr>
        <w:t>2</w:t>
      </w:r>
      <w:r w:rsidRPr="0039397E">
        <w:rPr>
          <w:rFonts w:ascii="Arial" w:hAnsi="Arial" w:cs="Arial"/>
          <w:color w:val="000000"/>
        </w:rPr>
        <w:t>% формировался организациями оптовой торговли.</w:t>
      </w:r>
    </w:p>
    <w:p w:rsidR="0066144E" w:rsidRPr="00432E53" w:rsidRDefault="0066144E" w:rsidP="0066144E">
      <w:pPr>
        <w:ind w:firstLine="709"/>
        <w:contextualSpacing/>
        <w:jc w:val="both"/>
        <w:rPr>
          <w:rFonts w:ascii="Arial" w:hAnsi="Arial" w:cs="Arial"/>
        </w:rPr>
      </w:pPr>
      <w:r w:rsidRPr="00432E53">
        <w:rPr>
          <w:rFonts w:ascii="Arial" w:hAnsi="Arial" w:cs="Arial"/>
        </w:rPr>
        <w:t>Объем платных услуг населению в 2021год</w:t>
      </w:r>
      <w:r w:rsidR="00333A18" w:rsidRPr="00432E53">
        <w:rPr>
          <w:rFonts w:ascii="Arial" w:hAnsi="Arial" w:cs="Arial"/>
        </w:rPr>
        <w:t>у</w:t>
      </w:r>
      <w:r w:rsidRPr="00432E53">
        <w:rPr>
          <w:rFonts w:ascii="Arial" w:hAnsi="Arial" w:cs="Arial"/>
        </w:rPr>
        <w:t xml:space="preserve"> сост</w:t>
      </w:r>
      <w:bookmarkStart w:id="0" w:name="_GoBack"/>
      <w:bookmarkEnd w:id="0"/>
      <w:r w:rsidRPr="00432E53">
        <w:rPr>
          <w:rFonts w:ascii="Arial" w:hAnsi="Arial" w:cs="Arial"/>
        </w:rPr>
        <w:t xml:space="preserve">авил </w:t>
      </w:r>
      <w:r w:rsidR="00333A18" w:rsidRPr="00432E53">
        <w:rPr>
          <w:rFonts w:ascii="Arial" w:hAnsi="Arial" w:cs="Arial"/>
        </w:rPr>
        <w:t>57232,9</w:t>
      </w:r>
      <w:r w:rsidRPr="00432E53">
        <w:rPr>
          <w:rFonts w:ascii="Arial" w:hAnsi="Arial" w:cs="Arial"/>
        </w:rPr>
        <w:t xml:space="preserve">  млн. рублей, или 11</w:t>
      </w:r>
      <w:r w:rsidR="00333A18" w:rsidRPr="00432E53">
        <w:rPr>
          <w:rFonts w:ascii="Arial" w:hAnsi="Arial" w:cs="Arial"/>
        </w:rPr>
        <w:t>1</w:t>
      </w:r>
      <w:r w:rsidRPr="00432E53">
        <w:rPr>
          <w:rFonts w:ascii="Arial" w:hAnsi="Arial" w:cs="Arial"/>
        </w:rPr>
        <w:t>,</w:t>
      </w:r>
      <w:r w:rsidR="00333A18" w:rsidRPr="00432E53">
        <w:rPr>
          <w:rFonts w:ascii="Arial" w:hAnsi="Arial" w:cs="Arial"/>
        </w:rPr>
        <w:t>0</w:t>
      </w:r>
      <w:r w:rsidRPr="00432E53">
        <w:rPr>
          <w:rFonts w:ascii="Arial" w:hAnsi="Arial" w:cs="Arial"/>
        </w:rPr>
        <w:t>% (по России – 11</w:t>
      </w:r>
      <w:r w:rsidR="00333A18" w:rsidRPr="00432E53">
        <w:rPr>
          <w:rFonts w:ascii="Arial" w:hAnsi="Arial" w:cs="Arial"/>
        </w:rPr>
        <w:t>7,6</w:t>
      </w:r>
      <w:r w:rsidRPr="00432E53">
        <w:rPr>
          <w:rFonts w:ascii="Arial" w:hAnsi="Arial" w:cs="Arial"/>
        </w:rPr>
        <w:t>%, по ПФО – 11</w:t>
      </w:r>
      <w:r w:rsidR="00333A18" w:rsidRPr="00432E53">
        <w:rPr>
          <w:rFonts w:ascii="Arial" w:hAnsi="Arial" w:cs="Arial"/>
        </w:rPr>
        <w:t>1,1</w:t>
      </w:r>
      <w:r w:rsidRPr="00432E53">
        <w:rPr>
          <w:rFonts w:ascii="Arial" w:hAnsi="Arial" w:cs="Arial"/>
        </w:rPr>
        <w:t>%) к периоду 2020 года.</w:t>
      </w:r>
    </w:p>
    <w:p w:rsidR="008B4953" w:rsidRPr="00432E53" w:rsidRDefault="008B4953" w:rsidP="0064709B">
      <w:pPr>
        <w:ind w:firstLine="709"/>
        <w:contextualSpacing/>
        <w:jc w:val="both"/>
        <w:rPr>
          <w:rFonts w:ascii="Arial" w:hAnsi="Arial" w:cs="Arial"/>
          <w:color w:val="000000"/>
        </w:rPr>
      </w:pPr>
    </w:p>
    <w:p w:rsidR="008B4953" w:rsidRPr="00432E53" w:rsidRDefault="008B4953" w:rsidP="005448C2">
      <w:pPr>
        <w:contextualSpacing/>
        <w:jc w:val="center"/>
        <w:rPr>
          <w:rFonts w:ascii="Arial" w:hAnsi="Arial" w:cs="Arial"/>
          <w:b/>
          <w:bCs/>
          <w:color w:val="000000"/>
          <w:sz w:val="26"/>
          <w:szCs w:val="26"/>
        </w:rPr>
      </w:pPr>
      <w:r w:rsidRPr="00432E53">
        <w:rPr>
          <w:rFonts w:ascii="Arial" w:hAnsi="Arial" w:cs="Arial"/>
          <w:b/>
          <w:bCs/>
          <w:color w:val="000000"/>
          <w:sz w:val="26"/>
          <w:szCs w:val="26"/>
        </w:rPr>
        <w:t>Структура оборота платных услуг</w:t>
      </w:r>
      <w:r w:rsidR="00D8278C" w:rsidRPr="00432E53">
        <w:rPr>
          <w:rFonts w:ascii="Arial" w:hAnsi="Arial" w:cs="Arial"/>
          <w:b/>
          <w:bCs/>
          <w:color w:val="000000"/>
          <w:sz w:val="26"/>
          <w:szCs w:val="26"/>
        </w:rPr>
        <w:t xml:space="preserve"> </w:t>
      </w:r>
      <w:r w:rsidR="00011A57" w:rsidRPr="00432E53">
        <w:rPr>
          <w:rFonts w:ascii="Arial" w:hAnsi="Arial" w:cs="Arial"/>
          <w:b/>
          <w:bCs/>
          <w:color w:val="000000"/>
          <w:sz w:val="26"/>
          <w:szCs w:val="26"/>
        </w:rPr>
        <w:t xml:space="preserve">за </w:t>
      </w:r>
      <w:r w:rsidR="00D8278C" w:rsidRPr="00432E53">
        <w:rPr>
          <w:rFonts w:ascii="Arial" w:hAnsi="Arial" w:cs="Arial"/>
          <w:b/>
          <w:bCs/>
          <w:color w:val="000000"/>
          <w:sz w:val="26"/>
          <w:szCs w:val="26"/>
        </w:rPr>
        <w:t>2021 г.</w:t>
      </w:r>
    </w:p>
    <w:p w:rsidR="00FE14C1" w:rsidRPr="00432E53" w:rsidRDefault="00FE14C1" w:rsidP="009A5E52">
      <w:pPr>
        <w:contextualSpacing/>
        <w:jc w:val="center"/>
        <w:rPr>
          <w:rFonts w:ascii="Arial" w:hAnsi="Arial" w:cs="Arial"/>
          <w:bCs/>
          <w:i/>
          <w:color w:val="000000"/>
          <w:sz w:val="20"/>
          <w:szCs w:val="20"/>
        </w:rPr>
      </w:pPr>
      <w:r w:rsidRPr="00432E53">
        <w:rPr>
          <w:rFonts w:ascii="Arial" w:hAnsi="Arial" w:cs="Arial"/>
          <w:bCs/>
          <w:i/>
          <w:color w:val="000000"/>
          <w:sz w:val="20"/>
          <w:szCs w:val="20"/>
        </w:rPr>
        <w:t>(в процентах)</w:t>
      </w:r>
    </w:p>
    <w:p w:rsidR="00D8278C" w:rsidRPr="00432E53" w:rsidRDefault="00D8278C" w:rsidP="00D8278C">
      <w:pPr>
        <w:contextualSpacing/>
        <w:rPr>
          <w:rFonts w:ascii="Arial" w:hAnsi="Arial" w:cs="Arial"/>
          <w:bCs/>
          <w:i/>
          <w:color w:val="000000"/>
          <w:sz w:val="20"/>
          <w:szCs w:val="20"/>
        </w:rPr>
      </w:pPr>
    </w:p>
    <w:p w:rsidR="00D8278C" w:rsidRPr="00432E53" w:rsidRDefault="00D8278C" w:rsidP="005448C2">
      <w:pPr>
        <w:contextualSpacing/>
        <w:jc w:val="center"/>
        <w:rPr>
          <w:rFonts w:ascii="Arial" w:hAnsi="Arial" w:cs="Arial"/>
          <w:i/>
          <w:color w:val="000000"/>
          <w:sz w:val="20"/>
          <w:szCs w:val="20"/>
        </w:rPr>
      </w:pPr>
      <w:r w:rsidRPr="00432E53">
        <w:rPr>
          <w:rFonts w:ascii="Arial" w:hAnsi="Arial" w:cs="Arial"/>
          <w:b/>
          <w:noProof/>
          <w:sz w:val="26"/>
          <w:szCs w:val="26"/>
        </w:rPr>
        <w:drawing>
          <wp:inline distT="0" distB="0" distL="0" distR="0" wp14:anchorId="783F1461" wp14:editId="26FDCD84">
            <wp:extent cx="5923721" cy="1606163"/>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953" w:rsidRPr="00432E53" w:rsidRDefault="008B4953" w:rsidP="0064709B">
      <w:pPr>
        <w:ind w:firstLine="709"/>
        <w:contextualSpacing/>
        <w:jc w:val="both"/>
        <w:rPr>
          <w:rFonts w:ascii="Arial" w:hAnsi="Arial" w:cs="Arial"/>
          <w:color w:val="000000"/>
        </w:rPr>
      </w:pPr>
    </w:p>
    <w:p w:rsidR="0066144E" w:rsidRPr="00432E53" w:rsidRDefault="0066144E" w:rsidP="0066144E">
      <w:pPr>
        <w:ind w:firstLine="709"/>
        <w:contextualSpacing/>
        <w:jc w:val="both"/>
        <w:rPr>
          <w:rFonts w:ascii="Arial" w:hAnsi="Arial" w:cs="Arial"/>
        </w:rPr>
      </w:pPr>
      <w:r w:rsidRPr="00432E53">
        <w:rPr>
          <w:rFonts w:ascii="Arial" w:hAnsi="Arial" w:cs="Arial"/>
        </w:rPr>
        <w:t>В структуре объема платных услуг населению 74,</w:t>
      </w:r>
      <w:r w:rsidR="00333A18" w:rsidRPr="00432E53">
        <w:rPr>
          <w:rFonts w:ascii="Arial" w:hAnsi="Arial" w:cs="Arial"/>
        </w:rPr>
        <w:t>3</w:t>
      </w:r>
      <w:r w:rsidRPr="00432E53">
        <w:rPr>
          <w:rFonts w:ascii="Arial" w:hAnsi="Arial" w:cs="Arial"/>
        </w:rPr>
        <w:t>% приходится на комм</w:t>
      </w:r>
      <w:r w:rsidRPr="00432E53">
        <w:rPr>
          <w:rFonts w:ascii="Arial" w:hAnsi="Arial" w:cs="Arial"/>
        </w:rPr>
        <w:t>у</w:t>
      </w:r>
      <w:r w:rsidRPr="00432E53">
        <w:rPr>
          <w:rFonts w:ascii="Arial" w:hAnsi="Arial" w:cs="Arial"/>
        </w:rPr>
        <w:t>нальные (2</w:t>
      </w:r>
      <w:r w:rsidR="00333A18" w:rsidRPr="00432E53">
        <w:rPr>
          <w:rFonts w:ascii="Arial" w:hAnsi="Arial" w:cs="Arial"/>
        </w:rPr>
        <w:t>4,9%), телекоммуникационные (15,0</w:t>
      </w:r>
      <w:r w:rsidRPr="00432E53">
        <w:rPr>
          <w:rFonts w:ascii="Arial" w:hAnsi="Arial" w:cs="Arial"/>
        </w:rPr>
        <w:t>%), бытовые (13,</w:t>
      </w:r>
      <w:r w:rsidR="00333A18" w:rsidRPr="00432E53">
        <w:rPr>
          <w:rFonts w:ascii="Arial" w:hAnsi="Arial" w:cs="Arial"/>
        </w:rPr>
        <w:t>8</w:t>
      </w:r>
      <w:r w:rsidRPr="00432E53">
        <w:rPr>
          <w:rFonts w:ascii="Arial" w:hAnsi="Arial" w:cs="Arial"/>
        </w:rPr>
        <w:t>%), транспортные (12,</w:t>
      </w:r>
      <w:r w:rsidR="00333A18" w:rsidRPr="00432E53">
        <w:rPr>
          <w:rFonts w:ascii="Arial" w:hAnsi="Arial" w:cs="Arial"/>
        </w:rPr>
        <w:t>1</w:t>
      </w:r>
      <w:r w:rsidRPr="00432E53">
        <w:rPr>
          <w:rFonts w:ascii="Arial" w:hAnsi="Arial" w:cs="Arial"/>
        </w:rPr>
        <w:t>%) и жилищные (8,</w:t>
      </w:r>
      <w:r w:rsidR="00333A18" w:rsidRPr="00432E53">
        <w:rPr>
          <w:rFonts w:ascii="Arial" w:hAnsi="Arial" w:cs="Arial"/>
        </w:rPr>
        <w:t>5</w:t>
      </w:r>
      <w:r w:rsidRPr="00432E53">
        <w:rPr>
          <w:rFonts w:ascii="Arial" w:hAnsi="Arial" w:cs="Arial"/>
        </w:rPr>
        <w:t xml:space="preserve">%) услуги. </w:t>
      </w:r>
      <w:proofErr w:type="gramStart"/>
      <w:r w:rsidRPr="00432E53">
        <w:rPr>
          <w:rFonts w:ascii="Arial" w:hAnsi="Arial" w:cs="Arial"/>
        </w:rPr>
        <w:t xml:space="preserve">Увеличились объемы </w:t>
      </w:r>
      <w:r w:rsidR="00333A18" w:rsidRPr="00432E53">
        <w:rPr>
          <w:rFonts w:ascii="Arial" w:hAnsi="Arial" w:cs="Arial"/>
        </w:rPr>
        <w:t>транспортных</w:t>
      </w:r>
      <w:r w:rsidRPr="00432E53">
        <w:rPr>
          <w:rFonts w:ascii="Arial" w:hAnsi="Arial" w:cs="Arial"/>
        </w:rPr>
        <w:t xml:space="preserve"> услуг (11</w:t>
      </w:r>
      <w:r w:rsidR="00333A18" w:rsidRPr="00432E53">
        <w:rPr>
          <w:rFonts w:ascii="Arial" w:hAnsi="Arial" w:cs="Arial"/>
        </w:rPr>
        <w:t>3,0</w:t>
      </w:r>
      <w:r w:rsidRPr="00432E53">
        <w:rPr>
          <w:rFonts w:ascii="Arial" w:hAnsi="Arial" w:cs="Arial"/>
        </w:rPr>
        <w:t xml:space="preserve">% к уровню 2020 года), </w:t>
      </w:r>
      <w:r w:rsidR="00E361D3" w:rsidRPr="00432E53">
        <w:rPr>
          <w:rFonts w:ascii="Arial" w:hAnsi="Arial" w:cs="Arial"/>
        </w:rPr>
        <w:t>бытовых услуг</w:t>
      </w:r>
      <w:r w:rsidRPr="00432E53">
        <w:rPr>
          <w:rFonts w:ascii="Arial" w:hAnsi="Arial" w:cs="Arial"/>
        </w:rPr>
        <w:t xml:space="preserve"> (10</w:t>
      </w:r>
      <w:r w:rsidR="00E361D3" w:rsidRPr="00432E53">
        <w:rPr>
          <w:rFonts w:ascii="Arial" w:hAnsi="Arial" w:cs="Arial"/>
        </w:rPr>
        <w:t>8</w:t>
      </w:r>
      <w:r w:rsidRPr="00432E53">
        <w:rPr>
          <w:rFonts w:ascii="Arial" w:hAnsi="Arial" w:cs="Arial"/>
        </w:rPr>
        <w:t>,1%), коммунальных услуг (10</w:t>
      </w:r>
      <w:r w:rsidR="00E361D3" w:rsidRPr="00432E53">
        <w:rPr>
          <w:rFonts w:ascii="Arial" w:hAnsi="Arial" w:cs="Arial"/>
        </w:rPr>
        <w:t>5,6</w:t>
      </w:r>
      <w:r w:rsidRPr="00432E53">
        <w:rPr>
          <w:rFonts w:ascii="Arial" w:hAnsi="Arial" w:cs="Arial"/>
        </w:rPr>
        <w:t>%), системы образования (в 1</w:t>
      </w:r>
      <w:r w:rsidR="00E361D3" w:rsidRPr="00432E53">
        <w:rPr>
          <w:rFonts w:ascii="Arial" w:hAnsi="Arial" w:cs="Arial"/>
        </w:rPr>
        <w:t>16,3%</w:t>
      </w:r>
      <w:r w:rsidRPr="00432E53">
        <w:rPr>
          <w:rFonts w:ascii="Arial" w:hAnsi="Arial" w:cs="Arial"/>
        </w:rPr>
        <w:t>),</w:t>
      </w:r>
      <w:r w:rsidR="00E361D3" w:rsidRPr="00432E53">
        <w:rPr>
          <w:rFonts w:ascii="Arial" w:hAnsi="Arial" w:cs="Arial"/>
        </w:rPr>
        <w:t xml:space="preserve"> значительно увеличились объемы</w:t>
      </w:r>
      <w:r w:rsidRPr="00432E53">
        <w:rPr>
          <w:rFonts w:ascii="Arial" w:hAnsi="Arial" w:cs="Arial"/>
        </w:rPr>
        <w:t xml:space="preserve"> м</w:t>
      </w:r>
      <w:r w:rsidRPr="00432E53">
        <w:rPr>
          <w:rFonts w:ascii="Arial" w:hAnsi="Arial" w:cs="Arial"/>
        </w:rPr>
        <w:t>е</w:t>
      </w:r>
      <w:r w:rsidRPr="00432E53">
        <w:rPr>
          <w:rFonts w:ascii="Arial" w:hAnsi="Arial" w:cs="Arial"/>
        </w:rPr>
        <w:t>дицински</w:t>
      </w:r>
      <w:r w:rsidR="00E361D3" w:rsidRPr="00432E53">
        <w:rPr>
          <w:rFonts w:ascii="Arial" w:hAnsi="Arial" w:cs="Arial"/>
        </w:rPr>
        <w:t>х</w:t>
      </w:r>
      <w:r w:rsidRPr="00432E53">
        <w:rPr>
          <w:rFonts w:ascii="Arial" w:hAnsi="Arial" w:cs="Arial"/>
        </w:rPr>
        <w:t xml:space="preserve"> услуг (в 1,</w:t>
      </w:r>
      <w:r w:rsidR="00E361D3" w:rsidRPr="00432E53">
        <w:rPr>
          <w:rFonts w:ascii="Arial" w:hAnsi="Arial" w:cs="Arial"/>
        </w:rPr>
        <w:t>3</w:t>
      </w:r>
      <w:r w:rsidRPr="00432E53">
        <w:rPr>
          <w:rFonts w:ascii="Arial" w:hAnsi="Arial" w:cs="Arial"/>
        </w:rPr>
        <w:t xml:space="preserve"> раза), услуг культуры (почти в 1,</w:t>
      </w:r>
      <w:r w:rsidR="00E361D3" w:rsidRPr="00432E53">
        <w:rPr>
          <w:rFonts w:ascii="Arial" w:hAnsi="Arial" w:cs="Arial"/>
        </w:rPr>
        <w:t>8</w:t>
      </w:r>
      <w:r w:rsidRPr="00432E53">
        <w:rPr>
          <w:rFonts w:ascii="Arial" w:hAnsi="Arial" w:cs="Arial"/>
        </w:rPr>
        <w:t xml:space="preserve"> раза), услуг гостиниц (в 1,</w:t>
      </w:r>
      <w:r w:rsidR="00E361D3" w:rsidRPr="00432E53">
        <w:rPr>
          <w:rFonts w:ascii="Arial" w:hAnsi="Arial" w:cs="Arial"/>
        </w:rPr>
        <w:t>6</w:t>
      </w:r>
      <w:r w:rsidRPr="00432E53">
        <w:rPr>
          <w:rFonts w:ascii="Arial" w:hAnsi="Arial" w:cs="Arial"/>
        </w:rPr>
        <w:t xml:space="preserve"> раза), туристские (в 2 раза), физической культуры и спорта (в </w:t>
      </w:r>
      <w:r w:rsidR="00E361D3" w:rsidRPr="00432E53">
        <w:rPr>
          <w:rFonts w:ascii="Arial" w:hAnsi="Arial" w:cs="Arial"/>
        </w:rPr>
        <w:t>1,9</w:t>
      </w:r>
      <w:r w:rsidRPr="00432E53">
        <w:rPr>
          <w:rFonts w:ascii="Arial" w:hAnsi="Arial" w:cs="Arial"/>
        </w:rPr>
        <w:t xml:space="preserve"> раза)</w:t>
      </w:r>
      <w:r w:rsidR="00E361D3" w:rsidRPr="00432E53">
        <w:rPr>
          <w:rFonts w:ascii="Arial" w:hAnsi="Arial" w:cs="Arial"/>
        </w:rPr>
        <w:t>, услуг коллективных средств размещения (в 1,9 раза)</w:t>
      </w:r>
      <w:r w:rsidRPr="00432E53">
        <w:rPr>
          <w:rFonts w:ascii="Arial" w:hAnsi="Arial" w:cs="Arial"/>
        </w:rPr>
        <w:t>.</w:t>
      </w:r>
      <w:proofErr w:type="gramEnd"/>
      <w:r w:rsidRPr="00432E53">
        <w:rPr>
          <w:rFonts w:ascii="Arial" w:hAnsi="Arial" w:cs="Arial"/>
        </w:rPr>
        <w:t xml:space="preserve"> Снизилис</w:t>
      </w:r>
      <w:r w:rsidR="00333A18" w:rsidRPr="00432E53">
        <w:rPr>
          <w:rFonts w:ascii="Arial" w:hAnsi="Arial" w:cs="Arial"/>
        </w:rPr>
        <w:t xml:space="preserve">ь незначительно объемы жилищных, </w:t>
      </w:r>
      <w:r w:rsidRPr="00432E53">
        <w:rPr>
          <w:rFonts w:ascii="Arial" w:hAnsi="Arial" w:cs="Arial"/>
        </w:rPr>
        <w:t>юридических</w:t>
      </w:r>
      <w:r w:rsidR="00333A18" w:rsidRPr="00432E53">
        <w:rPr>
          <w:rFonts w:ascii="Arial" w:hAnsi="Arial" w:cs="Arial"/>
        </w:rPr>
        <w:t xml:space="preserve"> и ветеринарных</w:t>
      </w:r>
      <w:r w:rsidRPr="00432E53">
        <w:rPr>
          <w:rFonts w:ascii="Arial" w:hAnsi="Arial" w:cs="Arial"/>
        </w:rPr>
        <w:t xml:space="preserve"> услуг (9</w:t>
      </w:r>
      <w:r w:rsidR="00333A18" w:rsidRPr="00432E53">
        <w:rPr>
          <w:rFonts w:ascii="Arial" w:hAnsi="Arial" w:cs="Arial"/>
        </w:rPr>
        <w:t xml:space="preserve">8,7%, 99,2% </w:t>
      </w:r>
      <w:r w:rsidRPr="00432E53">
        <w:rPr>
          <w:rFonts w:ascii="Arial" w:hAnsi="Arial" w:cs="Arial"/>
        </w:rPr>
        <w:t>и 99,</w:t>
      </w:r>
      <w:r w:rsidR="00333A18" w:rsidRPr="00432E53">
        <w:rPr>
          <w:rFonts w:ascii="Arial" w:hAnsi="Arial" w:cs="Arial"/>
        </w:rPr>
        <w:t>7</w:t>
      </w:r>
      <w:r w:rsidRPr="00432E53">
        <w:rPr>
          <w:rFonts w:ascii="Arial" w:hAnsi="Arial" w:cs="Arial"/>
        </w:rPr>
        <w:t>% соотве</w:t>
      </w:r>
      <w:r w:rsidRPr="00432E53">
        <w:rPr>
          <w:rFonts w:ascii="Arial" w:hAnsi="Arial" w:cs="Arial"/>
        </w:rPr>
        <w:t>т</w:t>
      </w:r>
      <w:r w:rsidRPr="00432E53">
        <w:rPr>
          <w:rFonts w:ascii="Arial" w:hAnsi="Arial" w:cs="Arial"/>
        </w:rPr>
        <w:t>ственно).</w:t>
      </w:r>
    </w:p>
    <w:p w:rsidR="0066144E" w:rsidRPr="00432E53" w:rsidRDefault="0066144E" w:rsidP="0066144E">
      <w:pPr>
        <w:ind w:firstLine="709"/>
        <w:contextualSpacing/>
        <w:jc w:val="both"/>
        <w:rPr>
          <w:rFonts w:ascii="Arial" w:hAnsi="Arial" w:cs="Arial"/>
        </w:rPr>
      </w:pPr>
      <w:r w:rsidRPr="00432E53">
        <w:rPr>
          <w:rFonts w:ascii="Arial" w:hAnsi="Arial" w:cs="Arial"/>
        </w:rPr>
        <w:t xml:space="preserve"> Общий объем реализованных населению бытовых услуг составил </w:t>
      </w:r>
      <w:r w:rsidR="00E361D3" w:rsidRPr="00432E53">
        <w:rPr>
          <w:rFonts w:ascii="Arial" w:hAnsi="Arial" w:cs="Arial"/>
        </w:rPr>
        <w:t>7,9</w:t>
      </w:r>
      <w:r w:rsidRPr="00432E53">
        <w:rPr>
          <w:rFonts w:ascii="Arial" w:hAnsi="Arial" w:cs="Arial"/>
        </w:rPr>
        <w:t xml:space="preserve"> млрд. рублей, или 1</w:t>
      </w:r>
      <w:r w:rsidR="00E361D3" w:rsidRPr="00432E53">
        <w:rPr>
          <w:rFonts w:ascii="Arial" w:hAnsi="Arial" w:cs="Arial"/>
        </w:rPr>
        <w:t>08,1</w:t>
      </w:r>
      <w:r w:rsidRPr="00432E53">
        <w:rPr>
          <w:rFonts w:ascii="Arial" w:hAnsi="Arial" w:cs="Arial"/>
        </w:rPr>
        <w:t xml:space="preserve">% к периоду 2020 года. </w:t>
      </w:r>
      <w:proofErr w:type="gramStart"/>
      <w:r w:rsidRPr="00432E53">
        <w:rPr>
          <w:rFonts w:ascii="Arial" w:hAnsi="Arial" w:cs="Arial"/>
        </w:rPr>
        <w:t>Увеличились объемы по всем видам б</w:t>
      </w:r>
      <w:r w:rsidRPr="00432E53">
        <w:rPr>
          <w:rFonts w:ascii="Arial" w:hAnsi="Arial" w:cs="Arial"/>
        </w:rPr>
        <w:t>ы</w:t>
      </w:r>
      <w:r w:rsidRPr="00432E53">
        <w:rPr>
          <w:rFonts w:ascii="Arial" w:hAnsi="Arial" w:cs="Arial"/>
        </w:rPr>
        <w:t>товых услуг</w:t>
      </w:r>
      <w:r w:rsidR="00E361D3" w:rsidRPr="00432E53">
        <w:rPr>
          <w:rFonts w:ascii="Arial" w:hAnsi="Arial" w:cs="Arial"/>
        </w:rPr>
        <w:t xml:space="preserve"> за исключением ремонта и строительства жилья и других построек, где произошло снижение объемов на 2,9%</w:t>
      </w:r>
      <w:r w:rsidRPr="00432E53">
        <w:rPr>
          <w:rFonts w:ascii="Arial" w:hAnsi="Arial" w:cs="Arial"/>
        </w:rPr>
        <w:t xml:space="preserve">. Наибольший рост </w:t>
      </w:r>
      <w:r w:rsidR="00E361D3" w:rsidRPr="00432E53">
        <w:rPr>
          <w:rFonts w:ascii="Arial" w:hAnsi="Arial" w:cs="Arial"/>
        </w:rPr>
        <w:t>объемов</w:t>
      </w:r>
      <w:r w:rsidR="00F35DE7" w:rsidRPr="00432E53">
        <w:rPr>
          <w:rFonts w:ascii="Arial" w:hAnsi="Arial" w:cs="Arial"/>
        </w:rPr>
        <w:t xml:space="preserve"> услуг</w:t>
      </w:r>
      <w:r w:rsidR="00E361D3" w:rsidRPr="00432E53">
        <w:rPr>
          <w:rFonts w:ascii="Arial" w:hAnsi="Arial" w:cs="Arial"/>
        </w:rPr>
        <w:t xml:space="preserve"> </w:t>
      </w:r>
      <w:r w:rsidRPr="00432E53">
        <w:rPr>
          <w:rFonts w:ascii="Arial" w:hAnsi="Arial" w:cs="Arial"/>
        </w:rPr>
        <w:t>о</w:t>
      </w:r>
      <w:r w:rsidRPr="00432E53">
        <w:rPr>
          <w:rFonts w:ascii="Arial" w:hAnsi="Arial" w:cs="Arial"/>
        </w:rPr>
        <w:t>т</w:t>
      </w:r>
      <w:r w:rsidRPr="00432E53">
        <w:rPr>
          <w:rFonts w:ascii="Arial" w:hAnsi="Arial" w:cs="Arial"/>
        </w:rPr>
        <w:t xml:space="preserve">мечен </w:t>
      </w:r>
      <w:r w:rsidR="004B6437" w:rsidRPr="00432E53">
        <w:rPr>
          <w:rFonts w:ascii="Arial" w:hAnsi="Arial" w:cs="Arial"/>
        </w:rPr>
        <w:t xml:space="preserve">по </w:t>
      </w:r>
      <w:r w:rsidRPr="00432E53">
        <w:rPr>
          <w:rFonts w:ascii="Arial" w:hAnsi="Arial" w:cs="Arial"/>
        </w:rPr>
        <w:t>ремонту и пошиву швейных, меховых и кожаных изделий, головных уб</w:t>
      </w:r>
      <w:r w:rsidRPr="00432E53">
        <w:rPr>
          <w:rFonts w:ascii="Arial" w:hAnsi="Arial" w:cs="Arial"/>
        </w:rPr>
        <w:t>о</w:t>
      </w:r>
      <w:r w:rsidRPr="00432E53">
        <w:rPr>
          <w:rFonts w:ascii="Arial" w:hAnsi="Arial" w:cs="Arial"/>
        </w:rPr>
        <w:lastRenderedPageBreak/>
        <w:t>ров и изделий текстильной галантереи</w:t>
      </w:r>
      <w:r w:rsidR="00167D7C" w:rsidRPr="00432E53">
        <w:rPr>
          <w:rFonts w:ascii="Arial" w:hAnsi="Arial" w:cs="Arial"/>
        </w:rPr>
        <w:t xml:space="preserve">, </w:t>
      </w:r>
      <w:r w:rsidRPr="00432E53">
        <w:rPr>
          <w:rFonts w:ascii="Arial" w:hAnsi="Arial" w:cs="Arial"/>
        </w:rPr>
        <w:t>ремонту, пошиву и вязанию трикотажных изделий</w:t>
      </w:r>
      <w:r w:rsidR="00167D7C" w:rsidRPr="00432E53">
        <w:rPr>
          <w:rFonts w:ascii="Arial" w:hAnsi="Arial" w:cs="Arial"/>
        </w:rPr>
        <w:t>, по ремонту, окраске и пошиву обуви (в 1,3 раза)</w:t>
      </w:r>
      <w:r w:rsidRPr="00432E53">
        <w:rPr>
          <w:rFonts w:ascii="Arial" w:hAnsi="Arial" w:cs="Arial"/>
        </w:rPr>
        <w:t>, услуги по прокату</w:t>
      </w:r>
      <w:proofErr w:type="gramEnd"/>
      <w:r w:rsidRPr="00432E53">
        <w:rPr>
          <w:rFonts w:ascii="Arial" w:hAnsi="Arial" w:cs="Arial"/>
        </w:rPr>
        <w:t xml:space="preserve"> (в 1,5 раза), изготовлению и ремонту  мебели</w:t>
      </w:r>
      <w:r w:rsidR="00167D7C" w:rsidRPr="00432E53">
        <w:rPr>
          <w:rFonts w:ascii="Arial" w:hAnsi="Arial" w:cs="Arial"/>
        </w:rPr>
        <w:t xml:space="preserve"> (в 1,2 раза)</w:t>
      </w:r>
      <w:r w:rsidRPr="00432E53">
        <w:rPr>
          <w:rFonts w:ascii="Arial" w:hAnsi="Arial" w:cs="Arial"/>
        </w:rPr>
        <w:t>, химической чистке и краш</w:t>
      </w:r>
      <w:r w:rsidRPr="00432E53">
        <w:rPr>
          <w:rFonts w:ascii="Arial" w:hAnsi="Arial" w:cs="Arial"/>
        </w:rPr>
        <w:t>е</w:t>
      </w:r>
      <w:r w:rsidRPr="00432E53">
        <w:rPr>
          <w:rFonts w:ascii="Arial" w:hAnsi="Arial" w:cs="Arial"/>
        </w:rPr>
        <w:t>нию, услуги прачечных (в 1,</w:t>
      </w:r>
      <w:r w:rsidR="00167D7C" w:rsidRPr="00432E53">
        <w:rPr>
          <w:rFonts w:ascii="Arial" w:hAnsi="Arial" w:cs="Arial"/>
        </w:rPr>
        <w:t>3</w:t>
      </w:r>
      <w:r w:rsidRPr="00432E53">
        <w:rPr>
          <w:rFonts w:ascii="Arial" w:hAnsi="Arial" w:cs="Arial"/>
        </w:rPr>
        <w:t xml:space="preserve"> раза), услуги фотоателье (в 1,</w:t>
      </w:r>
      <w:r w:rsidR="00167D7C" w:rsidRPr="00432E53">
        <w:rPr>
          <w:rFonts w:ascii="Arial" w:hAnsi="Arial" w:cs="Arial"/>
        </w:rPr>
        <w:t>4</w:t>
      </w:r>
      <w:r w:rsidRPr="00432E53">
        <w:rPr>
          <w:rFonts w:ascii="Arial" w:hAnsi="Arial" w:cs="Arial"/>
        </w:rPr>
        <w:t xml:space="preserve"> раза).</w:t>
      </w:r>
    </w:p>
    <w:p w:rsidR="0066144E" w:rsidRPr="00432E53" w:rsidRDefault="0066144E" w:rsidP="0066144E">
      <w:pPr>
        <w:ind w:firstLine="709"/>
        <w:contextualSpacing/>
        <w:jc w:val="both"/>
        <w:rPr>
          <w:rFonts w:ascii="Arial" w:hAnsi="Arial" w:cs="Arial"/>
        </w:rPr>
      </w:pPr>
      <w:r w:rsidRPr="00432E53">
        <w:rPr>
          <w:rFonts w:ascii="Arial" w:hAnsi="Arial" w:cs="Arial"/>
        </w:rPr>
        <w:t>В структуре объема бытовых услуг 70,</w:t>
      </w:r>
      <w:r w:rsidR="00167D7C" w:rsidRPr="00432E53">
        <w:rPr>
          <w:rFonts w:ascii="Arial" w:hAnsi="Arial" w:cs="Arial"/>
        </w:rPr>
        <w:t>6</w:t>
      </w:r>
      <w:r w:rsidRPr="00432E53">
        <w:rPr>
          <w:rFonts w:ascii="Arial" w:hAnsi="Arial" w:cs="Arial"/>
        </w:rPr>
        <w:t>% приходилось на услуги по ремонту и строительству жилья и других построек, техобслуживанию и ремонту транспор</w:t>
      </w:r>
      <w:r w:rsidRPr="00432E53">
        <w:rPr>
          <w:rFonts w:ascii="Arial" w:hAnsi="Arial" w:cs="Arial"/>
        </w:rPr>
        <w:t>т</w:t>
      </w:r>
      <w:r w:rsidRPr="00432E53">
        <w:rPr>
          <w:rFonts w:ascii="Arial" w:hAnsi="Arial" w:cs="Arial"/>
        </w:rPr>
        <w:t>ных средств, машин и оборудования, парикмахерские услуги.</w:t>
      </w:r>
    </w:p>
    <w:p w:rsidR="0066144E" w:rsidRPr="00432E53" w:rsidRDefault="00432E53" w:rsidP="0066144E">
      <w:pPr>
        <w:ind w:firstLine="709"/>
        <w:contextualSpacing/>
        <w:jc w:val="both"/>
        <w:rPr>
          <w:rFonts w:ascii="Arial" w:hAnsi="Arial" w:cs="Arial"/>
        </w:rPr>
      </w:pPr>
      <w:r w:rsidRPr="00432E53">
        <w:rPr>
          <w:rFonts w:ascii="Arial" w:hAnsi="Arial" w:cs="Arial"/>
        </w:rPr>
        <w:t xml:space="preserve">Сфера потребительского рынка и услуг остается </w:t>
      </w:r>
      <w:proofErr w:type="spellStart"/>
      <w:r w:rsidRPr="00432E53">
        <w:rPr>
          <w:rFonts w:ascii="Arial" w:hAnsi="Arial" w:cs="Arial"/>
        </w:rPr>
        <w:t>инвестиционно</w:t>
      </w:r>
      <w:proofErr w:type="spellEnd"/>
      <w:r w:rsidRPr="00432E53">
        <w:rPr>
          <w:rFonts w:ascii="Arial" w:hAnsi="Arial" w:cs="Arial"/>
        </w:rPr>
        <w:t xml:space="preserve"> привлек</w:t>
      </w:r>
      <w:r w:rsidRPr="00432E53">
        <w:rPr>
          <w:rFonts w:ascii="Arial" w:hAnsi="Arial" w:cs="Arial"/>
        </w:rPr>
        <w:t>а</w:t>
      </w:r>
      <w:r w:rsidRPr="00432E53">
        <w:rPr>
          <w:rFonts w:ascii="Arial" w:hAnsi="Arial" w:cs="Arial"/>
        </w:rPr>
        <w:t>тельной. За 2021 год открыто и реконструировано 340 объектов потребительского рынка, в основном по продаже продуктов питания. За год увеличилось число об</w:t>
      </w:r>
      <w:r w:rsidRPr="00432E53">
        <w:rPr>
          <w:rFonts w:ascii="Arial" w:hAnsi="Arial" w:cs="Arial"/>
        </w:rPr>
        <w:t>ъ</w:t>
      </w:r>
      <w:r w:rsidRPr="00432E53">
        <w:rPr>
          <w:rFonts w:ascii="Arial" w:hAnsi="Arial" w:cs="Arial"/>
        </w:rPr>
        <w:t xml:space="preserve">ектов торговли в </w:t>
      </w:r>
      <w:proofErr w:type="spellStart"/>
      <w:r w:rsidRPr="00432E53">
        <w:rPr>
          <w:rFonts w:ascii="Arial" w:hAnsi="Arial" w:cs="Arial"/>
        </w:rPr>
        <w:t>Вурнарском</w:t>
      </w:r>
      <w:proofErr w:type="spellEnd"/>
      <w:r w:rsidRPr="00432E53">
        <w:rPr>
          <w:rFonts w:ascii="Arial" w:hAnsi="Arial" w:cs="Arial"/>
        </w:rPr>
        <w:t xml:space="preserve">, </w:t>
      </w:r>
      <w:proofErr w:type="spellStart"/>
      <w:r w:rsidRPr="00432E53">
        <w:rPr>
          <w:rFonts w:ascii="Arial" w:hAnsi="Arial" w:cs="Arial"/>
        </w:rPr>
        <w:t>Ибресинском</w:t>
      </w:r>
      <w:proofErr w:type="spellEnd"/>
      <w:r w:rsidRPr="00432E53">
        <w:rPr>
          <w:rFonts w:ascii="Arial" w:hAnsi="Arial" w:cs="Arial"/>
        </w:rPr>
        <w:t xml:space="preserve">, </w:t>
      </w:r>
      <w:proofErr w:type="spellStart"/>
      <w:r w:rsidRPr="00432E53">
        <w:rPr>
          <w:rFonts w:ascii="Arial" w:hAnsi="Arial" w:cs="Arial"/>
        </w:rPr>
        <w:t>Шемуршинском</w:t>
      </w:r>
      <w:proofErr w:type="spellEnd"/>
      <w:r w:rsidRPr="00432E53">
        <w:rPr>
          <w:rFonts w:ascii="Arial" w:hAnsi="Arial" w:cs="Arial"/>
        </w:rPr>
        <w:t xml:space="preserve"> районах, а также во всех городских округах республики. О</w:t>
      </w:r>
      <w:r w:rsidR="0066144E" w:rsidRPr="00432E53">
        <w:rPr>
          <w:rFonts w:ascii="Arial" w:hAnsi="Arial" w:cs="Arial"/>
        </w:rPr>
        <w:t>беспеченность населения площадью торг</w:t>
      </w:r>
      <w:r w:rsidR="0066144E" w:rsidRPr="00432E53">
        <w:rPr>
          <w:rFonts w:ascii="Arial" w:hAnsi="Arial" w:cs="Arial"/>
        </w:rPr>
        <w:t>о</w:t>
      </w:r>
      <w:r w:rsidR="0066144E" w:rsidRPr="00432E53">
        <w:rPr>
          <w:rFonts w:ascii="Arial" w:hAnsi="Arial" w:cs="Arial"/>
        </w:rPr>
        <w:t>вых объектов на 1000 чел. достигла 8</w:t>
      </w:r>
      <w:r w:rsidR="00167D7C" w:rsidRPr="00432E53">
        <w:rPr>
          <w:rFonts w:ascii="Arial" w:hAnsi="Arial" w:cs="Arial"/>
        </w:rPr>
        <w:t>13,5</w:t>
      </w:r>
      <w:r w:rsidR="0066144E" w:rsidRPr="00432E53">
        <w:rPr>
          <w:rFonts w:ascii="Arial" w:hAnsi="Arial" w:cs="Arial"/>
        </w:rPr>
        <w:t xml:space="preserve"> кв. м., что в 2,5</w:t>
      </w:r>
      <w:r w:rsidR="00167D7C" w:rsidRPr="00432E53">
        <w:rPr>
          <w:rFonts w:ascii="Arial" w:hAnsi="Arial" w:cs="Arial"/>
        </w:rPr>
        <w:t>6</w:t>
      </w:r>
      <w:r w:rsidR="0066144E" w:rsidRPr="00432E53">
        <w:rPr>
          <w:rFonts w:ascii="Arial" w:hAnsi="Arial" w:cs="Arial"/>
        </w:rPr>
        <w:t xml:space="preserve"> раза выше устано</w:t>
      </w:r>
      <w:r w:rsidR="0066144E" w:rsidRPr="00432E53">
        <w:rPr>
          <w:rFonts w:ascii="Arial" w:hAnsi="Arial" w:cs="Arial"/>
        </w:rPr>
        <w:t>в</w:t>
      </w:r>
      <w:r w:rsidR="0066144E" w:rsidRPr="00432E53">
        <w:rPr>
          <w:rFonts w:ascii="Arial" w:hAnsi="Arial" w:cs="Arial"/>
        </w:rPr>
        <w:t xml:space="preserve">ленного норматива (317,5 кв. м.). </w:t>
      </w:r>
      <w:r w:rsidRPr="00432E53">
        <w:rPr>
          <w:rFonts w:ascii="Arial" w:hAnsi="Arial" w:cs="Arial"/>
        </w:rPr>
        <w:t>Фактическая обеспеченность населения торг</w:t>
      </w:r>
      <w:r w:rsidRPr="00432E53">
        <w:rPr>
          <w:rFonts w:ascii="Arial" w:hAnsi="Arial" w:cs="Arial"/>
        </w:rPr>
        <w:t>о</w:t>
      </w:r>
      <w:r w:rsidRPr="00432E53">
        <w:rPr>
          <w:rFonts w:ascii="Arial" w:hAnsi="Arial" w:cs="Arial"/>
        </w:rPr>
        <w:t>выми павильонами и киосками составила 9,0 ед</w:t>
      </w:r>
      <w:r w:rsidR="00AF3CF3">
        <w:rPr>
          <w:rFonts w:ascii="Arial" w:hAnsi="Arial" w:cs="Arial"/>
        </w:rPr>
        <w:t>.</w:t>
      </w:r>
      <w:r w:rsidRPr="00432E53">
        <w:rPr>
          <w:rFonts w:ascii="Arial" w:hAnsi="Arial" w:cs="Arial"/>
        </w:rPr>
        <w:t xml:space="preserve"> на 10,0 тыс. чел. населения при нормативе 7,6 ед.</w:t>
      </w:r>
    </w:p>
    <w:p w:rsidR="0066144E" w:rsidRPr="00432E53" w:rsidRDefault="0066144E" w:rsidP="0066144E">
      <w:pPr>
        <w:ind w:firstLine="709"/>
        <w:contextualSpacing/>
        <w:jc w:val="both"/>
        <w:rPr>
          <w:rFonts w:ascii="Arial" w:hAnsi="Arial" w:cs="Arial"/>
        </w:rPr>
      </w:pPr>
      <w:r w:rsidRPr="00432E53">
        <w:rPr>
          <w:rFonts w:ascii="Arial" w:hAnsi="Arial" w:cs="Arial"/>
        </w:rPr>
        <w:t>Уделяется большое внимание созданию условий для реализации сельск</w:t>
      </w:r>
      <w:r w:rsidRPr="00432E53">
        <w:rPr>
          <w:rFonts w:ascii="Arial" w:hAnsi="Arial" w:cs="Arial"/>
        </w:rPr>
        <w:t>о</w:t>
      </w:r>
      <w:r w:rsidRPr="00432E53">
        <w:rPr>
          <w:rFonts w:ascii="Arial" w:hAnsi="Arial" w:cs="Arial"/>
        </w:rPr>
        <w:t>хозяйственной продукции на рынках и ярмарках. Перечень ярмарок на 2021 год был утвержден 2</w:t>
      </w:r>
      <w:r w:rsidR="00167D7C" w:rsidRPr="00432E53">
        <w:rPr>
          <w:rFonts w:ascii="Arial" w:hAnsi="Arial" w:cs="Arial"/>
        </w:rPr>
        <w:t>2</w:t>
      </w:r>
      <w:r w:rsidRPr="00432E53">
        <w:rPr>
          <w:rFonts w:ascii="Arial" w:hAnsi="Arial" w:cs="Arial"/>
        </w:rPr>
        <w:t xml:space="preserve"> администрациями муниципальных районов и городских округов Чувашской Республики. Количество площадок для ярмарок составило 114 ед., проведено более </w:t>
      </w:r>
      <w:r w:rsidR="00432E53" w:rsidRPr="00432E53">
        <w:rPr>
          <w:rFonts w:ascii="Arial" w:hAnsi="Arial" w:cs="Arial"/>
        </w:rPr>
        <w:t>4</w:t>
      </w:r>
      <w:r w:rsidRPr="00432E53">
        <w:rPr>
          <w:rFonts w:ascii="Arial" w:hAnsi="Arial" w:cs="Arial"/>
        </w:rPr>
        <w:t xml:space="preserve">,0 тыс. ярмарок, из них </w:t>
      </w:r>
      <w:r w:rsidR="00432E53" w:rsidRPr="00432E53">
        <w:rPr>
          <w:rFonts w:ascii="Arial" w:hAnsi="Arial" w:cs="Arial"/>
        </w:rPr>
        <w:t>600</w:t>
      </w:r>
      <w:r w:rsidRPr="00432E53">
        <w:rPr>
          <w:rFonts w:ascii="Arial" w:hAnsi="Arial" w:cs="Arial"/>
        </w:rPr>
        <w:t xml:space="preserve"> сельскохозяйственных. В период проведения ярмарок на специальных торговых площадках предоставлялась во</w:t>
      </w:r>
      <w:r w:rsidRPr="00432E53">
        <w:rPr>
          <w:rFonts w:ascii="Arial" w:hAnsi="Arial" w:cs="Arial"/>
        </w:rPr>
        <w:t>з</w:t>
      </w:r>
      <w:r w:rsidRPr="00432E53">
        <w:rPr>
          <w:rFonts w:ascii="Arial" w:hAnsi="Arial" w:cs="Arial"/>
        </w:rPr>
        <w:t>можность реализации сельскохозяйственной продукции через специальное торг</w:t>
      </w:r>
      <w:r w:rsidRPr="00432E53">
        <w:rPr>
          <w:rFonts w:ascii="Arial" w:hAnsi="Arial" w:cs="Arial"/>
        </w:rPr>
        <w:t>о</w:t>
      </w:r>
      <w:r w:rsidRPr="00432E53">
        <w:rPr>
          <w:rFonts w:ascii="Arial" w:hAnsi="Arial" w:cs="Arial"/>
        </w:rPr>
        <w:t>вое оборудование, а также с автотранспорта. Места для торговли предоставл</w:t>
      </w:r>
      <w:r w:rsidRPr="00432E53">
        <w:rPr>
          <w:rFonts w:ascii="Arial" w:hAnsi="Arial" w:cs="Arial"/>
        </w:rPr>
        <w:t>я</w:t>
      </w:r>
      <w:r w:rsidRPr="00432E53">
        <w:rPr>
          <w:rFonts w:ascii="Arial" w:hAnsi="Arial" w:cs="Arial"/>
        </w:rPr>
        <w:t>лись на льготной основе и бесплатно.</w:t>
      </w:r>
    </w:p>
    <w:p w:rsidR="0066144E" w:rsidRPr="00011C08" w:rsidRDefault="0066144E" w:rsidP="0066144E">
      <w:pPr>
        <w:ind w:firstLine="709"/>
        <w:contextualSpacing/>
        <w:jc w:val="both"/>
        <w:rPr>
          <w:rFonts w:ascii="Arial" w:hAnsi="Arial" w:cs="Arial"/>
        </w:rPr>
      </w:pPr>
      <w:r w:rsidRPr="00432E53">
        <w:rPr>
          <w:rFonts w:ascii="Arial" w:hAnsi="Arial" w:cs="Arial"/>
        </w:rPr>
        <w:t>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w:t>
      </w:r>
      <w:r w:rsidRPr="00432E53">
        <w:rPr>
          <w:rFonts w:ascii="Arial" w:hAnsi="Arial" w:cs="Arial"/>
        </w:rPr>
        <w:t>е</w:t>
      </w:r>
      <w:r w:rsidRPr="00432E53">
        <w:rPr>
          <w:rFonts w:ascii="Arial" w:hAnsi="Arial" w:cs="Arial"/>
        </w:rPr>
        <w:t>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обесп</w:t>
      </w:r>
      <w:r w:rsidRPr="00432E53">
        <w:rPr>
          <w:rFonts w:ascii="Arial" w:hAnsi="Arial" w:cs="Arial"/>
        </w:rPr>
        <w:t>е</w:t>
      </w:r>
      <w:r w:rsidRPr="00432E53">
        <w:rPr>
          <w:rFonts w:ascii="Arial" w:hAnsi="Arial" w:cs="Arial"/>
        </w:rPr>
        <w:t>чивают занятостью в сельской местности около 6 тысяч человек. По итогам Вс</w:t>
      </w:r>
      <w:r w:rsidRPr="00432E53">
        <w:rPr>
          <w:rFonts w:ascii="Arial" w:hAnsi="Arial" w:cs="Arial"/>
        </w:rPr>
        <w:t>е</w:t>
      </w:r>
      <w:r w:rsidRPr="00432E53">
        <w:rPr>
          <w:rFonts w:ascii="Arial" w:hAnsi="Arial" w:cs="Arial"/>
        </w:rPr>
        <w:t xml:space="preserve">российского соревнования «За эффективное развитие отраслей деятельности» среди региональных союзов потребительских обществ за </w:t>
      </w:r>
      <w:r w:rsidR="00720C33">
        <w:rPr>
          <w:rFonts w:ascii="Arial" w:hAnsi="Arial" w:cs="Arial"/>
        </w:rPr>
        <w:t>третий</w:t>
      </w:r>
      <w:r w:rsidRPr="00432E53">
        <w:rPr>
          <w:rFonts w:ascii="Arial" w:hAnsi="Arial" w:cs="Arial"/>
        </w:rPr>
        <w:t xml:space="preserve"> квартал 2021 г</w:t>
      </w:r>
      <w:r w:rsidRPr="00432E53">
        <w:rPr>
          <w:rFonts w:ascii="Arial" w:hAnsi="Arial" w:cs="Arial"/>
        </w:rPr>
        <w:t>о</w:t>
      </w:r>
      <w:r w:rsidRPr="00432E53">
        <w:rPr>
          <w:rFonts w:ascii="Arial" w:hAnsi="Arial" w:cs="Arial"/>
        </w:rPr>
        <w:t xml:space="preserve">да  </w:t>
      </w:r>
      <w:proofErr w:type="spellStart"/>
      <w:r w:rsidRPr="00432E53">
        <w:rPr>
          <w:rFonts w:ascii="Arial" w:hAnsi="Arial" w:cs="Arial"/>
        </w:rPr>
        <w:t>Чувашпотребсоюзу</w:t>
      </w:r>
      <w:proofErr w:type="spellEnd"/>
      <w:r w:rsidRPr="00432E53">
        <w:rPr>
          <w:rFonts w:ascii="Arial" w:hAnsi="Arial" w:cs="Arial"/>
        </w:rPr>
        <w:t xml:space="preserve"> присужден</w:t>
      </w:r>
      <w:r w:rsidR="00011C08">
        <w:rPr>
          <w:rFonts w:ascii="Arial" w:hAnsi="Arial" w:cs="Arial"/>
        </w:rPr>
        <w:t>ы</w:t>
      </w:r>
      <w:r w:rsidRPr="00432E53">
        <w:rPr>
          <w:rFonts w:ascii="Arial" w:hAnsi="Arial" w:cs="Arial"/>
        </w:rPr>
        <w:t xml:space="preserve"> </w:t>
      </w:r>
      <w:r w:rsidRPr="00011C08">
        <w:rPr>
          <w:rFonts w:ascii="Arial" w:hAnsi="Arial" w:cs="Arial"/>
        </w:rPr>
        <w:t>перв</w:t>
      </w:r>
      <w:r w:rsidR="00011C08">
        <w:rPr>
          <w:rFonts w:ascii="Arial" w:hAnsi="Arial" w:cs="Arial"/>
        </w:rPr>
        <w:t>ые</w:t>
      </w:r>
      <w:r w:rsidRPr="00011C08">
        <w:rPr>
          <w:rFonts w:ascii="Arial" w:hAnsi="Arial" w:cs="Arial"/>
        </w:rPr>
        <w:t xml:space="preserve"> мест</w:t>
      </w:r>
      <w:r w:rsidR="00011C08">
        <w:rPr>
          <w:rFonts w:ascii="Arial" w:hAnsi="Arial" w:cs="Arial"/>
        </w:rPr>
        <w:t>а</w:t>
      </w:r>
      <w:r w:rsidRPr="00011C08">
        <w:rPr>
          <w:rFonts w:ascii="Arial" w:hAnsi="Arial" w:cs="Arial"/>
        </w:rPr>
        <w:t xml:space="preserve"> за развитие  розничной торго</w:t>
      </w:r>
      <w:r w:rsidRPr="00011C08">
        <w:rPr>
          <w:rFonts w:ascii="Arial" w:hAnsi="Arial" w:cs="Arial"/>
        </w:rPr>
        <w:t>в</w:t>
      </w:r>
      <w:r w:rsidRPr="00011C08">
        <w:rPr>
          <w:rFonts w:ascii="Arial" w:hAnsi="Arial" w:cs="Arial"/>
        </w:rPr>
        <w:t>ли, за развитие общественного питания, за развитие заготовительной деятельн</w:t>
      </w:r>
      <w:r w:rsidRPr="00011C08">
        <w:rPr>
          <w:rFonts w:ascii="Arial" w:hAnsi="Arial" w:cs="Arial"/>
        </w:rPr>
        <w:t>о</w:t>
      </w:r>
      <w:r w:rsidRPr="00011C08">
        <w:rPr>
          <w:rFonts w:ascii="Arial" w:hAnsi="Arial" w:cs="Arial"/>
        </w:rPr>
        <w:t>сти, за участие в объединенных закупках, а также первое место по Приволжскому федеральному округу.</w:t>
      </w:r>
    </w:p>
    <w:p w:rsidR="0066144E" w:rsidRPr="00432E53" w:rsidRDefault="0066144E" w:rsidP="0066144E">
      <w:pPr>
        <w:ind w:firstLine="709"/>
        <w:contextualSpacing/>
        <w:jc w:val="both"/>
        <w:rPr>
          <w:rFonts w:ascii="Arial" w:hAnsi="Arial" w:cs="Arial"/>
        </w:rPr>
      </w:pPr>
      <w:r w:rsidRPr="00432E53">
        <w:rPr>
          <w:rFonts w:ascii="Arial" w:hAnsi="Arial" w:cs="Arial"/>
        </w:rPr>
        <w:t>Прогрессирующее развитие информационных технологий, широкое распр</w:t>
      </w:r>
      <w:r w:rsidRPr="00432E53">
        <w:rPr>
          <w:rFonts w:ascii="Arial" w:hAnsi="Arial" w:cs="Arial"/>
        </w:rPr>
        <w:t>о</w:t>
      </w:r>
      <w:r w:rsidRPr="00432E53">
        <w:rPr>
          <w:rFonts w:ascii="Arial" w:hAnsi="Arial" w:cs="Arial"/>
        </w:rPr>
        <w:t>странение информационно-телекоммуникационной сети Интернет, информатиз</w:t>
      </w:r>
      <w:r w:rsidRPr="00432E53">
        <w:rPr>
          <w:rFonts w:ascii="Arial" w:hAnsi="Arial" w:cs="Arial"/>
        </w:rPr>
        <w:t>а</w:t>
      </w:r>
      <w:r w:rsidRPr="00432E53">
        <w:rPr>
          <w:rFonts w:ascii="Arial" w:hAnsi="Arial" w:cs="Arial"/>
        </w:rPr>
        <w:t xml:space="preserve">ция общества, а также отсутствие запретов по дистанционной торговле в период реализации ограничительных мер способствовало развитию в республике более </w:t>
      </w:r>
      <w:r w:rsidR="00AF3CF3">
        <w:rPr>
          <w:rFonts w:ascii="Arial" w:hAnsi="Arial" w:cs="Arial"/>
        </w:rPr>
        <w:t>450</w:t>
      </w:r>
      <w:r w:rsidRPr="00432E53">
        <w:rPr>
          <w:rFonts w:ascii="Arial" w:hAnsi="Arial" w:cs="Arial"/>
        </w:rPr>
        <w:t xml:space="preserve"> </w:t>
      </w:r>
      <w:proofErr w:type="gramStart"/>
      <w:r w:rsidRPr="00432E53">
        <w:rPr>
          <w:rFonts w:ascii="Arial" w:hAnsi="Arial" w:cs="Arial"/>
        </w:rPr>
        <w:t>интернет-магазинов</w:t>
      </w:r>
      <w:proofErr w:type="gramEnd"/>
      <w:r w:rsidRPr="00432E53">
        <w:rPr>
          <w:rFonts w:ascii="Arial" w:hAnsi="Arial" w:cs="Arial"/>
        </w:rPr>
        <w:t>, развитию услуги по доставке товаров на дом. В о</w:t>
      </w:r>
      <w:r w:rsidRPr="00432E53">
        <w:rPr>
          <w:rFonts w:ascii="Arial" w:hAnsi="Arial" w:cs="Arial"/>
          <w:iCs/>
        </w:rPr>
        <w:t>рган</w:t>
      </w:r>
      <w:r w:rsidRPr="00432E53">
        <w:rPr>
          <w:rFonts w:ascii="Arial" w:hAnsi="Arial" w:cs="Arial"/>
          <w:iCs/>
        </w:rPr>
        <w:t>и</w:t>
      </w:r>
      <w:r w:rsidRPr="00432E53">
        <w:rPr>
          <w:rFonts w:ascii="Arial" w:hAnsi="Arial" w:cs="Arial"/>
          <w:iCs/>
        </w:rPr>
        <w:t>зациях розничной торговли продолжается работа по привлечению покупателей путем проведения таких</w:t>
      </w:r>
      <w:r w:rsidRPr="00432E53">
        <w:rPr>
          <w:rFonts w:ascii="Arial" w:hAnsi="Arial" w:cs="Arial"/>
        </w:rPr>
        <w:t xml:space="preserve"> форм торговли, как распродажи, скидки, акции. </w:t>
      </w:r>
    </w:p>
    <w:p w:rsidR="0066144E" w:rsidRPr="00432E53" w:rsidRDefault="0066144E" w:rsidP="0066144E">
      <w:pPr>
        <w:ind w:firstLine="709"/>
        <w:contextualSpacing/>
        <w:jc w:val="both"/>
        <w:rPr>
          <w:rFonts w:ascii="Arial" w:hAnsi="Arial" w:cs="Arial"/>
        </w:rPr>
      </w:pPr>
      <w:r w:rsidRPr="00432E53">
        <w:rPr>
          <w:rFonts w:ascii="Arial" w:hAnsi="Arial" w:cs="Arial"/>
        </w:rPr>
        <w:t>Все больше в магазинах появляется продукция местных товаропроизвод</w:t>
      </w:r>
      <w:r w:rsidRPr="00432E53">
        <w:rPr>
          <w:rFonts w:ascii="Arial" w:hAnsi="Arial" w:cs="Arial"/>
        </w:rPr>
        <w:t>и</w:t>
      </w:r>
      <w:r w:rsidRPr="00432E53">
        <w:rPr>
          <w:rFonts w:ascii="Arial" w:hAnsi="Arial" w:cs="Arial"/>
        </w:rPr>
        <w:t>телей, экологически чистых и пользующихся спросом у населения. Этому спосо</w:t>
      </w:r>
      <w:r w:rsidRPr="00432E53">
        <w:rPr>
          <w:rFonts w:ascii="Arial" w:hAnsi="Arial" w:cs="Arial"/>
        </w:rPr>
        <w:t>б</w:t>
      </w:r>
      <w:r w:rsidRPr="00432E53">
        <w:rPr>
          <w:rFonts w:ascii="Arial" w:hAnsi="Arial" w:cs="Arial"/>
        </w:rPr>
        <w:t>ствует активное взаимодействие органов государственной власти с произво</w:t>
      </w:r>
      <w:r w:rsidRPr="00432E53">
        <w:rPr>
          <w:rFonts w:ascii="Arial" w:hAnsi="Arial" w:cs="Arial"/>
        </w:rPr>
        <w:t>д</w:t>
      </w:r>
      <w:r w:rsidRPr="00432E53">
        <w:rPr>
          <w:rFonts w:ascii="Arial" w:hAnsi="Arial" w:cs="Arial"/>
        </w:rPr>
        <w:t>ственными и торгующими организациями.  Большое внимание уделяется орган</w:t>
      </w:r>
      <w:r w:rsidRPr="00432E53">
        <w:rPr>
          <w:rFonts w:ascii="Arial" w:hAnsi="Arial" w:cs="Arial"/>
        </w:rPr>
        <w:t>и</w:t>
      </w:r>
      <w:r w:rsidRPr="00432E53">
        <w:rPr>
          <w:rFonts w:ascii="Arial" w:hAnsi="Arial" w:cs="Arial"/>
        </w:rPr>
        <w:t>зации мероприятий, направленных на повышение квалификации и профессион</w:t>
      </w:r>
      <w:r w:rsidRPr="00432E53">
        <w:rPr>
          <w:rFonts w:ascii="Arial" w:hAnsi="Arial" w:cs="Arial"/>
        </w:rPr>
        <w:t>а</w:t>
      </w:r>
      <w:r w:rsidRPr="00432E53">
        <w:rPr>
          <w:rFonts w:ascii="Arial" w:hAnsi="Arial" w:cs="Arial"/>
        </w:rPr>
        <w:t xml:space="preserve">лизма руководителей и специалистов сферы потребительского рынка. За </w:t>
      </w:r>
      <w:r w:rsidR="00432E53" w:rsidRPr="00432E53">
        <w:rPr>
          <w:rFonts w:ascii="Arial" w:hAnsi="Arial" w:cs="Arial"/>
        </w:rPr>
        <w:t>2021 год</w:t>
      </w:r>
      <w:r w:rsidRPr="00432E53">
        <w:rPr>
          <w:rFonts w:ascii="Arial" w:hAnsi="Arial" w:cs="Arial"/>
        </w:rPr>
        <w:t xml:space="preserve"> </w:t>
      </w:r>
      <w:r w:rsidRPr="00432E53">
        <w:rPr>
          <w:rFonts w:ascii="Arial" w:hAnsi="Arial" w:cs="Arial"/>
        </w:rPr>
        <w:lastRenderedPageBreak/>
        <w:t>проведены 1</w:t>
      </w:r>
      <w:r w:rsidR="00432E53" w:rsidRPr="00432E53">
        <w:rPr>
          <w:rFonts w:ascii="Arial" w:hAnsi="Arial" w:cs="Arial"/>
        </w:rPr>
        <w:t>3</w:t>
      </w:r>
      <w:r w:rsidRPr="00432E53">
        <w:rPr>
          <w:rFonts w:ascii="Arial" w:hAnsi="Arial" w:cs="Arial"/>
        </w:rPr>
        <w:t xml:space="preserve"> совещаний и семинаров по вопросам развития сферы потребител</w:t>
      </w:r>
      <w:r w:rsidRPr="00432E53">
        <w:rPr>
          <w:rFonts w:ascii="Arial" w:hAnsi="Arial" w:cs="Arial"/>
        </w:rPr>
        <w:t>ь</w:t>
      </w:r>
      <w:r w:rsidRPr="00432E53">
        <w:rPr>
          <w:rFonts w:ascii="Arial" w:hAnsi="Arial" w:cs="Arial"/>
        </w:rPr>
        <w:t xml:space="preserve">ского рынка, </w:t>
      </w:r>
      <w:proofErr w:type="spellStart"/>
      <w:r w:rsidRPr="00432E53">
        <w:rPr>
          <w:rFonts w:ascii="Arial" w:hAnsi="Arial" w:cs="Arial"/>
        </w:rPr>
        <w:t>брендированию</w:t>
      </w:r>
      <w:proofErr w:type="spellEnd"/>
      <w:r w:rsidRPr="00432E53">
        <w:rPr>
          <w:rFonts w:ascii="Arial" w:hAnsi="Arial" w:cs="Arial"/>
        </w:rPr>
        <w:t xml:space="preserve"> местной продукции, организации маркировки тов</w:t>
      </w:r>
      <w:r w:rsidRPr="00432E53">
        <w:rPr>
          <w:rFonts w:ascii="Arial" w:hAnsi="Arial" w:cs="Arial"/>
        </w:rPr>
        <w:t>а</w:t>
      </w:r>
      <w:r w:rsidRPr="00432E53">
        <w:rPr>
          <w:rFonts w:ascii="Arial" w:hAnsi="Arial" w:cs="Arial"/>
        </w:rPr>
        <w:t>ров; проведены 3 закупочные сессии федеральных и региональных сетей с мес</w:t>
      </w:r>
      <w:r w:rsidRPr="00432E53">
        <w:rPr>
          <w:rFonts w:ascii="Arial" w:hAnsi="Arial" w:cs="Arial"/>
        </w:rPr>
        <w:t>т</w:t>
      </w:r>
      <w:r w:rsidRPr="00432E53">
        <w:rPr>
          <w:rFonts w:ascii="Arial" w:hAnsi="Arial" w:cs="Arial"/>
        </w:rPr>
        <w:t>ными товаропроизводителями республики.</w:t>
      </w:r>
    </w:p>
    <w:p w:rsidR="0066144E" w:rsidRPr="00432E53" w:rsidRDefault="0066144E" w:rsidP="0066144E">
      <w:pPr>
        <w:ind w:firstLine="709"/>
        <w:contextualSpacing/>
        <w:jc w:val="both"/>
        <w:rPr>
          <w:rFonts w:ascii="Arial" w:hAnsi="Arial" w:cs="Arial"/>
        </w:rPr>
      </w:pPr>
      <w:r w:rsidRPr="00432E53">
        <w:rPr>
          <w:rFonts w:ascii="Arial" w:hAnsi="Arial" w:cs="Arial"/>
        </w:rPr>
        <w:t>На базе образовательных организаций, реализующих программы среднего профессионального образования – НОУ СПО «Чебоксарский кооперативный те</w:t>
      </w:r>
      <w:r w:rsidRPr="00432E53">
        <w:rPr>
          <w:rFonts w:ascii="Arial" w:hAnsi="Arial" w:cs="Arial"/>
        </w:rPr>
        <w:t>х</w:t>
      </w:r>
      <w:r w:rsidRPr="00432E53">
        <w:rPr>
          <w:rFonts w:ascii="Arial" w:hAnsi="Arial" w:cs="Arial"/>
        </w:rPr>
        <w:t>никум» и ГАПОУ Чувашской Республики «Чебоксарский экономико-технологический колледж» организованы курсы повышения квалификации офиц</w:t>
      </w:r>
      <w:r w:rsidRPr="00432E53">
        <w:rPr>
          <w:rFonts w:ascii="Arial" w:hAnsi="Arial" w:cs="Arial"/>
        </w:rPr>
        <w:t>и</w:t>
      </w:r>
      <w:r w:rsidRPr="00432E53">
        <w:rPr>
          <w:rFonts w:ascii="Arial" w:hAnsi="Arial" w:cs="Arial"/>
        </w:rPr>
        <w:t>антов со сроком обучения от 0,5 до 1 месяца. Ежегодно на базе Чебоксарского к</w:t>
      </w:r>
      <w:r w:rsidRPr="00432E53">
        <w:rPr>
          <w:rFonts w:ascii="Arial" w:hAnsi="Arial" w:cs="Arial"/>
        </w:rPr>
        <w:t>о</w:t>
      </w:r>
      <w:r w:rsidRPr="00432E53">
        <w:rPr>
          <w:rFonts w:ascii="Arial" w:hAnsi="Arial" w:cs="Arial"/>
        </w:rPr>
        <w:t>оперативного техникума и института повышают квалификацию свыше 500 рабо</w:t>
      </w:r>
      <w:r w:rsidRPr="00432E53">
        <w:rPr>
          <w:rFonts w:ascii="Arial" w:hAnsi="Arial" w:cs="Arial"/>
        </w:rPr>
        <w:t>т</w:t>
      </w:r>
      <w:r w:rsidRPr="00432E53">
        <w:rPr>
          <w:rFonts w:ascii="Arial" w:hAnsi="Arial" w:cs="Arial"/>
        </w:rPr>
        <w:t>ников.</w:t>
      </w:r>
    </w:p>
    <w:p w:rsidR="00A3334C" w:rsidRPr="00432E53" w:rsidRDefault="00A3334C" w:rsidP="00A3334C">
      <w:pPr>
        <w:ind w:firstLine="709"/>
        <w:contextualSpacing/>
        <w:jc w:val="both"/>
        <w:rPr>
          <w:rFonts w:ascii="Arial" w:hAnsi="Arial" w:cs="Arial"/>
        </w:rPr>
      </w:pPr>
      <w:r w:rsidRPr="00432E53">
        <w:rPr>
          <w:rFonts w:ascii="Arial" w:hAnsi="Arial" w:cs="Arial"/>
        </w:rPr>
        <w:t>В июне 2021 г. проведен Межрегиональный фестиваль национальной кухни «Гостеприимная Чувашия». В фестивале приняли участие 13 команд. В рамках фестиваля организованы мастер классы по приготовлению фирменных блюд, ко</w:t>
      </w:r>
      <w:r w:rsidRPr="00432E53">
        <w:rPr>
          <w:rFonts w:ascii="Arial" w:hAnsi="Arial" w:cs="Arial"/>
        </w:rPr>
        <w:t>н</w:t>
      </w:r>
      <w:r w:rsidRPr="00432E53">
        <w:rPr>
          <w:rFonts w:ascii="Arial" w:hAnsi="Arial" w:cs="Arial"/>
        </w:rPr>
        <w:t>курс на лучшую презентацию блюд национальной кухни. Участники демонстрир</w:t>
      </w:r>
      <w:r w:rsidRPr="00432E53">
        <w:rPr>
          <w:rFonts w:ascii="Arial" w:hAnsi="Arial" w:cs="Arial"/>
        </w:rPr>
        <w:t>о</w:t>
      </w:r>
      <w:r w:rsidRPr="00432E53">
        <w:rPr>
          <w:rFonts w:ascii="Arial" w:hAnsi="Arial" w:cs="Arial"/>
        </w:rPr>
        <w:t>вали секреты приготовления национальных блюд, презентационные столы с бл</w:t>
      </w:r>
      <w:r w:rsidRPr="00432E53">
        <w:rPr>
          <w:rFonts w:ascii="Arial" w:hAnsi="Arial" w:cs="Arial"/>
        </w:rPr>
        <w:t>ю</w:t>
      </w:r>
      <w:r w:rsidRPr="00432E53">
        <w:rPr>
          <w:rFonts w:ascii="Arial" w:hAnsi="Arial" w:cs="Arial"/>
        </w:rPr>
        <w:t>дами национальной̆ кухни, а зрители наблюдали за ходом соревнования и дег</w:t>
      </w:r>
      <w:r w:rsidRPr="00432E53">
        <w:rPr>
          <w:rFonts w:ascii="Arial" w:hAnsi="Arial" w:cs="Arial"/>
        </w:rPr>
        <w:t>у</w:t>
      </w:r>
      <w:r w:rsidRPr="00432E53">
        <w:rPr>
          <w:rFonts w:ascii="Arial" w:hAnsi="Arial" w:cs="Arial"/>
        </w:rPr>
        <w:t>стировали какай-</w:t>
      </w:r>
      <w:proofErr w:type="spellStart"/>
      <w:r w:rsidRPr="00432E53">
        <w:rPr>
          <w:rFonts w:ascii="Arial" w:hAnsi="Arial" w:cs="Arial"/>
        </w:rPr>
        <w:t>шурпи</w:t>
      </w:r>
      <w:proofErr w:type="spellEnd"/>
      <w:r w:rsidRPr="00432E53">
        <w:rPr>
          <w:rFonts w:ascii="Arial" w:hAnsi="Arial" w:cs="Arial"/>
        </w:rPr>
        <w:t xml:space="preserve">. </w:t>
      </w:r>
    </w:p>
    <w:p w:rsidR="00A3334C" w:rsidRPr="00432E53" w:rsidRDefault="00A3334C" w:rsidP="00A3334C">
      <w:pPr>
        <w:ind w:firstLine="709"/>
        <w:contextualSpacing/>
        <w:jc w:val="both"/>
        <w:rPr>
          <w:rFonts w:ascii="Arial" w:hAnsi="Arial" w:cs="Arial"/>
        </w:rPr>
      </w:pPr>
      <w:r w:rsidRPr="00432E53">
        <w:rPr>
          <w:rFonts w:ascii="Arial" w:hAnsi="Arial" w:cs="Arial"/>
        </w:rPr>
        <w:t>Ассоциацией кулинаров Чувашской Республики совместно с Ассоциациями поваров Республик Казахстан и Азербайджан проведены кулинарные мастер-классы по приготовлению национальных блюд в он-</w:t>
      </w:r>
      <w:proofErr w:type="spellStart"/>
      <w:r w:rsidRPr="00432E53">
        <w:rPr>
          <w:rFonts w:ascii="Arial" w:hAnsi="Arial" w:cs="Arial"/>
        </w:rPr>
        <w:t>лайн</w:t>
      </w:r>
      <w:proofErr w:type="spellEnd"/>
      <w:r w:rsidRPr="00432E53">
        <w:rPr>
          <w:rFonts w:ascii="Arial" w:hAnsi="Arial" w:cs="Arial"/>
        </w:rPr>
        <w:t xml:space="preserve"> режиме.</w:t>
      </w:r>
    </w:p>
    <w:p w:rsidR="0066144E" w:rsidRPr="00432E53" w:rsidRDefault="0066144E" w:rsidP="0066144E">
      <w:pPr>
        <w:ind w:firstLine="709"/>
        <w:contextualSpacing/>
        <w:jc w:val="both"/>
        <w:rPr>
          <w:rFonts w:ascii="Arial" w:hAnsi="Arial" w:cs="Arial"/>
        </w:rPr>
      </w:pPr>
      <w:r w:rsidRPr="00432E53">
        <w:rPr>
          <w:rFonts w:ascii="Arial" w:hAnsi="Arial" w:cs="Arial"/>
        </w:rPr>
        <w:t>Серьезное внимание уделяется развитию системы защиты прав потребит</w:t>
      </w:r>
      <w:r w:rsidRPr="00432E53">
        <w:rPr>
          <w:rFonts w:ascii="Arial" w:hAnsi="Arial" w:cs="Arial"/>
        </w:rPr>
        <w:t>е</w:t>
      </w:r>
      <w:r w:rsidRPr="00432E53">
        <w:rPr>
          <w:rFonts w:ascii="Arial" w:hAnsi="Arial" w:cs="Arial"/>
        </w:rPr>
        <w:t>лей. В марте 2021 года в Минэкономразвития Чувашии проведен «круглый стол» по теме Всемирного Дня защиты прав потребителей «Борьба с загрязнением пл</w:t>
      </w:r>
      <w:r w:rsidRPr="00432E53">
        <w:rPr>
          <w:rFonts w:ascii="Arial" w:hAnsi="Arial" w:cs="Arial"/>
        </w:rPr>
        <w:t>а</w:t>
      </w:r>
      <w:r w:rsidRPr="00432E53">
        <w:rPr>
          <w:rFonts w:ascii="Arial" w:hAnsi="Arial" w:cs="Arial"/>
        </w:rPr>
        <w:t>стиковыми материалами»  с представителями органов местного самоуправления Чувашской Республики и общественных организаций в сфере защиты прав потр</w:t>
      </w:r>
      <w:r w:rsidRPr="00432E53">
        <w:rPr>
          <w:rFonts w:ascii="Arial" w:hAnsi="Arial" w:cs="Arial"/>
        </w:rPr>
        <w:t>е</w:t>
      </w:r>
      <w:r w:rsidRPr="00432E53">
        <w:rPr>
          <w:rFonts w:ascii="Arial" w:hAnsi="Arial" w:cs="Arial"/>
        </w:rPr>
        <w:t xml:space="preserve">бителей. </w:t>
      </w:r>
    </w:p>
    <w:p w:rsidR="00432E53" w:rsidRPr="00432E53" w:rsidRDefault="00432E53" w:rsidP="00432E53">
      <w:pPr>
        <w:ind w:firstLine="709"/>
        <w:contextualSpacing/>
        <w:jc w:val="both"/>
        <w:rPr>
          <w:rFonts w:ascii="Arial" w:hAnsi="Arial" w:cs="Arial"/>
        </w:rPr>
      </w:pPr>
      <w:r w:rsidRPr="00432E53">
        <w:rPr>
          <w:rFonts w:ascii="Arial" w:hAnsi="Arial" w:cs="Arial"/>
        </w:rPr>
        <w:t xml:space="preserve">В соответствии с заключенными государственными контрактами в 2021 году </w:t>
      </w:r>
      <w:proofErr w:type="gramStart"/>
      <w:r w:rsidRPr="00432E53">
        <w:rPr>
          <w:rFonts w:ascii="Arial" w:hAnsi="Arial" w:cs="Arial"/>
        </w:rPr>
        <w:t>подготовлены</w:t>
      </w:r>
      <w:proofErr w:type="gramEnd"/>
      <w:r w:rsidRPr="00432E53">
        <w:rPr>
          <w:rFonts w:ascii="Arial" w:hAnsi="Arial" w:cs="Arial"/>
        </w:rPr>
        <w:t xml:space="preserve"> и выданы в эфир НТРК 5 телепередач, посвященных защите прав потребителей.</w:t>
      </w:r>
    </w:p>
    <w:p w:rsidR="00432E53" w:rsidRPr="00432E53" w:rsidRDefault="0066144E" w:rsidP="00432E53">
      <w:pPr>
        <w:ind w:firstLine="709"/>
        <w:contextualSpacing/>
        <w:jc w:val="both"/>
        <w:rPr>
          <w:rFonts w:ascii="Arial" w:hAnsi="Arial" w:cs="Arial"/>
        </w:rPr>
      </w:pPr>
      <w:r w:rsidRPr="00432E53">
        <w:rPr>
          <w:rFonts w:ascii="Arial" w:hAnsi="Arial" w:cs="Arial"/>
        </w:rPr>
        <w:t xml:space="preserve">Во всех муниципальных районах и городских округах Чувашской Республики  были утверждены планы мероприятий по проведению Всемирного дня защиты прав потребителей. </w:t>
      </w:r>
      <w:proofErr w:type="gramStart"/>
      <w:r w:rsidRPr="00432E53">
        <w:rPr>
          <w:rFonts w:ascii="Arial" w:hAnsi="Arial" w:cs="Arial"/>
        </w:rPr>
        <w:t>На официальных сайтах муниципальных районов и городских округов республики в сети «Интернет» размещены информационные статьи по защите прав потребителей,  проведены тематические консультации, телефонные «горячие линии» по вопросам защиты прав потребителей и «круглые столы» с участием представителей территориальных отделов Управления Роспотребн</w:t>
      </w:r>
      <w:r w:rsidRPr="00432E53">
        <w:rPr>
          <w:rFonts w:ascii="Arial" w:hAnsi="Arial" w:cs="Arial"/>
        </w:rPr>
        <w:t>а</w:t>
      </w:r>
      <w:r w:rsidRPr="00432E53">
        <w:rPr>
          <w:rFonts w:ascii="Arial" w:hAnsi="Arial" w:cs="Arial"/>
        </w:rPr>
        <w:t>дзора по Чувашской Республики – Чувашии, в которых также приняли участие и</w:t>
      </w:r>
      <w:r w:rsidRPr="00432E53">
        <w:rPr>
          <w:rFonts w:ascii="Arial" w:hAnsi="Arial" w:cs="Arial"/>
        </w:rPr>
        <w:t>н</w:t>
      </w:r>
      <w:r w:rsidRPr="00432E53">
        <w:rPr>
          <w:rFonts w:ascii="Arial" w:hAnsi="Arial" w:cs="Arial"/>
        </w:rPr>
        <w:t>дивидуальные предприниматели и руководители предприятий потребительского рынка.</w:t>
      </w:r>
      <w:proofErr w:type="gramEnd"/>
      <w:r w:rsidRPr="00432E53">
        <w:rPr>
          <w:rFonts w:ascii="Arial" w:hAnsi="Arial" w:cs="Arial"/>
        </w:rPr>
        <w:t xml:space="preserve"> Во всех общеобразовательных, средних учебных заведениях муниципал</w:t>
      </w:r>
      <w:r w:rsidRPr="00432E53">
        <w:rPr>
          <w:rFonts w:ascii="Arial" w:hAnsi="Arial" w:cs="Arial"/>
        </w:rPr>
        <w:t>ь</w:t>
      </w:r>
      <w:r w:rsidRPr="00432E53">
        <w:rPr>
          <w:rFonts w:ascii="Arial" w:hAnsi="Arial" w:cs="Arial"/>
        </w:rPr>
        <w:t>ных районов и городских округов Чувашской Республики проведены классные ч</w:t>
      </w:r>
      <w:r w:rsidRPr="00432E53">
        <w:rPr>
          <w:rFonts w:ascii="Arial" w:hAnsi="Arial" w:cs="Arial"/>
        </w:rPr>
        <w:t>а</w:t>
      </w:r>
      <w:r w:rsidRPr="00432E53">
        <w:rPr>
          <w:rFonts w:ascii="Arial" w:hAnsi="Arial" w:cs="Arial"/>
        </w:rPr>
        <w:t>сы, занятия по основам потребительских знаний. В школьных библиотеках орг</w:t>
      </w:r>
      <w:r w:rsidRPr="00432E53">
        <w:rPr>
          <w:rFonts w:ascii="Arial" w:hAnsi="Arial" w:cs="Arial"/>
        </w:rPr>
        <w:t>а</w:t>
      </w:r>
      <w:r w:rsidRPr="00432E53">
        <w:rPr>
          <w:rFonts w:ascii="Arial" w:hAnsi="Arial" w:cs="Arial"/>
        </w:rPr>
        <w:t>низованы выставки литературы по тематике Всемирного дня защиты прав потр</w:t>
      </w:r>
      <w:r w:rsidRPr="00432E53">
        <w:rPr>
          <w:rFonts w:ascii="Arial" w:hAnsi="Arial" w:cs="Arial"/>
        </w:rPr>
        <w:t>е</w:t>
      </w:r>
      <w:r w:rsidRPr="00432E53">
        <w:rPr>
          <w:rFonts w:ascii="Arial" w:hAnsi="Arial" w:cs="Arial"/>
        </w:rPr>
        <w:t>бителей. В отдельных муниципальных районах и городских округах республики  разработаны информационные буклеты,  информационные стенды по тематике Всемирного дня защиты прав потребителей, проводилось анкетирование насел</w:t>
      </w:r>
      <w:r w:rsidRPr="00432E53">
        <w:rPr>
          <w:rFonts w:ascii="Arial" w:hAnsi="Arial" w:cs="Arial"/>
        </w:rPr>
        <w:t>е</w:t>
      </w:r>
      <w:r w:rsidRPr="00432E53">
        <w:rPr>
          <w:rFonts w:ascii="Arial" w:hAnsi="Arial" w:cs="Arial"/>
        </w:rPr>
        <w:t>ния с целью изучения общественного мнения по вопросу знания потребителями их прав.</w:t>
      </w:r>
      <w:r w:rsidR="00432E53" w:rsidRPr="00432E53">
        <w:rPr>
          <w:rFonts w:ascii="Arial" w:hAnsi="Arial" w:cs="Arial"/>
        </w:rPr>
        <w:t xml:space="preserve"> </w:t>
      </w:r>
    </w:p>
    <w:p w:rsidR="00432E53" w:rsidRPr="00432E53" w:rsidRDefault="00432E53" w:rsidP="00432E53">
      <w:pPr>
        <w:ind w:firstLine="709"/>
        <w:contextualSpacing/>
        <w:jc w:val="both"/>
        <w:rPr>
          <w:rFonts w:ascii="Arial" w:hAnsi="Arial" w:cs="Arial"/>
        </w:rPr>
      </w:pPr>
      <w:r w:rsidRPr="00432E53">
        <w:rPr>
          <w:rFonts w:ascii="Arial" w:hAnsi="Arial" w:cs="Arial"/>
        </w:rPr>
        <w:t>За 2019-2021 годы в рейтинге субъектов Российской Федерации по уровню защищенности потребителей Чувашия заняла 10 место в группе из 18 субъектов Российской Федерации с высоким уровнем защищенности.</w:t>
      </w:r>
    </w:p>
    <w:p w:rsidR="0066144E" w:rsidRPr="00432E53" w:rsidRDefault="0066144E" w:rsidP="0066144E">
      <w:pPr>
        <w:ind w:firstLine="709"/>
        <w:contextualSpacing/>
        <w:jc w:val="both"/>
        <w:rPr>
          <w:rFonts w:ascii="Arial" w:hAnsi="Arial" w:cs="Arial"/>
        </w:rPr>
      </w:pPr>
      <w:r w:rsidRPr="00432E53">
        <w:rPr>
          <w:rFonts w:ascii="Arial" w:hAnsi="Arial" w:cs="Arial"/>
        </w:rPr>
        <w:t>Основными задачами на 2021 год остаются:</w:t>
      </w:r>
    </w:p>
    <w:p w:rsidR="0066144E" w:rsidRPr="00432E53" w:rsidRDefault="0066144E" w:rsidP="0066144E">
      <w:pPr>
        <w:ind w:firstLine="709"/>
        <w:contextualSpacing/>
        <w:jc w:val="both"/>
        <w:rPr>
          <w:rFonts w:ascii="Arial" w:hAnsi="Arial" w:cs="Arial"/>
        </w:rPr>
      </w:pPr>
      <w:r w:rsidRPr="00432E53">
        <w:rPr>
          <w:rFonts w:ascii="Arial" w:hAnsi="Arial" w:cs="Arial"/>
        </w:rPr>
        <w:lastRenderedPageBreak/>
        <w:t>обеспечение соблюдения противоэпидемических мероприятий на объектах потребительского рынка;</w:t>
      </w:r>
    </w:p>
    <w:p w:rsidR="0066144E" w:rsidRPr="00432E53" w:rsidRDefault="0066144E" w:rsidP="0066144E">
      <w:pPr>
        <w:ind w:firstLine="709"/>
        <w:contextualSpacing/>
        <w:jc w:val="both"/>
        <w:rPr>
          <w:rFonts w:ascii="Arial" w:hAnsi="Arial" w:cs="Arial"/>
        </w:rPr>
      </w:pPr>
      <w:r w:rsidRPr="00432E53">
        <w:rPr>
          <w:rFonts w:ascii="Arial" w:hAnsi="Arial" w:cs="Arial"/>
        </w:rPr>
        <w:t>обеспечение реализации в Чувашской Республике Стратегии развития то</w:t>
      </w:r>
      <w:r w:rsidRPr="00432E53">
        <w:rPr>
          <w:rFonts w:ascii="Arial" w:hAnsi="Arial" w:cs="Arial"/>
        </w:rPr>
        <w:t>р</w:t>
      </w:r>
      <w:r w:rsidRPr="00432E53">
        <w:rPr>
          <w:rFonts w:ascii="Arial" w:hAnsi="Arial" w:cs="Arial"/>
        </w:rPr>
        <w:t>говли в Российской Федерации, предусматривающего поддержку рыночной то</w:t>
      </w:r>
      <w:r w:rsidRPr="00432E53">
        <w:rPr>
          <w:rFonts w:ascii="Arial" w:hAnsi="Arial" w:cs="Arial"/>
        </w:rPr>
        <w:t>р</w:t>
      </w:r>
      <w:r w:rsidRPr="00432E53">
        <w:rPr>
          <w:rFonts w:ascii="Arial" w:hAnsi="Arial" w:cs="Arial"/>
        </w:rPr>
        <w:t>говли, развитие магазинов «в шаговой доступности», малых форм торговли, с</w:t>
      </w:r>
      <w:r w:rsidRPr="00432E53">
        <w:rPr>
          <w:rFonts w:ascii="Arial" w:hAnsi="Arial" w:cs="Arial"/>
        </w:rPr>
        <w:t>о</w:t>
      </w:r>
      <w:r w:rsidRPr="00432E53">
        <w:rPr>
          <w:rFonts w:ascii="Arial" w:hAnsi="Arial" w:cs="Arial"/>
        </w:rPr>
        <w:t>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66144E" w:rsidRPr="00432E53" w:rsidRDefault="0066144E" w:rsidP="0066144E">
      <w:pPr>
        <w:ind w:firstLine="709"/>
        <w:contextualSpacing/>
        <w:jc w:val="both"/>
        <w:rPr>
          <w:rFonts w:ascii="Arial" w:hAnsi="Arial" w:cs="Arial"/>
        </w:rPr>
      </w:pPr>
      <w:r w:rsidRPr="00432E53">
        <w:rPr>
          <w:rFonts w:ascii="Arial" w:hAnsi="Arial" w:cs="Arial"/>
        </w:rPr>
        <w:t>обеспечение качества и безопасности реализуемых товаров и оказываемых услуг;</w:t>
      </w:r>
    </w:p>
    <w:p w:rsidR="00CE6B6C" w:rsidRPr="0066144E" w:rsidRDefault="0066144E" w:rsidP="0066144E">
      <w:pPr>
        <w:ind w:firstLine="709"/>
        <w:contextualSpacing/>
        <w:jc w:val="both"/>
        <w:rPr>
          <w:rFonts w:ascii="Arial" w:hAnsi="Arial" w:cs="Arial"/>
        </w:rPr>
      </w:pPr>
      <w:r w:rsidRPr="00432E53">
        <w:rPr>
          <w:rFonts w:ascii="Arial" w:hAnsi="Arial" w:cs="Arial"/>
        </w:rPr>
        <w:t xml:space="preserve">повышение культуры обслуживания </w:t>
      </w:r>
      <w:r w:rsidR="00AF3CF3">
        <w:rPr>
          <w:rFonts w:ascii="Arial" w:hAnsi="Arial" w:cs="Arial"/>
        </w:rPr>
        <w:t>на объектах</w:t>
      </w:r>
      <w:r w:rsidRPr="00432E53">
        <w:rPr>
          <w:rFonts w:ascii="Arial" w:hAnsi="Arial" w:cs="Arial"/>
        </w:rPr>
        <w:t xml:space="preserve"> потребительского рынка.</w:t>
      </w:r>
    </w:p>
    <w:sectPr w:rsidR="00CE6B6C" w:rsidRPr="0066144E" w:rsidSect="00986755">
      <w:headerReference w:type="even" r:id="rId16"/>
      <w:headerReference w:type="default" r:id="rId17"/>
      <w:pgSz w:w="11906" w:h="16838"/>
      <w:pgMar w:top="1134" w:right="851" w:bottom="1134"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E8" w:rsidRDefault="008C50E8">
      <w:r>
        <w:separator/>
      </w:r>
    </w:p>
  </w:endnote>
  <w:endnote w:type="continuationSeparator" w:id="0">
    <w:p w:rsidR="008C50E8" w:rsidRDefault="008C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Roboto">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E8" w:rsidRDefault="008C50E8">
      <w:r>
        <w:separator/>
      </w:r>
    </w:p>
  </w:footnote>
  <w:footnote w:type="continuationSeparator" w:id="0">
    <w:p w:rsidR="008C50E8" w:rsidRDefault="008C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57" w:rsidRDefault="00011A57">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11A57" w:rsidRDefault="00011A5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57" w:rsidRPr="000F02AC" w:rsidRDefault="00011A57">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39397E">
      <w:rPr>
        <w:rStyle w:val="ae"/>
        <w:rFonts w:ascii="Arial" w:hAnsi="Arial" w:cs="Arial"/>
        <w:noProof/>
        <w:sz w:val="22"/>
        <w:szCs w:val="22"/>
      </w:rPr>
      <w:t>26</w:t>
    </w:r>
    <w:r w:rsidRPr="000F02AC">
      <w:rPr>
        <w:rStyle w:val="ae"/>
        <w:rFonts w:ascii="Arial" w:hAnsi="Arial" w:cs="Arial"/>
        <w:sz w:val="22"/>
        <w:szCs w:val="22"/>
      </w:rPr>
      <w:fldChar w:fldCharType="end"/>
    </w:r>
  </w:p>
  <w:p w:rsidR="00011A57" w:rsidRDefault="00011A57">
    <w:pPr>
      <w:pStyle w:val="ab"/>
    </w:pPr>
  </w:p>
  <w:p w:rsidR="00011A57" w:rsidRDefault="00011A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7BED"/>
    <w:rsid w:val="00011A57"/>
    <w:rsid w:val="00011C08"/>
    <w:rsid w:val="00013DCB"/>
    <w:rsid w:val="000216FB"/>
    <w:rsid w:val="00023574"/>
    <w:rsid w:val="00025A46"/>
    <w:rsid w:val="000260C7"/>
    <w:rsid w:val="00026A77"/>
    <w:rsid w:val="00027957"/>
    <w:rsid w:val="00027EE6"/>
    <w:rsid w:val="00030E70"/>
    <w:rsid w:val="00032399"/>
    <w:rsid w:val="00032B58"/>
    <w:rsid w:val="00036802"/>
    <w:rsid w:val="00036D1E"/>
    <w:rsid w:val="00045D40"/>
    <w:rsid w:val="00045FFF"/>
    <w:rsid w:val="00050C11"/>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35F4"/>
    <w:rsid w:val="00084168"/>
    <w:rsid w:val="0008689A"/>
    <w:rsid w:val="000929AF"/>
    <w:rsid w:val="00092CEF"/>
    <w:rsid w:val="00094372"/>
    <w:rsid w:val="00096767"/>
    <w:rsid w:val="000A3F1F"/>
    <w:rsid w:val="000A4B52"/>
    <w:rsid w:val="000A5383"/>
    <w:rsid w:val="000A5479"/>
    <w:rsid w:val="000B143C"/>
    <w:rsid w:val="000B2FD8"/>
    <w:rsid w:val="000B4A59"/>
    <w:rsid w:val="000B75BE"/>
    <w:rsid w:val="000C0067"/>
    <w:rsid w:val="000C1F67"/>
    <w:rsid w:val="000C24D1"/>
    <w:rsid w:val="000C270F"/>
    <w:rsid w:val="000C3222"/>
    <w:rsid w:val="000C4CD6"/>
    <w:rsid w:val="000D0D6A"/>
    <w:rsid w:val="000D4A1A"/>
    <w:rsid w:val="000D777A"/>
    <w:rsid w:val="000E162E"/>
    <w:rsid w:val="000E1A32"/>
    <w:rsid w:val="000E1BEF"/>
    <w:rsid w:val="000E1DA4"/>
    <w:rsid w:val="000E294A"/>
    <w:rsid w:val="000E61E7"/>
    <w:rsid w:val="000E709D"/>
    <w:rsid w:val="000E7A55"/>
    <w:rsid w:val="000F02AC"/>
    <w:rsid w:val="000F03C1"/>
    <w:rsid w:val="000F10CC"/>
    <w:rsid w:val="000F2E60"/>
    <w:rsid w:val="000F3D6C"/>
    <w:rsid w:val="00107890"/>
    <w:rsid w:val="0010794F"/>
    <w:rsid w:val="00107D03"/>
    <w:rsid w:val="00107F5B"/>
    <w:rsid w:val="001129D4"/>
    <w:rsid w:val="00116504"/>
    <w:rsid w:val="00116569"/>
    <w:rsid w:val="001169A8"/>
    <w:rsid w:val="00120771"/>
    <w:rsid w:val="00120E81"/>
    <w:rsid w:val="0012305F"/>
    <w:rsid w:val="0012364E"/>
    <w:rsid w:val="00125D4F"/>
    <w:rsid w:val="001323D6"/>
    <w:rsid w:val="0013295F"/>
    <w:rsid w:val="001342FE"/>
    <w:rsid w:val="0013527A"/>
    <w:rsid w:val="001352BD"/>
    <w:rsid w:val="00141434"/>
    <w:rsid w:val="00150840"/>
    <w:rsid w:val="00152D0A"/>
    <w:rsid w:val="00153DF1"/>
    <w:rsid w:val="00154B74"/>
    <w:rsid w:val="001566C7"/>
    <w:rsid w:val="00161AE4"/>
    <w:rsid w:val="00162279"/>
    <w:rsid w:val="00163389"/>
    <w:rsid w:val="00164846"/>
    <w:rsid w:val="0016668F"/>
    <w:rsid w:val="001667FE"/>
    <w:rsid w:val="00166EA8"/>
    <w:rsid w:val="00167D7C"/>
    <w:rsid w:val="00172A33"/>
    <w:rsid w:val="0017438F"/>
    <w:rsid w:val="00184FD0"/>
    <w:rsid w:val="00186ED1"/>
    <w:rsid w:val="001916E9"/>
    <w:rsid w:val="0019293F"/>
    <w:rsid w:val="00197837"/>
    <w:rsid w:val="001A4177"/>
    <w:rsid w:val="001A6547"/>
    <w:rsid w:val="001A70F6"/>
    <w:rsid w:val="001A7736"/>
    <w:rsid w:val="001B0609"/>
    <w:rsid w:val="001B1389"/>
    <w:rsid w:val="001B4CE3"/>
    <w:rsid w:val="001B56E3"/>
    <w:rsid w:val="001C311F"/>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32186"/>
    <w:rsid w:val="00232C27"/>
    <w:rsid w:val="002337C4"/>
    <w:rsid w:val="00233B5B"/>
    <w:rsid w:val="00234B68"/>
    <w:rsid w:val="002360E7"/>
    <w:rsid w:val="00236E71"/>
    <w:rsid w:val="00237E90"/>
    <w:rsid w:val="002417F9"/>
    <w:rsid w:val="0024202C"/>
    <w:rsid w:val="002420C7"/>
    <w:rsid w:val="00242837"/>
    <w:rsid w:val="00243176"/>
    <w:rsid w:val="002461CB"/>
    <w:rsid w:val="002468D8"/>
    <w:rsid w:val="00247CA1"/>
    <w:rsid w:val="00247D54"/>
    <w:rsid w:val="00251ECE"/>
    <w:rsid w:val="0025251E"/>
    <w:rsid w:val="0025521D"/>
    <w:rsid w:val="002552B3"/>
    <w:rsid w:val="00256CC3"/>
    <w:rsid w:val="002620F7"/>
    <w:rsid w:val="002627F1"/>
    <w:rsid w:val="002650E4"/>
    <w:rsid w:val="00267DF8"/>
    <w:rsid w:val="00272EC7"/>
    <w:rsid w:val="0027542F"/>
    <w:rsid w:val="00275BE6"/>
    <w:rsid w:val="0027717F"/>
    <w:rsid w:val="002821DC"/>
    <w:rsid w:val="00283869"/>
    <w:rsid w:val="00283C63"/>
    <w:rsid w:val="00284479"/>
    <w:rsid w:val="00286C83"/>
    <w:rsid w:val="00286DB4"/>
    <w:rsid w:val="002873D6"/>
    <w:rsid w:val="00291AAD"/>
    <w:rsid w:val="00292FD7"/>
    <w:rsid w:val="0029380C"/>
    <w:rsid w:val="002A3D28"/>
    <w:rsid w:val="002A4FE2"/>
    <w:rsid w:val="002B059B"/>
    <w:rsid w:val="002B0EBA"/>
    <w:rsid w:val="002C524F"/>
    <w:rsid w:val="002D3880"/>
    <w:rsid w:val="002D54D4"/>
    <w:rsid w:val="002E5712"/>
    <w:rsid w:val="002E586B"/>
    <w:rsid w:val="002E6595"/>
    <w:rsid w:val="002F1912"/>
    <w:rsid w:val="002F20B7"/>
    <w:rsid w:val="002F4709"/>
    <w:rsid w:val="002F6DA2"/>
    <w:rsid w:val="002F7273"/>
    <w:rsid w:val="002F786D"/>
    <w:rsid w:val="003021B7"/>
    <w:rsid w:val="00307291"/>
    <w:rsid w:val="00307AED"/>
    <w:rsid w:val="003137C0"/>
    <w:rsid w:val="00313FC3"/>
    <w:rsid w:val="003145D2"/>
    <w:rsid w:val="003166F5"/>
    <w:rsid w:val="003175CD"/>
    <w:rsid w:val="00322B1F"/>
    <w:rsid w:val="0032308C"/>
    <w:rsid w:val="003247A8"/>
    <w:rsid w:val="0032556D"/>
    <w:rsid w:val="0032698D"/>
    <w:rsid w:val="003277D3"/>
    <w:rsid w:val="0033149E"/>
    <w:rsid w:val="00331693"/>
    <w:rsid w:val="003324E6"/>
    <w:rsid w:val="003338DC"/>
    <w:rsid w:val="00333A18"/>
    <w:rsid w:val="0033560C"/>
    <w:rsid w:val="0033623C"/>
    <w:rsid w:val="00337947"/>
    <w:rsid w:val="00340745"/>
    <w:rsid w:val="0034276C"/>
    <w:rsid w:val="00342BDF"/>
    <w:rsid w:val="00345BDC"/>
    <w:rsid w:val="003469D7"/>
    <w:rsid w:val="00346E88"/>
    <w:rsid w:val="00347738"/>
    <w:rsid w:val="00347B10"/>
    <w:rsid w:val="00350E9D"/>
    <w:rsid w:val="00354257"/>
    <w:rsid w:val="0035550D"/>
    <w:rsid w:val="00356504"/>
    <w:rsid w:val="00360930"/>
    <w:rsid w:val="00360AD1"/>
    <w:rsid w:val="00365A4E"/>
    <w:rsid w:val="00372F0D"/>
    <w:rsid w:val="003752DD"/>
    <w:rsid w:val="0037672F"/>
    <w:rsid w:val="0038107B"/>
    <w:rsid w:val="003814F2"/>
    <w:rsid w:val="00382C9E"/>
    <w:rsid w:val="0038744C"/>
    <w:rsid w:val="003904ED"/>
    <w:rsid w:val="0039397E"/>
    <w:rsid w:val="00393E5B"/>
    <w:rsid w:val="0039455F"/>
    <w:rsid w:val="00394BEC"/>
    <w:rsid w:val="003958B5"/>
    <w:rsid w:val="00395F31"/>
    <w:rsid w:val="003A0E3F"/>
    <w:rsid w:val="003A2492"/>
    <w:rsid w:val="003A31ED"/>
    <w:rsid w:val="003A51F8"/>
    <w:rsid w:val="003A70D8"/>
    <w:rsid w:val="003B015D"/>
    <w:rsid w:val="003B1055"/>
    <w:rsid w:val="003B32FA"/>
    <w:rsid w:val="003B6D9F"/>
    <w:rsid w:val="003B6DCB"/>
    <w:rsid w:val="003B7132"/>
    <w:rsid w:val="003C1717"/>
    <w:rsid w:val="003C1B40"/>
    <w:rsid w:val="003C416A"/>
    <w:rsid w:val="003C4527"/>
    <w:rsid w:val="003C588F"/>
    <w:rsid w:val="003C5B24"/>
    <w:rsid w:val="003C70E7"/>
    <w:rsid w:val="003C7C0F"/>
    <w:rsid w:val="003C7E11"/>
    <w:rsid w:val="003D08A3"/>
    <w:rsid w:val="003D664F"/>
    <w:rsid w:val="003E3129"/>
    <w:rsid w:val="003E3A32"/>
    <w:rsid w:val="003E5FC8"/>
    <w:rsid w:val="003F4798"/>
    <w:rsid w:val="003F5199"/>
    <w:rsid w:val="0040178F"/>
    <w:rsid w:val="0040196C"/>
    <w:rsid w:val="00401DF5"/>
    <w:rsid w:val="004037CC"/>
    <w:rsid w:val="00403E74"/>
    <w:rsid w:val="0040463E"/>
    <w:rsid w:val="00407C74"/>
    <w:rsid w:val="00407E69"/>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3C0E"/>
    <w:rsid w:val="00445155"/>
    <w:rsid w:val="00445307"/>
    <w:rsid w:val="00445427"/>
    <w:rsid w:val="00445637"/>
    <w:rsid w:val="00452B25"/>
    <w:rsid w:val="00455586"/>
    <w:rsid w:val="00455C93"/>
    <w:rsid w:val="00455EBD"/>
    <w:rsid w:val="00456876"/>
    <w:rsid w:val="00457C92"/>
    <w:rsid w:val="00460ED5"/>
    <w:rsid w:val="00465466"/>
    <w:rsid w:val="00465BC4"/>
    <w:rsid w:val="004678D3"/>
    <w:rsid w:val="00467BD4"/>
    <w:rsid w:val="004710D9"/>
    <w:rsid w:val="004712A1"/>
    <w:rsid w:val="00472308"/>
    <w:rsid w:val="00472471"/>
    <w:rsid w:val="0047283F"/>
    <w:rsid w:val="004738C5"/>
    <w:rsid w:val="00475B95"/>
    <w:rsid w:val="00477054"/>
    <w:rsid w:val="00483C2E"/>
    <w:rsid w:val="00483E38"/>
    <w:rsid w:val="0048749A"/>
    <w:rsid w:val="004879D7"/>
    <w:rsid w:val="00490275"/>
    <w:rsid w:val="00492B4B"/>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6338"/>
    <w:rsid w:val="004D67A2"/>
    <w:rsid w:val="004E0CA6"/>
    <w:rsid w:val="004E61D5"/>
    <w:rsid w:val="004F1314"/>
    <w:rsid w:val="004F3926"/>
    <w:rsid w:val="004F627D"/>
    <w:rsid w:val="005027B1"/>
    <w:rsid w:val="00502E8B"/>
    <w:rsid w:val="00507471"/>
    <w:rsid w:val="0051152F"/>
    <w:rsid w:val="005123D9"/>
    <w:rsid w:val="00515BFC"/>
    <w:rsid w:val="005164AE"/>
    <w:rsid w:val="00521E26"/>
    <w:rsid w:val="005244E1"/>
    <w:rsid w:val="005254E4"/>
    <w:rsid w:val="0052614E"/>
    <w:rsid w:val="00527AB8"/>
    <w:rsid w:val="00530003"/>
    <w:rsid w:val="00530B09"/>
    <w:rsid w:val="00531A58"/>
    <w:rsid w:val="00531E9E"/>
    <w:rsid w:val="0053226D"/>
    <w:rsid w:val="005328C4"/>
    <w:rsid w:val="0053309A"/>
    <w:rsid w:val="00533CDE"/>
    <w:rsid w:val="00534304"/>
    <w:rsid w:val="0053453F"/>
    <w:rsid w:val="0053525C"/>
    <w:rsid w:val="00540007"/>
    <w:rsid w:val="00541678"/>
    <w:rsid w:val="00543B56"/>
    <w:rsid w:val="00544689"/>
    <w:rsid w:val="005448C2"/>
    <w:rsid w:val="00546D8F"/>
    <w:rsid w:val="00550229"/>
    <w:rsid w:val="00550870"/>
    <w:rsid w:val="00551FFA"/>
    <w:rsid w:val="00556246"/>
    <w:rsid w:val="005621BE"/>
    <w:rsid w:val="00562F38"/>
    <w:rsid w:val="00565877"/>
    <w:rsid w:val="005706DF"/>
    <w:rsid w:val="00572667"/>
    <w:rsid w:val="00580E1B"/>
    <w:rsid w:val="005815B9"/>
    <w:rsid w:val="00581743"/>
    <w:rsid w:val="00582FBD"/>
    <w:rsid w:val="00583395"/>
    <w:rsid w:val="00584195"/>
    <w:rsid w:val="0058448D"/>
    <w:rsid w:val="005847D0"/>
    <w:rsid w:val="00587113"/>
    <w:rsid w:val="0059257C"/>
    <w:rsid w:val="00592742"/>
    <w:rsid w:val="00595C31"/>
    <w:rsid w:val="00597716"/>
    <w:rsid w:val="005A02E9"/>
    <w:rsid w:val="005A0DEB"/>
    <w:rsid w:val="005A39D9"/>
    <w:rsid w:val="005A7610"/>
    <w:rsid w:val="005A789A"/>
    <w:rsid w:val="005B09E8"/>
    <w:rsid w:val="005B161F"/>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C5E"/>
    <w:rsid w:val="005F0126"/>
    <w:rsid w:val="005F1613"/>
    <w:rsid w:val="005F6F77"/>
    <w:rsid w:val="005F73D2"/>
    <w:rsid w:val="00603CFB"/>
    <w:rsid w:val="00607996"/>
    <w:rsid w:val="00611BD2"/>
    <w:rsid w:val="00612FBC"/>
    <w:rsid w:val="0061376A"/>
    <w:rsid w:val="00617B7F"/>
    <w:rsid w:val="0062300F"/>
    <w:rsid w:val="00623162"/>
    <w:rsid w:val="00625AB1"/>
    <w:rsid w:val="00626298"/>
    <w:rsid w:val="006310C3"/>
    <w:rsid w:val="00633DCB"/>
    <w:rsid w:val="0063456A"/>
    <w:rsid w:val="00634831"/>
    <w:rsid w:val="00636B86"/>
    <w:rsid w:val="006432A5"/>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62ED"/>
    <w:rsid w:val="00666901"/>
    <w:rsid w:val="006716F2"/>
    <w:rsid w:val="00671A22"/>
    <w:rsid w:val="00671E0C"/>
    <w:rsid w:val="006721D1"/>
    <w:rsid w:val="00680946"/>
    <w:rsid w:val="00680BF4"/>
    <w:rsid w:val="006821CA"/>
    <w:rsid w:val="00683F88"/>
    <w:rsid w:val="00685878"/>
    <w:rsid w:val="006868A2"/>
    <w:rsid w:val="006900EF"/>
    <w:rsid w:val="0069385C"/>
    <w:rsid w:val="00693E9B"/>
    <w:rsid w:val="00693FC5"/>
    <w:rsid w:val="006941BF"/>
    <w:rsid w:val="00695D9C"/>
    <w:rsid w:val="00697761"/>
    <w:rsid w:val="006A287D"/>
    <w:rsid w:val="006A3079"/>
    <w:rsid w:val="006A3B02"/>
    <w:rsid w:val="006B42CE"/>
    <w:rsid w:val="006B61E6"/>
    <w:rsid w:val="006B7E20"/>
    <w:rsid w:val="006C2503"/>
    <w:rsid w:val="006C2B6A"/>
    <w:rsid w:val="006C2EE4"/>
    <w:rsid w:val="006C4906"/>
    <w:rsid w:val="006C61EB"/>
    <w:rsid w:val="006D539B"/>
    <w:rsid w:val="006E2D8E"/>
    <w:rsid w:val="006E355A"/>
    <w:rsid w:val="006E5BC2"/>
    <w:rsid w:val="006F0792"/>
    <w:rsid w:val="006F09AB"/>
    <w:rsid w:val="006F1939"/>
    <w:rsid w:val="006F397D"/>
    <w:rsid w:val="007052A2"/>
    <w:rsid w:val="00705C5A"/>
    <w:rsid w:val="007102E4"/>
    <w:rsid w:val="00710A94"/>
    <w:rsid w:val="00715A99"/>
    <w:rsid w:val="00715E9B"/>
    <w:rsid w:val="00720C33"/>
    <w:rsid w:val="00724719"/>
    <w:rsid w:val="0072621A"/>
    <w:rsid w:val="00727857"/>
    <w:rsid w:val="00732459"/>
    <w:rsid w:val="00733112"/>
    <w:rsid w:val="007336DA"/>
    <w:rsid w:val="00733E99"/>
    <w:rsid w:val="007340AE"/>
    <w:rsid w:val="0073484F"/>
    <w:rsid w:val="0073701E"/>
    <w:rsid w:val="0073744F"/>
    <w:rsid w:val="00740083"/>
    <w:rsid w:val="007407C1"/>
    <w:rsid w:val="00740DCA"/>
    <w:rsid w:val="00741CB1"/>
    <w:rsid w:val="0074231B"/>
    <w:rsid w:val="007429CC"/>
    <w:rsid w:val="00754AE9"/>
    <w:rsid w:val="00755521"/>
    <w:rsid w:val="00756F90"/>
    <w:rsid w:val="00757420"/>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388A"/>
    <w:rsid w:val="00783D5F"/>
    <w:rsid w:val="0078439E"/>
    <w:rsid w:val="00785924"/>
    <w:rsid w:val="00786456"/>
    <w:rsid w:val="0079035F"/>
    <w:rsid w:val="007923CD"/>
    <w:rsid w:val="007957DE"/>
    <w:rsid w:val="00797A68"/>
    <w:rsid w:val="00797E70"/>
    <w:rsid w:val="007A032E"/>
    <w:rsid w:val="007A09A1"/>
    <w:rsid w:val="007A6725"/>
    <w:rsid w:val="007A6BFE"/>
    <w:rsid w:val="007B0008"/>
    <w:rsid w:val="007B1150"/>
    <w:rsid w:val="007B3DAE"/>
    <w:rsid w:val="007B48FE"/>
    <w:rsid w:val="007B67B9"/>
    <w:rsid w:val="007B6E44"/>
    <w:rsid w:val="007C0CD6"/>
    <w:rsid w:val="007C1DB7"/>
    <w:rsid w:val="007C4ED9"/>
    <w:rsid w:val="007C66F3"/>
    <w:rsid w:val="007D32D4"/>
    <w:rsid w:val="007D3899"/>
    <w:rsid w:val="007D4405"/>
    <w:rsid w:val="007D68FA"/>
    <w:rsid w:val="007D74F2"/>
    <w:rsid w:val="007E1BC8"/>
    <w:rsid w:val="007E4AB1"/>
    <w:rsid w:val="007E6FA7"/>
    <w:rsid w:val="007F5E69"/>
    <w:rsid w:val="007F6FEA"/>
    <w:rsid w:val="007F7C5D"/>
    <w:rsid w:val="0080401F"/>
    <w:rsid w:val="00807A36"/>
    <w:rsid w:val="00807E4D"/>
    <w:rsid w:val="00810A0A"/>
    <w:rsid w:val="00811393"/>
    <w:rsid w:val="00811867"/>
    <w:rsid w:val="00811C8B"/>
    <w:rsid w:val="00815961"/>
    <w:rsid w:val="008169E2"/>
    <w:rsid w:val="008176A4"/>
    <w:rsid w:val="00820F4F"/>
    <w:rsid w:val="0082151D"/>
    <w:rsid w:val="008215C6"/>
    <w:rsid w:val="008221AE"/>
    <w:rsid w:val="0082377E"/>
    <w:rsid w:val="0082696A"/>
    <w:rsid w:val="008277C7"/>
    <w:rsid w:val="0083240A"/>
    <w:rsid w:val="0083659A"/>
    <w:rsid w:val="00841CB4"/>
    <w:rsid w:val="008420D9"/>
    <w:rsid w:val="00845C6F"/>
    <w:rsid w:val="00850A3E"/>
    <w:rsid w:val="0085473F"/>
    <w:rsid w:val="00860CCD"/>
    <w:rsid w:val="00865194"/>
    <w:rsid w:val="00865B7B"/>
    <w:rsid w:val="00873DED"/>
    <w:rsid w:val="00875160"/>
    <w:rsid w:val="008757B2"/>
    <w:rsid w:val="008762E1"/>
    <w:rsid w:val="00876795"/>
    <w:rsid w:val="00883730"/>
    <w:rsid w:val="0088395F"/>
    <w:rsid w:val="00884ED2"/>
    <w:rsid w:val="00884F46"/>
    <w:rsid w:val="008855B4"/>
    <w:rsid w:val="00887E0A"/>
    <w:rsid w:val="00890373"/>
    <w:rsid w:val="00890A0C"/>
    <w:rsid w:val="008928A3"/>
    <w:rsid w:val="008929DB"/>
    <w:rsid w:val="00894C7E"/>
    <w:rsid w:val="008A208C"/>
    <w:rsid w:val="008A2FE2"/>
    <w:rsid w:val="008A581D"/>
    <w:rsid w:val="008A5933"/>
    <w:rsid w:val="008B0F0B"/>
    <w:rsid w:val="008B15D4"/>
    <w:rsid w:val="008B2B78"/>
    <w:rsid w:val="008B334D"/>
    <w:rsid w:val="008B34CA"/>
    <w:rsid w:val="008B4953"/>
    <w:rsid w:val="008B669E"/>
    <w:rsid w:val="008B7B67"/>
    <w:rsid w:val="008C0472"/>
    <w:rsid w:val="008C44A7"/>
    <w:rsid w:val="008C50E8"/>
    <w:rsid w:val="008C719D"/>
    <w:rsid w:val="008C7EBB"/>
    <w:rsid w:val="008D123E"/>
    <w:rsid w:val="008E0ECB"/>
    <w:rsid w:val="008E4B80"/>
    <w:rsid w:val="008E6A97"/>
    <w:rsid w:val="008F340F"/>
    <w:rsid w:val="008F5DE0"/>
    <w:rsid w:val="00900FBF"/>
    <w:rsid w:val="0090566A"/>
    <w:rsid w:val="00906C64"/>
    <w:rsid w:val="00907156"/>
    <w:rsid w:val="0091155F"/>
    <w:rsid w:val="009122A1"/>
    <w:rsid w:val="00917765"/>
    <w:rsid w:val="00926CB9"/>
    <w:rsid w:val="009275DB"/>
    <w:rsid w:val="00931316"/>
    <w:rsid w:val="00934C90"/>
    <w:rsid w:val="00935931"/>
    <w:rsid w:val="00936573"/>
    <w:rsid w:val="0094521A"/>
    <w:rsid w:val="0095110C"/>
    <w:rsid w:val="009525BB"/>
    <w:rsid w:val="00955C59"/>
    <w:rsid w:val="0095742D"/>
    <w:rsid w:val="00960025"/>
    <w:rsid w:val="009607CF"/>
    <w:rsid w:val="009616BA"/>
    <w:rsid w:val="009628D3"/>
    <w:rsid w:val="00962D66"/>
    <w:rsid w:val="00963041"/>
    <w:rsid w:val="00963386"/>
    <w:rsid w:val="009644A7"/>
    <w:rsid w:val="0096673E"/>
    <w:rsid w:val="00973341"/>
    <w:rsid w:val="009753AA"/>
    <w:rsid w:val="00980024"/>
    <w:rsid w:val="00982FE9"/>
    <w:rsid w:val="00984FC7"/>
    <w:rsid w:val="009853A0"/>
    <w:rsid w:val="0098552F"/>
    <w:rsid w:val="00986755"/>
    <w:rsid w:val="0098681B"/>
    <w:rsid w:val="009868CA"/>
    <w:rsid w:val="00990D17"/>
    <w:rsid w:val="009921AE"/>
    <w:rsid w:val="0099372F"/>
    <w:rsid w:val="0099619E"/>
    <w:rsid w:val="00996856"/>
    <w:rsid w:val="00996E74"/>
    <w:rsid w:val="009A45D6"/>
    <w:rsid w:val="009A5E52"/>
    <w:rsid w:val="009A7397"/>
    <w:rsid w:val="009A77B6"/>
    <w:rsid w:val="009B24EC"/>
    <w:rsid w:val="009B2F48"/>
    <w:rsid w:val="009B6713"/>
    <w:rsid w:val="009B68A1"/>
    <w:rsid w:val="009B71DC"/>
    <w:rsid w:val="009C1614"/>
    <w:rsid w:val="009C5718"/>
    <w:rsid w:val="009D04CB"/>
    <w:rsid w:val="009D3E54"/>
    <w:rsid w:val="009D3FA8"/>
    <w:rsid w:val="009E1530"/>
    <w:rsid w:val="009E1ED8"/>
    <w:rsid w:val="009E2496"/>
    <w:rsid w:val="009E3812"/>
    <w:rsid w:val="009E43DC"/>
    <w:rsid w:val="009F1C09"/>
    <w:rsid w:val="009F3121"/>
    <w:rsid w:val="009F4327"/>
    <w:rsid w:val="009F50EA"/>
    <w:rsid w:val="009F5E2D"/>
    <w:rsid w:val="009F7031"/>
    <w:rsid w:val="00A01912"/>
    <w:rsid w:val="00A024EC"/>
    <w:rsid w:val="00A046C8"/>
    <w:rsid w:val="00A06DC5"/>
    <w:rsid w:val="00A12D01"/>
    <w:rsid w:val="00A13321"/>
    <w:rsid w:val="00A134D9"/>
    <w:rsid w:val="00A145A8"/>
    <w:rsid w:val="00A161E3"/>
    <w:rsid w:val="00A220FF"/>
    <w:rsid w:val="00A22204"/>
    <w:rsid w:val="00A222B3"/>
    <w:rsid w:val="00A22E5C"/>
    <w:rsid w:val="00A24F90"/>
    <w:rsid w:val="00A32081"/>
    <w:rsid w:val="00A32312"/>
    <w:rsid w:val="00A3334C"/>
    <w:rsid w:val="00A34090"/>
    <w:rsid w:val="00A346B0"/>
    <w:rsid w:val="00A3543B"/>
    <w:rsid w:val="00A35D5F"/>
    <w:rsid w:val="00A3667E"/>
    <w:rsid w:val="00A37624"/>
    <w:rsid w:val="00A43812"/>
    <w:rsid w:val="00A45401"/>
    <w:rsid w:val="00A46161"/>
    <w:rsid w:val="00A46D08"/>
    <w:rsid w:val="00A5003C"/>
    <w:rsid w:val="00A52F4D"/>
    <w:rsid w:val="00A53D3B"/>
    <w:rsid w:val="00A55EED"/>
    <w:rsid w:val="00A56740"/>
    <w:rsid w:val="00A56895"/>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2CE0"/>
    <w:rsid w:val="00AA4C7A"/>
    <w:rsid w:val="00AA6D73"/>
    <w:rsid w:val="00AB0314"/>
    <w:rsid w:val="00AB06D3"/>
    <w:rsid w:val="00AB34E7"/>
    <w:rsid w:val="00AB3733"/>
    <w:rsid w:val="00AB5BE7"/>
    <w:rsid w:val="00AB6243"/>
    <w:rsid w:val="00AB62DC"/>
    <w:rsid w:val="00AB6923"/>
    <w:rsid w:val="00AC3227"/>
    <w:rsid w:val="00AC3253"/>
    <w:rsid w:val="00AC570C"/>
    <w:rsid w:val="00AC73AC"/>
    <w:rsid w:val="00AD2BE7"/>
    <w:rsid w:val="00AD5A25"/>
    <w:rsid w:val="00AD7031"/>
    <w:rsid w:val="00AD78BA"/>
    <w:rsid w:val="00AF2410"/>
    <w:rsid w:val="00AF3CF3"/>
    <w:rsid w:val="00AF55F2"/>
    <w:rsid w:val="00B0050E"/>
    <w:rsid w:val="00B03F69"/>
    <w:rsid w:val="00B04DD6"/>
    <w:rsid w:val="00B07F25"/>
    <w:rsid w:val="00B11DE2"/>
    <w:rsid w:val="00B12981"/>
    <w:rsid w:val="00B16514"/>
    <w:rsid w:val="00B22377"/>
    <w:rsid w:val="00B223DC"/>
    <w:rsid w:val="00B24CB9"/>
    <w:rsid w:val="00B2754B"/>
    <w:rsid w:val="00B337EA"/>
    <w:rsid w:val="00B34738"/>
    <w:rsid w:val="00B36B89"/>
    <w:rsid w:val="00B37982"/>
    <w:rsid w:val="00B41447"/>
    <w:rsid w:val="00B4258C"/>
    <w:rsid w:val="00B42862"/>
    <w:rsid w:val="00B42AE9"/>
    <w:rsid w:val="00B44354"/>
    <w:rsid w:val="00B4513C"/>
    <w:rsid w:val="00B452D3"/>
    <w:rsid w:val="00B46028"/>
    <w:rsid w:val="00B46168"/>
    <w:rsid w:val="00B52297"/>
    <w:rsid w:val="00B5367A"/>
    <w:rsid w:val="00B559F0"/>
    <w:rsid w:val="00B55A4A"/>
    <w:rsid w:val="00B55CE4"/>
    <w:rsid w:val="00B574A3"/>
    <w:rsid w:val="00B6173F"/>
    <w:rsid w:val="00B63BEF"/>
    <w:rsid w:val="00B63E36"/>
    <w:rsid w:val="00B653B9"/>
    <w:rsid w:val="00B70586"/>
    <w:rsid w:val="00B7152D"/>
    <w:rsid w:val="00B7265A"/>
    <w:rsid w:val="00B742FC"/>
    <w:rsid w:val="00B82FF1"/>
    <w:rsid w:val="00B830EF"/>
    <w:rsid w:val="00B83407"/>
    <w:rsid w:val="00B83FBD"/>
    <w:rsid w:val="00B84BF5"/>
    <w:rsid w:val="00B8724E"/>
    <w:rsid w:val="00B90D68"/>
    <w:rsid w:val="00B90DED"/>
    <w:rsid w:val="00B930EA"/>
    <w:rsid w:val="00B9345F"/>
    <w:rsid w:val="00B953C1"/>
    <w:rsid w:val="00B953D7"/>
    <w:rsid w:val="00B954DD"/>
    <w:rsid w:val="00B968C5"/>
    <w:rsid w:val="00B97857"/>
    <w:rsid w:val="00BA727E"/>
    <w:rsid w:val="00BB02ED"/>
    <w:rsid w:val="00BB0AED"/>
    <w:rsid w:val="00BB1C85"/>
    <w:rsid w:val="00BB2709"/>
    <w:rsid w:val="00BB3BE0"/>
    <w:rsid w:val="00BB417B"/>
    <w:rsid w:val="00BB64FD"/>
    <w:rsid w:val="00BC0AFC"/>
    <w:rsid w:val="00BC34C2"/>
    <w:rsid w:val="00BC38C3"/>
    <w:rsid w:val="00BC5DC2"/>
    <w:rsid w:val="00BC7EED"/>
    <w:rsid w:val="00BD057C"/>
    <w:rsid w:val="00BD15CA"/>
    <w:rsid w:val="00BD2683"/>
    <w:rsid w:val="00BD3E3A"/>
    <w:rsid w:val="00BD43D9"/>
    <w:rsid w:val="00BD6B78"/>
    <w:rsid w:val="00BE16B3"/>
    <w:rsid w:val="00BE4CDE"/>
    <w:rsid w:val="00BF0537"/>
    <w:rsid w:val="00BF08B8"/>
    <w:rsid w:val="00BF3374"/>
    <w:rsid w:val="00BF34EA"/>
    <w:rsid w:val="00BF42AC"/>
    <w:rsid w:val="00BF4F45"/>
    <w:rsid w:val="00C05410"/>
    <w:rsid w:val="00C05AD5"/>
    <w:rsid w:val="00C065CD"/>
    <w:rsid w:val="00C106A4"/>
    <w:rsid w:val="00C17CDA"/>
    <w:rsid w:val="00C22B9E"/>
    <w:rsid w:val="00C22D65"/>
    <w:rsid w:val="00C22E18"/>
    <w:rsid w:val="00C2363B"/>
    <w:rsid w:val="00C23848"/>
    <w:rsid w:val="00C2586F"/>
    <w:rsid w:val="00C27704"/>
    <w:rsid w:val="00C3031F"/>
    <w:rsid w:val="00C31E27"/>
    <w:rsid w:val="00C3313F"/>
    <w:rsid w:val="00C349B9"/>
    <w:rsid w:val="00C35A8B"/>
    <w:rsid w:val="00C379BA"/>
    <w:rsid w:val="00C40653"/>
    <w:rsid w:val="00C4069B"/>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6763"/>
    <w:rsid w:val="00C669B3"/>
    <w:rsid w:val="00C67B89"/>
    <w:rsid w:val="00C70000"/>
    <w:rsid w:val="00C72F68"/>
    <w:rsid w:val="00C813BF"/>
    <w:rsid w:val="00C818E6"/>
    <w:rsid w:val="00C853CC"/>
    <w:rsid w:val="00C907B8"/>
    <w:rsid w:val="00C935AD"/>
    <w:rsid w:val="00CA26D8"/>
    <w:rsid w:val="00CA4B28"/>
    <w:rsid w:val="00CB4DEB"/>
    <w:rsid w:val="00CB53B7"/>
    <w:rsid w:val="00CB5CAA"/>
    <w:rsid w:val="00CB61A1"/>
    <w:rsid w:val="00CB6BCD"/>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BFF"/>
    <w:rsid w:val="00CF1B4B"/>
    <w:rsid w:val="00CF416E"/>
    <w:rsid w:val="00D02235"/>
    <w:rsid w:val="00D04D72"/>
    <w:rsid w:val="00D04FCD"/>
    <w:rsid w:val="00D114B8"/>
    <w:rsid w:val="00D161CB"/>
    <w:rsid w:val="00D16764"/>
    <w:rsid w:val="00D205CE"/>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543"/>
    <w:rsid w:val="00D949BB"/>
    <w:rsid w:val="00D94DA2"/>
    <w:rsid w:val="00D958BA"/>
    <w:rsid w:val="00D96548"/>
    <w:rsid w:val="00D96A9F"/>
    <w:rsid w:val="00D978F9"/>
    <w:rsid w:val="00DA04E8"/>
    <w:rsid w:val="00DA20FE"/>
    <w:rsid w:val="00DA3BFC"/>
    <w:rsid w:val="00DA6FD3"/>
    <w:rsid w:val="00DA7C54"/>
    <w:rsid w:val="00DA7E10"/>
    <w:rsid w:val="00DB2690"/>
    <w:rsid w:val="00DB33EA"/>
    <w:rsid w:val="00DB4645"/>
    <w:rsid w:val="00DB606C"/>
    <w:rsid w:val="00DB6756"/>
    <w:rsid w:val="00DB69A5"/>
    <w:rsid w:val="00DB6EA4"/>
    <w:rsid w:val="00DB6FF9"/>
    <w:rsid w:val="00DC000B"/>
    <w:rsid w:val="00DC000C"/>
    <w:rsid w:val="00DC3233"/>
    <w:rsid w:val="00DC50E9"/>
    <w:rsid w:val="00DC522A"/>
    <w:rsid w:val="00DC67CF"/>
    <w:rsid w:val="00DC6D0F"/>
    <w:rsid w:val="00DC783E"/>
    <w:rsid w:val="00DD3180"/>
    <w:rsid w:val="00DD5F9A"/>
    <w:rsid w:val="00DD7A4C"/>
    <w:rsid w:val="00DE06E4"/>
    <w:rsid w:val="00DE0AB8"/>
    <w:rsid w:val="00DE0DE6"/>
    <w:rsid w:val="00DE255B"/>
    <w:rsid w:val="00DE305B"/>
    <w:rsid w:val="00DE3322"/>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D39"/>
    <w:rsid w:val="00E575AE"/>
    <w:rsid w:val="00E57A42"/>
    <w:rsid w:val="00E60DC6"/>
    <w:rsid w:val="00E710A2"/>
    <w:rsid w:val="00E7286B"/>
    <w:rsid w:val="00E745B3"/>
    <w:rsid w:val="00E75239"/>
    <w:rsid w:val="00E7552E"/>
    <w:rsid w:val="00E75F42"/>
    <w:rsid w:val="00E8268F"/>
    <w:rsid w:val="00E85354"/>
    <w:rsid w:val="00E85EB6"/>
    <w:rsid w:val="00E87319"/>
    <w:rsid w:val="00E91B87"/>
    <w:rsid w:val="00E92487"/>
    <w:rsid w:val="00E92650"/>
    <w:rsid w:val="00E9352C"/>
    <w:rsid w:val="00E93907"/>
    <w:rsid w:val="00E93930"/>
    <w:rsid w:val="00E94CC7"/>
    <w:rsid w:val="00E9599D"/>
    <w:rsid w:val="00E96288"/>
    <w:rsid w:val="00EA0482"/>
    <w:rsid w:val="00EA17BE"/>
    <w:rsid w:val="00EA1B6E"/>
    <w:rsid w:val="00EA22B6"/>
    <w:rsid w:val="00EA2CD3"/>
    <w:rsid w:val="00EA5834"/>
    <w:rsid w:val="00EA5C50"/>
    <w:rsid w:val="00EB51D7"/>
    <w:rsid w:val="00EB78CB"/>
    <w:rsid w:val="00EC08D0"/>
    <w:rsid w:val="00EC20A2"/>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F3D"/>
    <w:rsid w:val="00F03E91"/>
    <w:rsid w:val="00F04CE7"/>
    <w:rsid w:val="00F05786"/>
    <w:rsid w:val="00F07802"/>
    <w:rsid w:val="00F102F8"/>
    <w:rsid w:val="00F1214B"/>
    <w:rsid w:val="00F1385E"/>
    <w:rsid w:val="00F1532C"/>
    <w:rsid w:val="00F16797"/>
    <w:rsid w:val="00F225BC"/>
    <w:rsid w:val="00F23216"/>
    <w:rsid w:val="00F27122"/>
    <w:rsid w:val="00F3110B"/>
    <w:rsid w:val="00F31847"/>
    <w:rsid w:val="00F336A8"/>
    <w:rsid w:val="00F33D8E"/>
    <w:rsid w:val="00F34543"/>
    <w:rsid w:val="00F3528F"/>
    <w:rsid w:val="00F355DC"/>
    <w:rsid w:val="00F35DE7"/>
    <w:rsid w:val="00F412C6"/>
    <w:rsid w:val="00F431D9"/>
    <w:rsid w:val="00F46CAF"/>
    <w:rsid w:val="00F51085"/>
    <w:rsid w:val="00F5674F"/>
    <w:rsid w:val="00F575BC"/>
    <w:rsid w:val="00F6025C"/>
    <w:rsid w:val="00F65BD3"/>
    <w:rsid w:val="00F65D32"/>
    <w:rsid w:val="00F65F09"/>
    <w:rsid w:val="00F737CC"/>
    <w:rsid w:val="00F73A91"/>
    <w:rsid w:val="00F74BB5"/>
    <w:rsid w:val="00F76891"/>
    <w:rsid w:val="00F81492"/>
    <w:rsid w:val="00F83C2D"/>
    <w:rsid w:val="00F8529E"/>
    <w:rsid w:val="00F85A22"/>
    <w:rsid w:val="00F86FDB"/>
    <w:rsid w:val="00F87CC0"/>
    <w:rsid w:val="00F96AB9"/>
    <w:rsid w:val="00F9728D"/>
    <w:rsid w:val="00FA3837"/>
    <w:rsid w:val="00FA6592"/>
    <w:rsid w:val="00FB1D5B"/>
    <w:rsid w:val="00FB36FA"/>
    <w:rsid w:val="00FB4039"/>
    <w:rsid w:val="00FC02AA"/>
    <w:rsid w:val="00FC2BD8"/>
    <w:rsid w:val="00FC5E7D"/>
    <w:rsid w:val="00FC66C4"/>
    <w:rsid w:val="00FD0DFC"/>
    <w:rsid w:val="00FD22C4"/>
    <w:rsid w:val="00FD2625"/>
    <w:rsid w:val="00FD5B35"/>
    <w:rsid w:val="00FD66F9"/>
    <w:rsid w:val="00FD7EBC"/>
    <w:rsid w:val="00FE024B"/>
    <w:rsid w:val="00FE126F"/>
    <w:rsid w:val="00FE14C1"/>
    <w:rsid w:val="00FE1BF6"/>
    <w:rsid w:val="00FE46AD"/>
    <w:rsid w:val="00FE67FE"/>
    <w:rsid w:val="00FF016E"/>
    <w:rsid w:val="00FF31D6"/>
    <w:rsid w:val="00FF4689"/>
    <w:rsid w:val="00FF50E7"/>
    <w:rsid w:val="00FF6716"/>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Arial" panose="020B0604020202020204" pitchFamily="34" charset="0"/>
                <a:cs typeface="Arial" panose="020B0604020202020204" pitchFamily="34" charset="0"/>
              </a:defRPr>
            </a:pPr>
            <a:r>
              <a:rPr lang="ru-RU" sz="1300">
                <a:latin typeface="Arial" panose="020B0604020202020204" pitchFamily="34" charset="0"/>
                <a:cs typeface="Arial" panose="020B0604020202020204" pitchFamily="34" charset="0"/>
              </a:rPr>
              <a:t>Показатели развития потребительского рынка</a:t>
            </a:r>
          </a:p>
          <a:p>
            <a:pPr>
              <a:defRPr sz="1200">
                <a:latin typeface="Arial" panose="020B0604020202020204" pitchFamily="34" charset="0"/>
                <a:cs typeface="Arial" panose="020B0604020202020204" pitchFamily="34" charset="0"/>
              </a:defRPr>
            </a:pPr>
            <a:r>
              <a:rPr lang="ru-RU" sz="1300">
                <a:latin typeface="Arial" panose="020B0604020202020204" pitchFamily="34" charset="0"/>
                <a:cs typeface="Arial" panose="020B0604020202020204" pitchFamily="34" charset="0"/>
              </a:rPr>
              <a:t>за 2021 г.</a:t>
            </a:r>
          </a:p>
          <a:p>
            <a:pPr>
              <a:defRPr sz="1200">
                <a:latin typeface="Arial" panose="020B0604020202020204" pitchFamily="34" charset="0"/>
                <a:cs typeface="Arial" panose="020B0604020202020204" pitchFamily="34" charset="0"/>
              </a:defRPr>
            </a:pPr>
            <a:r>
              <a:rPr lang="ru-RU" sz="1000" b="0" i="1">
                <a:latin typeface="Arial" panose="020B0604020202020204" pitchFamily="34" charset="0"/>
                <a:cs typeface="Arial" panose="020B0604020202020204" pitchFamily="34" charset="0"/>
              </a:rPr>
              <a:t>(млрд.</a:t>
            </a:r>
            <a:r>
              <a:rPr lang="ru-RU" sz="1000" b="0" i="1" baseline="0">
                <a:latin typeface="Arial" panose="020B0604020202020204" pitchFamily="34" charset="0"/>
                <a:cs typeface="Arial" panose="020B0604020202020204" pitchFamily="34" charset="0"/>
              </a:rPr>
              <a:t> рублей</a:t>
            </a:r>
            <a:r>
              <a:rPr lang="ru-RU" sz="1000" b="0" i="1">
                <a:latin typeface="Arial" panose="020B0604020202020204" pitchFamily="34" charset="0"/>
                <a:cs typeface="Arial" panose="020B0604020202020204" pitchFamily="34" charset="0"/>
              </a:rPr>
              <a:t>)</a:t>
            </a:r>
          </a:p>
        </c:rich>
      </c:tx>
      <c:layout>
        <c:manualLayout>
          <c:xMode val="edge"/>
          <c:yMode val="edge"/>
          <c:x val="0.19025864447561097"/>
          <c:y val="0"/>
        </c:manualLayout>
      </c:layout>
      <c:overlay val="0"/>
    </c:title>
    <c:autoTitleDeleted val="0"/>
    <c:plotArea>
      <c:layout>
        <c:manualLayout>
          <c:layoutTarget val="inner"/>
          <c:xMode val="edge"/>
          <c:yMode val="edge"/>
          <c:x val="2.3157894736842106E-2"/>
          <c:y val="0.29800223612531818"/>
          <c:w val="0.95839915745129012"/>
          <c:h val="0.44070210519270725"/>
        </c:manualLayout>
      </c:layout>
      <c:barChart>
        <c:barDir val="col"/>
        <c:grouping val="clustered"/>
        <c:varyColors val="0"/>
        <c:ser>
          <c:idx val="0"/>
          <c:order val="0"/>
          <c:tx>
            <c:strRef>
              <c:f>Лист1!$B$1</c:f>
              <c:strCache>
                <c:ptCount val="1"/>
                <c:pt idx="0">
                  <c:v>Оборот розничной торговли</c:v>
                </c:pt>
              </c:strCache>
            </c:strRef>
          </c:tx>
          <c:spPr>
            <a:solidFill>
              <a:schemeClr val="bg1">
                <a:lumMod val="85000"/>
              </a:schemeClr>
            </a:solidFill>
          </c:spPr>
          <c:invertIfNegative val="0"/>
          <c:dLbls>
            <c:dLbl>
              <c:idx val="0"/>
              <c:layout>
                <c:manualLayout>
                  <c:x val="2.199676963456491E-3"/>
                  <c:y val="7.9363621681703168E-3"/>
                </c:manualLayout>
              </c:layout>
              <c:showLegendKey val="0"/>
              <c:showVal val="1"/>
              <c:showCatName val="0"/>
              <c:showSerName val="0"/>
              <c:showPercent val="0"/>
              <c:showBubbleSize val="0"/>
            </c:dLbl>
            <c:dLbl>
              <c:idx val="1"/>
              <c:layout>
                <c:manualLayout>
                  <c:x val="9.4387240056492225E-5"/>
                  <c:y val="0"/>
                </c:manualLayout>
              </c:layout>
              <c:showLegendKey val="0"/>
              <c:showVal val="1"/>
              <c:showCatName val="0"/>
              <c:showSerName val="0"/>
              <c:showPercent val="0"/>
              <c:showBubbleSize val="0"/>
            </c:dLbl>
            <c:dLbl>
              <c:idx val="4"/>
              <c:layout>
                <c:manualLayout>
                  <c:x val="0"/>
                  <c:y val="3.968253968253968E-3"/>
                </c:manualLayout>
              </c:layout>
              <c:showLegendKey val="0"/>
              <c:showVal val="1"/>
              <c:showCatName val="0"/>
              <c:showSerName val="0"/>
              <c:showPercent val="0"/>
              <c:showBubbleSize val="0"/>
            </c:dLbl>
            <c:dLbl>
              <c:idx val="5"/>
              <c:layout>
                <c:manualLayout>
                  <c:x val="-4.2105263157894736E-3"/>
                  <c:y val="7.9365079365079725E-3"/>
                </c:manualLayout>
              </c:layout>
              <c:showLegendKey val="0"/>
              <c:showVal val="1"/>
              <c:showCatName val="0"/>
              <c:showSerName val="0"/>
              <c:showPercent val="0"/>
              <c:showBubbleSize val="0"/>
            </c:dLbl>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Лист1!$A$2:$A$9</c:f>
              <c:strCache>
                <c:ptCount val="5"/>
                <c:pt idx="0">
                  <c:v>январь</c:v>
                </c:pt>
                <c:pt idx="1">
                  <c:v>январь-март</c:v>
                </c:pt>
                <c:pt idx="2">
                  <c:v>январь-июнь</c:v>
                </c:pt>
                <c:pt idx="3">
                  <c:v>январь-сентябрь</c:v>
                </c:pt>
                <c:pt idx="4">
                  <c:v>январь-декабрь</c:v>
                </c:pt>
              </c:strCache>
            </c:strRef>
          </c:cat>
          <c:val>
            <c:numRef>
              <c:f>Лист1!$B$2:$B$9</c:f>
              <c:numCache>
                <c:formatCode>0.0</c:formatCode>
                <c:ptCount val="5"/>
                <c:pt idx="0">
                  <c:v>14.9</c:v>
                </c:pt>
                <c:pt idx="1">
                  <c:v>45.1</c:v>
                </c:pt>
                <c:pt idx="2">
                  <c:v>95.5</c:v>
                </c:pt>
                <c:pt idx="3">
                  <c:v>148.6</c:v>
                </c:pt>
                <c:pt idx="4">
                  <c:v>200.9</c:v>
                </c:pt>
              </c:numCache>
            </c:numRef>
          </c:val>
        </c:ser>
        <c:ser>
          <c:idx val="1"/>
          <c:order val="1"/>
          <c:tx>
            <c:strRef>
              <c:f>Лист1!$C$1</c:f>
              <c:strCache>
                <c:ptCount val="1"/>
                <c:pt idx="0">
                  <c:v>Объем платных услуг населению</c:v>
                </c:pt>
              </c:strCache>
            </c:strRef>
          </c:tx>
          <c:spPr>
            <a:solidFill>
              <a:srgbClr val="001E82"/>
            </a:solidFill>
          </c:spPr>
          <c:invertIfNegative val="0"/>
          <c:dLbls>
            <c:dLbl>
              <c:idx val="0"/>
              <c:layout>
                <c:manualLayout>
                  <c:x val="-1.2113870381586917E-4"/>
                  <c:y val="7.9363621681703168E-3"/>
                </c:manualLayout>
              </c:layout>
              <c:showLegendKey val="0"/>
              <c:showVal val="1"/>
              <c:showCatName val="0"/>
              <c:showSerName val="0"/>
              <c:showPercent val="0"/>
              <c:showBubbleSize val="0"/>
            </c:dLbl>
            <c:dLbl>
              <c:idx val="1"/>
              <c:layout>
                <c:manualLayout>
                  <c:x val="4.0820378221953415E-3"/>
                  <c:y val="-3.9688144223796419E-3"/>
                </c:manualLayout>
              </c:layout>
              <c:showLegendKey val="0"/>
              <c:showVal val="1"/>
              <c:showCatName val="0"/>
              <c:showSerName val="0"/>
              <c:showPercent val="0"/>
              <c:showBubbleSize val="0"/>
            </c:dLbl>
            <c:dLbl>
              <c:idx val="2"/>
              <c:layout>
                <c:manualLayout>
                  <c:x val="-2.2264284272158286E-3"/>
                  <c:y val="-3.1666914731538368E-7"/>
                </c:manualLayout>
              </c:layout>
              <c:showLegendKey val="0"/>
              <c:showVal val="1"/>
              <c:showCatName val="0"/>
              <c:showSerName val="0"/>
              <c:showPercent val="0"/>
              <c:showBubbleSize val="0"/>
            </c:dLbl>
            <c:dLbl>
              <c:idx val="4"/>
              <c:layout>
                <c:manualLayout>
                  <c:x val="4.1474863718959773E-3"/>
                  <c:y val="7.9363621681703914E-3"/>
                </c:manualLayout>
              </c:layout>
              <c:showLegendKey val="0"/>
              <c:showVal val="1"/>
              <c:showCatName val="0"/>
              <c:showSerName val="0"/>
              <c:showPercent val="0"/>
              <c:showBubbleSize val="0"/>
            </c:dLbl>
            <c:dLbl>
              <c:idx val="5"/>
              <c:layout>
                <c:manualLayout>
                  <c:x val="1.9525203580321691E-3"/>
                  <c:y val="-3.9681810840851584E-3"/>
                </c:manualLayout>
              </c:layout>
              <c:showLegendKey val="0"/>
              <c:showVal val="1"/>
              <c:showCatName val="0"/>
              <c:showSerName val="0"/>
              <c:showPercent val="0"/>
              <c:showBubbleSize val="0"/>
            </c:dLbl>
            <c:txPr>
              <a:bodyPr/>
              <a:lstStyle/>
              <a:p>
                <a:pPr>
                  <a:defRPr sz="1400" b="1">
                    <a:solidFill>
                      <a:srgbClr val="001E82"/>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Лист1!$A$2:$A$9</c:f>
              <c:strCache>
                <c:ptCount val="5"/>
                <c:pt idx="0">
                  <c:v>январь</c:v>
                </c:pt>
                <c:pt idx="1">
                  <c:v>январь-март</c:v>
                </c:pt>
                <c:pt idx="2">
                  <c:v>январь-июнь</c:v>
                </c:pt>
                <c:pt idx="3">
                  <c:v>январь-сентябрь</c:v>
                </c:pt>
                <c:pt idx="4">
                  <c:v>январь-декабрь</c:v>
                </c:pt>
              </c:strCache>
            </c:strRef>
          </c:cat>
          <c:val>
            <c:numRef>
              <c:f>Лист1!$C$2:$C$9</c:f>
              <c:numCache>
                <c:formatCode>0.0</c:formatCode>
                <c:ptCount val="5"/>
                <c:pt idx="0">
                  <c:v>4.7</c:v>
                </c:pt>
                <c:pt idx="1">
                  <c:v>14.9</c:v>
                </c:pt>
                <c:pt idx="2">
                  <c:v>29</c:v>
                </c:pt>
                <c:pt idx="3">
                  <c:v>42.1</c:v>
                </c:pt>
                <c:pt idx="4">
                  <c:v>57.2</c:v>
                </c:pt>
              </c:numCache>
            </c:numRef>
          </c:val>
        </c:ser>
        <c:dLbls>
          <c:showLegendKey val="0"/>
          <c:showVal val="1"/>
          <c:showCatName val="0"/>
          <c:showSerName val="0"/>
          <c:showPercent val="0"/>
          <c:showBubbleSize val="0"/>
        </c:dLbls>
        <c:gapWidth val="96"/>
        <c:overlap val="-15"/>
        <c:axId val="188175872"/>
        <c:axId val="191035584"/>
      </c:barChart>
      <c:catAx>
        <c:axId val="188175872"/>
        <c:scaling>
          <c:orientation val="minMax"/>
        </c:scaling>
        <c:delete val="0"/>
        <c:axPos val="b"/>
        <c:majorTickMark val="none"/>
        <c:minorTickMark val="none"/>
        <c:tickLblPos val="nextTo"/>
        <c:txPr>
          <a:bodyPr/>
          <a:lstStyle/>
          <a:p>
            <a:pPr>
              <a:defRPr sz="800" b="1">
                <a:latin typeface="Arial" panose="020B0604020202020204" pitchFamily="34" charset="0"/>
                <a:cs typeface="Arial" panose="020B0604020202020204" pitchFamily="34" charset="0"/>
              </a:defRPr>
            </a:pPr>
            <a:endParaRPr lang="ru-RU"/>
          </a:p>
        </c:txPr>
        <c:crossAx val="191035584"/>
        <c:crosses val="autoZero"/>
        <c:auto val="1"/>
        <c:lblAlgn val="ctr"/>
        <c:lblOffset val="100"/>
        <c:noMultiLvlLbl val="0"/>
      </c:catAx>
      <c:valAx>
        <c:axId val="191035584"/>
        <c:scaling>
          <c:orientation val="minMax"/>
        </c:scaling>
        <c:delete val="1"/>
        <c:axPos val="l"/>
        <c:numFmt formatCode="0.0" sourceLinked="1"/>
        <c:majorTickMark val="none"/>
        <c:minorTickMark val="none"/>
        <c:tickLblPos val="nextTo"/>
        <c:crossAx val="188175872"/>
        <c:crosses val="autoZero"/>
        <c:crossBetween val="between"/>
      </c:valAx>
    </c:plotArea>
    <c:legend>
      <c:legendPos val="b"/>
      <c:layout>
        <c:manualLayout>
          <c:xMode val="edge"/>
          <c:yMode val="edge"/>
          <c:x val="2.2613735783027122E-2"/>
          <c:y val="0.90046462942132233"/>
          <c:w val="0.94102311730264487"/>
          <c:h val="7.1757592800899883E-2"/>
        </c:manualLayout>
      </c:layout>
      <c:overlay val="0"/>
      <c:txPr>
        <a:bodyPr/>
        <a:lstStyle/>
        <a:p>
          <a:pPr>
            <a:defRPr sz="1100">
              <a:latin typeface="Arial" panose="020B0604020202020204" pitchFamily="34" charset="0"/>
              <a:cs typeface="Arial" panose="020B0604020202020204" pitchFamily="34"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9007643575803027"/>
          <c:y val="0.12626900979382169"/>
          <c:w val="0.40650674348743077"/>
          <c:h val="0.84171445154613223"/>
        </c:manualLayout>
      </c:layout>
      <c:pieChart>
        <c:varyColors val="1"/>
        <c:ser>
          <c:idx val="0"/>
          <c:order val="0"/>
          <c:tx>
            <c:strRef>
              <c:f>Лист1!$B$1</c:f>
              <c:strCache>
                <c:ptCount val="1"/>
                <c:pt idx="0">
                  <c:v>Столбец1</c:v>
                </c:pt>
              </c:strCache>
            </c:strRef>
          </c:tx>
          <c:explosion val="13"/>
          <c:dPt>
            <c:idx val="0"/>
            <c:bubble3D val="0"/>
            <c:spPr>
              <a:solidFill>
                <a:schemeClr val="bg1">
                  <a:lumMod val="85000"/>
                </a:schemeClr>
              </a:solidFill>
            </c:spPr>
          </c:dPt>
          <c:dPt>
            <c:idx val="1"/>
            <c:bubble3D val="0"/>
            <c:explosion val="3"/>
            <c:spPr>
              <a:solidFill>
                <a:schemeClr val="accent1">
                  <a:lumMod val="60000"/>
                  <a:lumOff val="40000"/>
                </a:schemeClr>
              </a:solidFill>
            </c:spPr>
          </c:dPt>
          <c:dPt>
            <c:idx val="2"/>
            <c:bubble3D val="0"/>
            <c:spPr>
              <a:solidFill>
                <a:schemeClr val="tx2">
                  <a:lumMod val="40000"/>
                  <a:lumOff val="60000"/>
                </a:schemeClr>
              </a:solidFill>
            </c:spPr>
          </c:dPt>
          <c:dPt>
            <c:idx val="3"/>
            <c:bubble3D val="0"/>
            <c:spPr>
              <a:solidFill>
                <a:srgbClr val="001E82"/>
              </a:solidFill>
            </c:spPr>
          </c:dPt>
          <c:dLbls>
            <c:dLbl>
              <c:idx val="0"/>
              <c:layout>
                <c:manualLayout>
                  <c:x val="0.16509030121234849"/>
                  <c:y val="-4.9066649297514281E-2"/>
                </c:manualLayout>
              </c:layout>
              <c:tx>
                <c:rich>
                  <a:bodyPr/>
                  <a:lstStyle/>
                  <a:p>
                    <a:r>
                      <a:rPr lang="ru-RU" sz="1500">
                        <a:latin typeface="Arial" pitchFamily="34" charset="0"/>
                        <a:cs typeface="Arial" pitchFamily="34" charset="0"/>
                      </a:rPr>
                      <a:t>46,4%</a:t>
                    </a:r>
                    <a:endParaRPr lang="en-US" sz="1200">
                      <a:latin typeface="Arial" pitchFamily="34" charset="0"/>
                      <a:cs typeface="Arial" pitchFamily="34" charset="0"/>
                    </a:endParaRPr>
                  </a:p>
                </c:rich>
              </c:tx>
              <c:dLblPos val="bestFit"/>
              <c:showLegendKey val="0"/>
              <c:showVal val="1"/>
              <c:showCatName val="0"/>
              <c:showSerName val="0"/>
              <c:showPercent val="0"/>
              <c:showBubbleSize val="0"/>
            </c:dLbl>
            <c:dLbl>
              <c:idx val="1"/>
              <c:layout>
                <c:manualLayout>
                  <c:x val="-0.15787460161229847"/>
                  <c:y val="1.0019025654881376E-2"/>
                </c:manualLayout>
              </c:layout>
              <c:tx>
                <c:rich>
                  <a:bodyPr/>
                  <a:lstStyle/>
                  <a:p>
                    <a:r>
                      <a:rPr lang="ru-RU"/>
                      <a:t>53,6%</a:t>
                    </a:r>
                    <a:endParaRPr lang="en-US"/>
                  </a:p>
                </c:rich>
              </c:tx>
              <c:dLblPos val="bestFit"/>
              <c:showLegendKey val="0"/>
              <c:showVal val="1"/>
              <c:showCatName val="0"/>
              <c:showSerName val="0"/>
              <c:showPercent val="0"/>
              <c:showBubbleSize val="0"/>
            </c:dLbl>
            <c:txPr>
              <a:bodyPr/>
              <a:lstStyle/>
              <a:p>
                <a:pPr>
                  <a:defRPr sz="1500">
                    <a:latin typeface="Arial" pitchFamily="34" charset="0"/>
                    <a:cs typeface="Arial" pitchFamily="34" charset="0"/>
                  </a:defRPr>
                </a:pPr>
                <a:endParaRPr lang="ru-RU"/>
              </a:p>
            </c:txPr>
            <c:dLblPos val="bestFit"/>
            <c:showLegendKey val="0"/>
            <c:showVal val="1"/>
            <c:showCatName val="0"/>
            <c:showSerName val="0"/>
            <c:showPercent val="0"/>
            <c:showBubbleSize val="0"/>
            <c:showLeaderLines val="1"/>
          </c:dLbls>
          <c:cat>
            <c:strRef>
              <c:f>Лист1!$A$2:$A$3</c:f>
              <c:strCache>
                <c:ptCount val="2"/>
                <c:pt idx="0">
                  <c:v>Продовольственные товары</c:v>
                </c:pt>
                <c:pt idx="1">
                  <c:v>Непродовольственные товары</c:v>
                </c:pt>
              </c:strCache>
            </c:strRef>
          </c:cat>
          <c:val>
            <c:numRef>
              <c:f>Лист1!$B$2:$B$3</c:f>
              <c:numCache>
                <c:formatCode>0.0</c:formatCode>
                <c:ptCount val="2"/>
                <c:pt idx="0">
                  <c:v>45.9</c:v>
                </c:pt>
                <c:pt idx="1">
                  <c:v>54.1</c:v>
                </c:pt>
              </c:numCache>
            </c:numRef>
          </c:val>
        </c:ser>
        <c:dLbls>
          <c:dLblPos val="bestFit"/>
          <c:showLegendKey val="0"/>
          <c:showVal val="1"/>
          <c:showCatName val="0"/>
          <c:showSerName val="0"/>
          <c:showPercent val="0"/>
          <c:showBubbleSize val="0"/>
          <c:showLeaderLines val="1"/>
        </c:dLbls>
        <c:firstSliceAng val="183"/>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8710547692789817"/>
          <c:y val="0.11041755800676049"/>
          <c:w val="0.40650674348743077"/>
          <c:h val="0.84171445154613223"/>
        </c:manualLayout>
      </c:layout>
      <c:pieChart>
        <c:varyColors val="1"/>
        <c:ser>
          <c:idx val="0"/>
          <c:order val="0"/>
          <c:tx>
            <c:strRef>
              <c:f>Лист1!$B$1</c:f>
              <c:strCache>
                <c:ptCount val="1"/>
                <c:pt idx="0">
                  <c:v>Столбец1</c:v>
                </c:pt>
              </c:strCache>
            </c:strRef>
          </c:tx>
          <c:explosion val="25"/>
          <c:dPt>
            <c:idx val="0"/>
            <c:bubble3D val="0"/>
            <c:explosion val="19"/>
            <c:spPr>
              <a:solidFill>
                <a:schemeClr val="bg1">
                  <a:lumMod val="85000"/>
                </a:schemeClr>
              </a:solidFill>
            </c:spPr>
          </c:dPt>
          <c:dPt>
            <c:idx val="1"/>
            <c:bubble3D val="0"/>
            <c:spPr>
              <a:solidFill>
                <a:schemeClr val="accent1">
                  <a:lumMod val="20000"/>
                  <a:lumOff val="80000"/>
                </a:schemeClr>
              </a:solidFill>
            </c:spPr>
          </c:dPt>
          <c:dPt>
            <c:idx val="2"/>
            <c:bubble3D val="0"/>
            <c:spPr>
              <a:solidFill>
                <a:schemeClr val="tx2">
                  <a:lumMod val="40000"/>
                  <a:lumOff val="60000"/>
                </a:schemeClr>
              </a:solidFill>
            </c:spPr>
          </c:dPt>
          <c:dPt>
            <c:idx val="3"/>
            <c:bubble3D val="0"/>
            <c:spPr>
              <a:solidFill>
                <a:srgbClr val="CCECFF"/>
              </a:solidFill>
            </c:spPr>
          </c:dPt>
          <c:dPt>
            <c:idx val="4"/>
            <c:bubble3D val="0"/>
            <c:spPr>
              <a:solidFill>
                <a:srgbClr val="66CCFF"/>
              </a:solidFill>
            </c:spPr>
          </c:dPt>
          <c:dPt>
            <c:idx val="5"/>
            <c:bubble3D val="0"/>
            <c:spPr>
              <a:solidFill>
                <a:schemeClr val="accent1">
                  <a:lumMod val="40000"/>
                  <a:lumOff val="60000"/>
                </a:schemeClr>
              </a:solidFill>
            </c:spPr>
          </c:dPt>
          <c:dLbls>
            <c:dLbl>
              <c:idx val="0"/>
              <c:tx>
                <c:rich>
                  <a:bodyPr/>
                  <a:lstStyle/>
                  <a:p>
                    <a:r>
                      <a:rPr lang="en-US"/>
                      <a:t>2</a:t>
                    </a:r>
                    <a:r>
                      <a:rPr lang="ru-RU"/>
                      <a:t>4,9</a:t>
                    </a:r>
                    <a:endParaRPr lang="en-US"/>
                  </a:p>
                </c:rich>
              </c:tx>
              <c:dLblPos val="bestFit"/>
              <c:showLegendKey val="0"/>
              <c:showVal val="1"/>
              <c:showCatName val="0"/>
              <c:showSerName val="0"/>
              <c:showPercent val="0"/>
              <c:showBubbleSize val="0"/>
            </c:dLbl>
            <c:dLbl>
              <c:idx val="1"/>
              <c:tx>
                <c:rich>
                  <a:bodyPr/>
                  <a:lstStyle/>
                  <a:p>
                    <a:r>
                      <a:rPr lang="en-US"/>
                      <a:t>15,</a:t>
                    </a:r>
                    <a:r>
                      <a:rPr lang="ru-RU"/>
                      <a:t>0</a:t>
                    </a:r>
                    <a:endParaRPr lang="en-US"/>
                  </a:p>
                </c:rich>
              </c:tx>
              <c:dLblPos val="bestFit"/>
              <c:showLegendKey val="0"/>
              <c:showVal val="1"/>
              <c:showCatName val="0"/>
              <c:showSerName val="0"/>
              <c:showPercent val="0"/>
              <c:showBubbleSize val="0"/>
            </c:dLbl>
            <c:dLbl>
              <c:idx val="2"/>
              <c:tx>
                <c:rich>
                  <a:bodyPr/>
                  <a:lstStyle/>
                  <a:p>
                    <a:r>
                      <a:rPr lang="en-US"/>
                      <a:t>13,</a:t>
                    </a:r>
                    <a:r>
                      <a:rPr lang="ru-RU"/>
                      <a:t>8</a:t>
                    </a:r>
                    <a:endParaRPr lang="en-US"/>
                  </a:p>
                </c:rich>
              </c:tx>
              <c:dLblPos val="bestFit"/>
              <c:showLegendKey val="0"/>
              <c:showVal val="1"/>
              <c:showCatName val="0"/>
              <c:showSerName val="0"/>
              <c:showPercent val="0"/>
              <c:showBubbleSize val="0"/>
            </c:dLbl>
            <c:dLbl>
              <c:idx val="3"/>
              <c:layout>
                <c:manualLayout>
                  <c:x val="5.7013319837311678E-2"/>
                  <c:y val="0.13058824042142672"/>
                </c:manualLayout>
              </c:layout>
              <c:tx>
                <c:rich>
                  <a:bodyPr/>
                  <a:lstStyle/>
                  <a:p>
                    <a:r>
                      <a:rPr lang="en-US"/>
                      <a:t>12,</a:t>
                    </a:r>
                    <a:r>
                      <a:rPr lang="ru-RU"/>
                      <a:t>1</a:t>
                    </a:r>
                    <a:endParaRPr lang="en-US"/>
                  </a:p>
                </c:rich>
              </c:tx>
              <c:dLblPos val="bestFit"/>
              <c:showLegendKey val="0"/>
              <c:showVal val="1"/>
              <c:showCatName val="0"/>
              <c:showSerName val="0"/>
              <c:showPercent val="0"/>
              <c:showBubbleSize val="0"/>
            </c:dLbl>
            <c:dLbl>
              <c:idx val="4"/>
              <c:layout>
                <c:manualLayout>
                  <c:x val="1.5493217860868195E-2"/>
                  <c:y val="0.12058240664241425"/>
                </c:manualLayout>
              </c:layout>
              <c:tx>
                <c:rich>
                  <a:bodyPr/>
                  <a:lstStyle/>
                  <a:p>
                    <a:r>
                      <a:rPr lang="en-US"/>
                      <a:t>8,</a:t>
                    </a:r>
                    <a:r>
                      <a:rPr lang="ru-RU"/>
                      <a:t>5</a:t>
                    </a:r>
                    <a:endParaRPr lang="en-US"/>
                  </a:p>
                </c:rich>
              </c:tx>
              <c:dLblPos val="bestFit"/>
              <c:showLegendKey val="0"/>
              <c:showVal val="1"/>
              <c:showCatName val="0"/>
              <c:showSerName val="0"/>
              <c:showPercent val="0"/>
              <c:showBubbleSize val="0"/>
            </c:dLbl>
            <c:dLbl>
              <c:idx val="5"/>
              <c:tx>
                <c:rich>
                  <a:bodyPr/>
                  <a:lstStyle/>
                  <a:p>
                    <a:r>
                      <a:rPr lang="en-US"/>
                      <a:t>2</a:t>
                    </a:r>
                    <a:r>
                      <a:rPr lang="ru-RU"/>
                      <a:t>5,7</a:t>
                    </a:r>
                    <a:endParaRPr lang="en-US"/>
                  </a:p>
                </c:rich>
              </c:tx>
              <c:dLblPos val="bestFit"/>
              <c:showLegendKey val="0"/>
              <c:showVal val="1"/>
              <c:showCatName val="0"/>
              <c:showSerName val="0"/>
              <c:showPercent val="0"/>
              <c:showBubbleSize val="0"/>
            </c:dLbl>
            <c:txPr>
              <a:bodyPr/>
              <a:lstStyle/>
              <a:p>
                <a:pPr>
                  <a:defRPr sz="1100">
                    <a:latin typeface="Arial" pitchFamily="34" charset="0"/>
                    <a:cs typeface="Arial" pitchFamily="34" charset="0"/>
                  </a:defRPr>
                </a:pPr>
                <a:endParaRPr lang="ru-RU"/>
              </a:p>
            </c:txPr>
            <c:dLblPos val="bestFit"/>
            <c:showLegendKey val="0"/>
            <c:showVal val="1"/>
            <c:showCatName val="0"/>
            <c:showSerName val="0"/>
            <c:showPercent val="0"/>
            <c:showBubbleSize val="0"/>
            <c:showLeaderLines val="0"/>
          </c:dLbls>
          <c:cat>
            <c:strRef>
              <c:f>Лист1!$A$2:$A$7</c:f>
              <c:strCache>
                <c:ptCount val="6"/>
                <c:pt idx="0">
                  <c:v>Коммунальные</c:v>
                </c:pt>
                <c:pt idx="1">
                  <c:v>Телекоммуникационные</c:v>
                </c:pt>
                <c:pt idx="2">
                  <c:v>Бытовые</c:v>
                </c:pt>
                <c:pt idx="3">
                  <c:v>Транспортные</c:v>
                </c:pt>
                <c:pt idx="4">
                  <c:v>Жилищные</c:v>
                </c:pt>
                <c:pt idx="5">
                  <c:v>Прочие</c:v>
                </c:pt>
              </c:strCache>
            </c:strRef>
          </c:cat>
          <c:val>
            <c:numRef>
              <c:f>Лист1!$B$2:$B$7</c:f>
              <c:numCache>
                <c:formatCode>0.0</c:formatCode>
                <c:ptCount val="6"/>
                <c:pt idx="0">
                  <c:v>25</c:v>
                </c:pt>
                <c:pt idx="1">
                  <c:v>15.2</c:v>
                </c:pt>
                <c:pt idx="2">
                  <c:v>13.7</c:v>
                </c:pt>
                <c:pt idx="3">
                  <c:v>12.2</c:v>
                </c:pt>
                <c:pt idx="4">
                  <c:v>8.6</c:v>
                </c:pt>
                <c:pt idx="5">
                  <c:v>25.3</c:v>
                </c:pt>
              </c:numCache>
            </c:numRef>
          </c:val>
        </c:ser>
        <c:dLbls>
          <c:dLblPos val="bestFit"/>
          <c:showLegendKey val="0"/>
          <c:showVal val="1"/>
          <c:showCatName val="0"/>
          <c:showSerName val="0"/>
          <c:showPercent val="0"/>
          <c:showBubbleSize val="0"/>
          <c:showLeaderLines val="0"/>
        </c:dLbls>
        <c:firstSliceAng val="94"/>
      </c:pieChart>
    </c:plotArea>
    <c:legend>
      <c:legendPos val="r"/>
      <c:layout>
        <c:manualLayout>
          <c:xMode val="edge"/>
          <c:yMode val="edge"/>
          <c:x val="0.52169624464082631"/>
          <c:y val="0.12204942353736033"/>
          <c:w val="0.3946735997760405"/>
          <c:h val="0.8054692368526214"/>
        </c:manualLayout>
      </c:layout>
      <c:overlay val="0"/>
      <c:txPr>
        <a:bodyPr/>
        <a:lstStyle/>
        <a:p>
          <a:pPr>
            <a:defRPr sz="1000">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ABAE-231F-4500-A9A9-D2ADDBC7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economy68 (Чернова Е.Н.)</cp:lastModifiedBy>
  <cp:revision>3</cp:revision>
  <cp:lastPrinted>2021-11-19T12:37:00Z</cp:lastPrinted>
  <dcterms:created xsi:type="dcterms:W3CDTF">2022-02-24T14:48:00Z</dcterms:created>
  <dcterms:modified xsi:type="dcterms:W3CDTF">2022-03-01T11:31:00Z</dcterms:modified>
</cp:coreProperties>
</file>