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Постановление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Администрации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proofErr w:type="gramStart"/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г</w:t>
      </w:r>
      <w:proofErr w:type="gramEnd"/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 </w:t>
      </w:r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Шумерли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Чувашской Республики от </w:t>
      </w:r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27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декабря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D3727B">
        <w:rPr>
          <w:rFonts w:ascii="Times New Roman" w:eastAsia="Times New Roman" w:hAnsi="Times New Roman" w:cs="Times New Roman"/>
          <w:b/>
          <w:iCs/>
          <w:sz w:val="19"/>
          <w:lang w:eastAsia="ru-RU"/>
        </w:rPr>
        <w:t>2019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 г. N 1738</w:t>
      </w:r>
      <w:r w:rsidRPr="00D3727B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br/>
        <w:t>"Об утверждении Порядка оценки налоговых расходов города Шумерля"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соответствии с </w:t>
      </w:r>
      <w:hyperlink r:id="rId4" w:anchor="/document/12112604/entry/17432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пунктом 2 статьи 174.3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Бюджетного кодекса Российской Федерации, </w:t>
      </w:r>
      <w:hyperlink r:id="rId5" w:anchor="/document/72278816/entry/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постановлением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администрация города Шумерля постановляет: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 Утвердить прилагаемый </w:t>
      </w:r>
      <w:hyperlink r:id="rId6" w:anchor="/document/73364141/entry/100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Порядок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оценки налоговых расходов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 Кураторам налоговых расходов, определенных в соответствии с </w:t>
      </w:r>
      <w:hyperlink r:id="rId7" w:anchor="/document/72979558/entry/100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Порядком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формирования перечня налоговых расходов города Шумерля, утвержденным </w:t>
      </w:r>
      <w:hyperlink r:id="rId8" w:anchor="/document/72979558/entry/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постановлением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администрации города Шумерля от 25 октября 2019 N 1425, разработать и утвердить по согласованию с финансовым отделом администрации города Шумерля в срок до 1 января 2020 года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методики оценки эффективности налоговых расходов города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3. Контроль за выполнением настоящего постановления возложить на финансовый отдел администрации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 Настоящее постановление вступает с момента </w:t>
      </w:r>
      <w:hyperlink r:id="rId9" w:anchor="/document/73364142/entry/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официального опубликования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, но не ранее 01 января 2020 года.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D3727B" w:rsidRPr="00D3727B" w:rsidTr="00D3727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3727B" w:rsidRPr="00957C0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главы администрации</w:t>
            </w:r>
          </w:p>
        </w:tc>
        <w:tc>
          <w:tcPr>
            <w:tcW w:w="1650" w:type="pct"/>
            <w:vAlign w:val="bottom"/>
            <w:hideMark/>
          </w:tcPr>
          <w:p w:rsidR="00D3727B" w:rsidRPr="00957C0B" w:rsidRDefault="00D3727B" w:rsidP="00D372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 </w:t>
            </w:r>
            <w:proofErr w:type="spellStart"/>
            <w:r w:rsidRPr="00957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Туличева</w:t>
            </w:r>
            <w:proofErr w:type="spellEnd"/>
          </w:p>
        </w:tc>
      </w:tr>
    </w:tbl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Утвержден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hyperlink r:id="rId10" w:anchor="/document/73364141/entry/0" w:history="1">
        <w:r w:rsidRPr="00D3727B">
          <w:rPr>
            <w:rFonts w:ascii="Times New Roman" w:eastAsia="Times New Roman" w:hAnsi="Times New Roman" w:cs="Times New Roman"/>
            <w:iCs/>
            <w:sz w:val="19"/>
            <w:lang w:eastAsia="ru-RU"/>
          </w:rPr>
          <w:t>постановлением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D3727B">
        <w:rPr>
          <w:rFonts w:ascii="Times New Roman" w:eastAsia="Times New Roman" w:hAnsi="Times New Roman" w:cs="Times New Roman"/>
          <w:iCs/>
          <w:sz w:val="19"/>
          <w:lang w:eastAsia="ru-RU"/>
        </w:rPr>
        <w:t>администрации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D3727B">
        <w:rPr>
          <w:rFonts w:ascii="Times New Roman" w:eastAsia="Times New Roman" w:hAnsi="Times New Roman" w:cs="Times New Roman"/>
          <w:iCs/>
          <w:sz w:val="19"/>
          <w:lang w:eastAsia="ru-RU"/>
        </w:rPr>
        <w:t>города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D3727B">
        <w:rPr>
          <w:rFonts w:ascii="Times New Roman" w:eastAsia="Times New Roman" w:hAnsi="Times New Roman" w:cs="Times New Roman"/>
          <w:iCs/>
          <w:sz w:val="19"/>
          <w:lang w:eastAsia="ru-RU"/>
        </w:rPr>
        <w:t>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от </w:t>
      </w:r>
      <w:r w:rsidRPr="00D3727B">
        <w:rPr>
          <w:rFonts w:ascii="Times New Roman" w:eastAsia="Times New Roman" w:hAnsi="Times New Roman" w:cs="Times New Roman"/>
          <w:iCs/>
          <w:sz w:val="19"/>
          <w:lang w:eastAsia="ru-RU"/>
        </w:rPr>
        <w:t>27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Pr="00D3727B">
        <w:rPr>
          <w:rFonts w:ascii="Times New Roman" w:eastAsia="Times New Roman" w:hAnsi="Times New Roman" w:cs="Times New Roman"/>
          <w:iCs/>
          <w:sz w:val="19"/>
          <w:lang w:eastAsia="ru-RU"/>
        </w:rPr>
        <w:t>12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Pr="00D3727B">
        <w:rPr>
          <w:rFonts w:ascii="Times New Roman" w:eastAsia="Times New Roman" w:hAnsi="Times New Roman" w:cs="Times New Roman"/>
          <w:iCs/>
          <w:sz w:val="19"/>
          <w:lang w:eastAsia="ru-RU"/>
        </w:rPr>
        <w:t>2019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г. N 1738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оценки налоговых расходов города Шумерля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I. Общие положения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1.1. Настоящий Порядок определяет процедуру оценки налоговых расходов города Шумерля, правила формирования информации о нормативных, целевых и фискальных характеристиках налоговых расходов города Шумерля, а также порядок обобщения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результатов оценки эффективности налоговых расходов города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Шумерля, осуществляемой кураторами налоговых расходов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1.2. Для целей настоящего Порядка используются следующие понятия и термины: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3727B">
        <w:rPr>
          <w:rFonts w:ascii="Times New Roman" w:eastAsia="Times New Roman" w:hAnsi="Times New Roman" w:cs="Times New Roman"/>
          <w:sz w:val="19"/>
          <w:lang w:eastAsia="ru-RU"/>
        </w:rPr>
        <w:t>куратор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отдел администрации города Шумерля, ответственный в соответствии с полномочиями, установленными муниципальными правовыми актами города Шумерля, за достижение соответствующих налоговому расходу целей муниципальной программы города Шумерля и ее структурных элементов и (или) целей социально-экономического развития города Шумерля, не относящихся к муниципальным программам города Шумерля;</w:t>
      </w:r>
      <w:proofErr w:type="gramEnd"/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налоговые расходы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выпадающие доходы бюджета города Шумерля,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города Шумерля и их структурных элементов и (или) целями социально-экономического развития города Шумерля, не относящимися к муниципальным программам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3727B">
        <w:rPr>
          <w:rFonts w:ascii="Times New Roman" w:eastAsia="Times New Roman" w:hAnsi="Times New Roman" w:cs="Times New Roman"/>
          <w:sz w:val="19"/>
          <w:lang w:eastAsia="ru-RU"/>
        </w:rPr>
        <w:t>нормативные характеристики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сведения о положениях муниципальных нормативных правовых актов города Шумерля,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города Шумерля;</w:t>
      </w:r>
      <w:proofErr w:type="gramEnd"/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lastRenderedPageBreak/>
        <w:t>оценка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комплекс мероприятий по оценке объемов налоговых расходов города Шумерля, обусловленных льготами, предоставленными плательщикам, а также по оценке эффективности налоговых расходов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оценка объемов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определение объемов выпадающих доходов бюджета города Шумерля обусловленных льготами, предоставленными плательщикам;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оценка эффективности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перечень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документ, содержащий сведения о распределении налоговых расходов в соответствии с целями муниципальных программ города Шумерля и их структурных элементов и (или) целями социально-экономического развития города Шумерля, не относящимися к муниципальным программам города Шумерля, а также о кураторах налоговых расходов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плательщики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плательщики налогов;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социальные налоговые расходы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стимулирующие налоговые расходы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целевая категория налоговых расходов города Шумерля,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технические налоговые расходы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целевая категория налоговых расходов города Шумерля,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фискальные характеристики налоговых расходов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lang w:eastAsia="ru-RU"/>
        </w:rPr>
        <w:t>целевые характеристики налогового расхода города Шумерля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1.3.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Оценка налоговых расходов города Шумерля осуществляется кураторами налоговых расходов города Шумерля в соответствии с перечнем налоговых расходов города Шумерля на основе информации Управления Федеральной налоговой службы по Чувашской Республике о фискальных характеристиках налоговых расходов города Шумерля за отчетный финансовый год, а также информации о стимулирующих налоговых расходах города Шумерля за 6 лет, предшествующих отчетному финансовому году.</w:t>
      </w:r>
      <w:proofErr w:type="gramEnd"/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1.4. Методики оценки эффективности налоговых расходов города Шумерля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разрабатываются кураторами налоговых расходов и утверждаются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 согласованию с Финансовым отделом администрации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Методика оценки эффективности налоговых расходов города Шумерля содержит описание процесса оценки целесообразности и результативности налоговых расходов города Шумерля в соответствии с критериями, установленными настоящим Порядком.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II. Формирование информации о нормативных, целевых и фискальных характеристиках налоговых расходов города Шумерля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Кураторы налоговых расходов города Шумерля формируют информацию о нормативных, целевых и фискальных характеристиках налоговых расходов города Шумерля согласно </w:t>
      </w:r>
      <w:hyperlink r:id="rId11" w:anchor="/document/73364141/entry/110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приложению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настоящему Порядку.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III. Оценка эффективности налоговых расходов города Шумерля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3.1. В целях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проведения оценки эффективности налоговых расходов города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Шумерля: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а) Финансовый отдел администрации города Шумерля (далее - финансовый отдел) формирует и направляет ежегодно до 1 февраля в Межрайонную инспекцию Федеральной налоговой службы N 8 по Чувашской Республике сведения о категориях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плательщиков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 указанием обусловливающих соответствующие налоговые расходы муниципальных правовых актов города 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Шумерля, в том числе действовавших в отчетном году и в году, предшествующем отчетному году, и иную информацию, предусмотренную приложением к настоящему Порядку.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б) Межрайонная инспекция Федеральной налоговой службы N 8 по Чувашской Республике до 1 апреля направляет в финансовый отдел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 количестве плательщиков, воспользовавшихся льготами;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 суммах выпадающих доходов консолидированного бюджета города Шумерля по каждому налоговому расходу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сведения об объемах налогов, задекларированных для уплаты плательщиками в консолидированный бюджет города Шумерля по каждому налоговому расходу города Шумерля, в отношении стимулирующих налоговых расходов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в) Финансовый отдел ежегодно до 10 апреля доводит до кураторов налоговых расходов города Шумерля сведения, полученные от Межрайонной инспекции Федеральной налоговой службы N 8 по Чувашской Республике.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3.2. Оценка налоговых расходов города Шумерля проводится куратором налоговых расходов города Шумерля.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выводов, сделанных на основании данных расчетов ежегодно до 10 мая направляются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финансовый отдел.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3.3.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Финансовый отдел ежегодно до 1 июня представляет в Министерство финансов Чувашской Республики данные для оценки эффективности налоговых расходов города Шумерля, по перечню показателей для проведения оценки налоговых расходов субъекта Российской Федерации, предусмотренных приложением к </w:t>
      </w:r>
      <w:hyperlink r:id="rId12" w:anchor="/document/72278816/entry/22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общим требованиям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 </w:t>
      </w:r>
      <w:hyperlink r:id="rId13" w:anchor="/document/72278816/entry/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постановлением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Правительства Российской Федерации от 22 июня 2019 г. N 796 "Об общих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требованиях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оценке налоговых расходов субъектов Российской Федерации и муниципальных образований" (далее - Общие требования).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3.4. При необходимости финансовый отдел ежегодно до 20 августа представляет в Министерство финансов Чувашской Республики уточненную информацию, предусмотренную приложением к </w:t>
      </w:r>
      <w:hyperlink r:id="rId14" w:anchor="/document/72278816/entry/22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Общим требованиям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3.5. Финансовый отдел ежегодно до 1 октября размещает информацию о результатах ежегодной оценки эффективности налоговых расходов города Шумерля на </w:t>
      </w:r>
      <w:hyperlink r:id="rId15" w:tgtFrame="_blank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официальном сайте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города Шумерля в информационно-телекоммуникационной сети "Интернет".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3.6. Оценка эффективности налоговых расходов города Шумерля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осуществляется кураторами налоговых расходов города Шумерля и включает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себя: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а) оценку целесообразности налоговых расходов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б) оценку результативности налоговых расходов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3.7. Критериями целесообразности налоговых расходов города Шумерля являются: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соответствие налоговых расходов города Шумерля целям муниципальных программ города Шумерля и (или) целям социально-экономического развития города Шумерля, не относящимся к муниципальным программам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востребованность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плательщиками предоставленных льгот,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которая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3.8. В случае несоответствия налоговых расходов города Шумерля хотя бы одному из критериев, указанных в </w:t>
      </w:r>
      <w:hyperlink r:id="rId16" w:anchor="/document/73364141/entry/37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пункте 3.7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настоящего Порядка, куратор налоговых расходов города Шумерля представляет в финансовый отдел предложения о сохранении (уточнении, отмене) льгот для плательщиков.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3.9.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В качестве критерия результативности налоговых расходов города Шумерля кураторами налоговых расходов города Шумерля используется как минимум один показатель (индикатор) достижения целей муниципальных программ города Шумерля и (или) целей социально-экономического развития города Шумерля, не относящихся к муниципальным программам города Шумерля, либо иной показатель (индикатор), на значение которого оказывают влияние налоговые расходы города Шумерля.</w:t>
      </w:r>
      <w:proofErr w:type="gramEnd"/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Оценке подлежит вклад предусмотренных для плательщиков льгот в изменение значения показателя (индикатора) достижения целей муниципальных программ города Шумерля и (или) целей социально-экономического развития города Шумерля, не относящихся к муниципальным программам города Шумерля,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3.10. Оценка результативности налоговых расходов города Шумерля включает в себя оценку бюджетной эффективности налоговых расходов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3.11.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В целях проведения оценки бюджетной эффективности налоговых расходов города Шумерля кураторами налоговых расходов города Шумерля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города Шумерля и (или) целей социально-экономического развития города Шумерля, не относящихся к муниципальным программам города Шумерля (далее - сравнительный анализ), а также оценка совокупного бюджетного эффекта (самоокупаемости) стимулирующих налоговых расходов города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3.12.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Сравнительный анализ включает в себя сравнение объемов расходов бюджета города Шумерля в случае применения альтернативных механизмов достижения целей муниципальной программы города Шумерля и (или) целей социально-экономического развития города Шумерля, не относящихся к муниципальным программам города Шумерля, и объемов предоставленных льгот посредством определения куратором налоговых расходов города Шумерля прироста значения показателя (индикатора) достижения целей муниципальной программы города Шумерля и (или) целей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социально-экономического развития города Шумерля, не относящихся к муниципальным программам города Шумерля, на 1 рубль налоговых расходов города Шумерля и на 1 рубль расходов бюджета города Шумерля для достижения того же значения показателя (индикатора) в случае применения альтернативных механизмов.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качестве альтернативных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механизмов достижения целей муниципальной программы города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Шумерля и (или) целей социально-экономического развития города Шумерля, не относящихся к муниципальным программам города Шумерля, учитываются: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бюджета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предоставление муниципальных гарантий города Шумерля по обязательствам плательщиков, имеющих право на льготы;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3.13. В целях оценки бюджетной эффективности стимулирующих налоговых расходов города Шумерля одновременно со сравнительным анализом куратором налоговых расходов города Шумерля рассчитывается оценка совокупного бюджетного эффекта (самоокупаемости) указанных налоговых расходов в соответствии с </w:t>
      </w:r>
      <w:hyperlink r:id="rId17" w:anchor="/document/73364141/entry/111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пунктом 3.14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настоящего Порядка. Значение оценки совокупного бюджетного эффекта (самоокупаемости) стимулирующих налоговых расходов города Шумерля является одним из критериев результативности налоговых расходов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Оценка совокупного бюджетного эффекта (самоокупаемости) стимулирующих налоговых расходов города Шумерля определяется куратором налоговых расходов города Шумерля отдельно по каждому налоговому расходу города Шумерля.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города Шумерля определяется в целом по указанной категории плательщиков.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3.14. Оценка совокупного бюджетного эффекта (самоокупаемости) стимулирующих налоговых расходов города Шумерля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620395" cy="381635"/>
            <wp:effectExtent l="19050" t="0" r="0" b="0"/>
            <wp:docPr id="1" name="Рисунок 1" descr="https://internet.garant.ru/document/formula?revision=13420221110&amp;text=RT1TdW1tYSg1LGk9MS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et.garant.ru/document/formula?revision=13420221110&amp;text=RT1TdW1tYSg1LGk9MSk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461010" cy="381635"/>
            <wp:effectExtent l="19050" t="0" r="0" b="0"/>
            <wp:docPr id="2" name="Рисунок 2" descr="https://internet.garant.ru/document/formula?revision=13420221110&amp;text=U3VtbWEobSxqP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rnet.garant.ru/document/formula?revision=13420221110&amp;text=U3VtbWEobSxqPTE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375410" cy="588645"/>
            <wp:effectExtent l="0" t="0" r="0" b="0"/>
            <wp:docPr id="3" name="Рисунок 3" descr="https://internet.garant.ru/document/formula?revision=13420221110&amp;text=KChOX2lfai1CX29faikqKyghKDErZ19pKSkvKCEoMStyKV5pKS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ernet.garant.ru/document/formula?revision=13420221110&amp;text=KChOX2lfai1CX29faikqKyghKDErZ19pKSkvKCEoMStyKV5pKSk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где: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Е - оценка совокупного бюджетного эффекта (самоокупаемости) стимулирующих налоговых расходов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35255" cy="198755"/>
            <wp:effectExtent l="19050" t="0" r="0" b="0"/>
            <wp:docPr id="4" name="Рисунок 4" descr="https://internet.garant.ru/document/formula?revision=13420221110&amp;text=U2lnbW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ternet.garant.ru/document/formula?revision=13420221110&amp;text=U2lnbWE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знак суммирования;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i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порядковый номер i-го года, имеющий значение от 1 до 5;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74625" cy="230505"/>
            <wp:effectExtent l="19050" t="0" r="0" b="0"/>
            <wp:docPr id="5" name="Рисунок 5" descr="https://internet.garant.ru/document/formula?revision=13420221110&amp;text=bV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ernet.garant.ru/document/formula?revision=13420221110&amp;text=bV9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количество плательщиков, воспользовавшихся льготой в i-м году;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j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порядковый номер плательщика, имеющий значение от 1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до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74625" cy="230505"/>
            <wp:effectExtent l="19050" t="0" r="0" b="0"/>
            <wp:docPr id="6" name="Рисунок 6" descr="https://internet.garant.ru/document/formula?revision=13420221110&amp;text=bV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ternet.garant.ru/document/formula?revision=13420221110&amp;text=bV9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30505" cy="254635"/>
            <wp:effectExtent l="19050" t="0" r="0" b="0"/>
            <wp:docPr id="7" name="Рисунок 7" descr="https://internet.garant.ru/document/formula?revision=13420221110&amp;text=Tl9pX2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ernet.garant.ru/document/formula?revision=13420221110&amp;text=Tl9pX2o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объем налогов, задекларированных для уплаты в консолидированный бюджет города Шумерля j-м плательщиком в i-м году.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определении объема налогов, задекларированных для уплаты в консолидированный бюджет города Шумерля плательщиками, учитываются начисления по единому налогу на вмененный доход, налогу на имущество физических лиц, земельному налогу.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города Шумерля для плательщиков, имеющих право на льготы, льготы действуют менее 6 лет, объемы налогов, подлежащих уплате в консолидированный бюджет города Шумерля, оцениваются (прогнозируются) по данным куратора налоговых расходов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22885" cy="254635"/>
            <wp:effectExtent l="19050" t="0" r="0" b="0"/>
            <wp:docPr id="8" name="Рисунок 8" descr="https://internet.garant.ru/document/formula?revision=13420221110&amp;text=Ql9vX2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ternet.garant.ru/document/formula?revision=13420221110&amp;text=Ql9vX2o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базовый объем налогов, задекларированных для уплаты в консолидированный бюджет города Шумерля j-м плательщиком в базовом году;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35255" cy="230505"/>
            <wp:effectExtent l="19050" t="0" r="0" b="0"/>
            <wp:docPr id="9" name="Рисунок 9" descr="https://internet.garant.ru/document/formula?revision=13420221110&amp;text=Z1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ternet.garant.ru/document/formula?revision=13420221110&amp;text=Z19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соответствии с Общими требованиями номинальный темп прироста налоговых доходов консолидированных бюджетов субъектов Российской Федерации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определяется Министерством финансов Российской Федерации и доводится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не позднее 1 мая текущего финансового года;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r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расчетная стоимость среднесрочных рыночных заимствований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3.15. Базовый объем налогов, задекларированных для уплаты в консолидированный бюджет города Шумерля j-м плательщиком в базовом году, рассчитывается по следующей формуле: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850900" cy="254635"/>
            <wp:effectExtent l="0" t="0" r="0" b="0"/>
            <wp:docPr id="10" name="Рисунок 10" descr="https://internet.garant.ru/document/formula?revision=13420221110&amp;text=Ql8wX2o9Tl8wX2orTF8wX2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ternet.garant.ru/document/formula?revision=13420221110&amp;text=Ql8wX2o9Tl8wX2orTF8wX2o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где: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51294" cy="250755"/>
            <wp:effectExtent l="19050" t="0" r="0" b="0"/>
            <wp:docPr id="11" name="Рисунок 11" descr="https://internet.garant.ru/document/formula?revision=13420221110&amp;text=Ql8wX2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ternet.garant.ru/document/formula?revision=13420221110&amp;text=Ql8wX2o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2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базовый объем налогов, задекларированных для уплаты в консолидированный бюджет города Шумерля j-м плательщиком в базовом году;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54635" cy="254635"/>
            <wp:effectExtent l="19050" t="0" r="0" b="0"/>
            <wp:docPr id="12" name="Рисунок 12" descr="https://internet.garant.ru/document/formula?revision=13420221110&amp;text=Tl8wX2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ternet.garant.ru/document/formula?revision=13420221110&amp;text=Tl8wX2o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объем налогов, задекларированных для уплаты в консолидированный бюджет города Шумерля j-м плательщиком в базовом году;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22885" cy="254635"/>
            <wp:effectExtent l="19050" t="0" r="0" b="0"/>
            <wp:docPr id="13" name="Рисунок 13" descr="https://internet.garant.ru/document/formula?revision=13420221110&amp;text=TF8wX2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ernet.garant.ru/document/formula?revision=13420221110&amp;text=TF8wX2o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 объем льгот, предоставленных </w:t>
      </w: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j-му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плательщику в базовом году.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3.16. Расчетная стоимость среднесрочных рыночных заимствований города Шумерля рассчитывается по следующей формуле: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842645" cy="230505"/>
            <wp:effectExtent l="0" t="0" r="0" b="0"/>
            <wp:docPr id="14" name="Рисунок 14" descr="https://internet.garant.ru/document/formula?revision=13420221110&amp;text=cj1pX-jt9CtwK2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ternet.garant.ru/document/formula?revision=13420221110&amp;text=cj1pX-jt9CtwK2M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, 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где: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r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расчетная стоимость среднесрочных рыночных заимствований города Шумерля;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46380" cy="230505"/>
            <wp:effectExtent l="19050" t="0" r="0" b="0"/>
            <wp:docPr id="15" name="Рисунок 15" descr="https://internet.garant.ru/document/formula?revision=13420221110&amp;text=aV_o7f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ternet.garant.ru/document/formula?revision=13420221110&amp;text=aV_o7fQ=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- целевой уровень инфляции (4,0 процента);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p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реальная процентная ставка, определяемая на уровне 2,5 процента;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c</w:t>
      </w:r>
      <w:proofErr w:type="spell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кредитная премия за риск, рассчитываемая для целей Порядка в зависимости от отношения объема муниципального долга города Шумерля по состоянию на 1 января текущего финансового года к объему налоговых и неналоговых доходов консолидированного бюджета города Шумерля за отчетный период (в случае если указанное отношение составляет менее 50,0 процента, кредитная премия за риск принимается равной 1,0 процента;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случае если указанное отношение составляет от 50,0 до 100,0 процента, кредитная премия за риск принимается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равной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3.17.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По итогам оценки эффективности налоговых расходов города Шумерля куратор налоговых расходов города Шумерля формирует выводы о достижении целевых характеристик налогового расхода города Шумерля, вкладе налогового расхода города Шумерля в достижение целей муниципальной программы города Шумерля и (или) целей социально-экономического развития города Шумерля, не относящихся к муниципальным программам города Шумерля, а также о наличии или об отсутствии более результативных (менее затратных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для консолидированного бюджета города Шумерля) альтернативных механизмов достижения целей муниципальной программы города Шумерля и (или) целей социально-экономического развития города Шумерля, не относящихся к муниципальных программам города Шумерля.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Выводы по результатам оценки эффективности налогового расхода представляются в Финансовый отдел в сроки, установленные </w:t>
      </w:r>
      <w:hyperlink r:id="rId19" w:anchor="/document/73364141/entry/32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пунктом 3.2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настоящего Порядка.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IV. Обобщение </w:t>
      </w:r>
      <w:proofErr w:type="gramStart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результатов оценки эффективности налоговых расходов города</w:t>
      </w:r>
      <w:proofErr w:type="gramEnd"/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Шумерля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4.1. Финансовый отдел обобщает результаты оценки эффективности налоговых расходов города Шумерля на основе данных, представленных кураторами налоговых расходов города Шумерля, и направляет их в Администрацию города Шумерля до 5 августа.</w:t>
      </w:r>
    </w:p>
    <w:p w:rsid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>4.2. Результаты оценки эффективности налоговых расходов города Шумерля учитываются при формировании основных направлений бюджетной политики города Шумерля на предстоящий период в сроки, установленные для разработки проекта бюджета города Шумерля на очередной финансовый год и на плановый период, а также при проведении оценки эффективности реализации муниципальных программ города Шумерля.</w:t>
      </w:r>
    </w:p>
    <w:p w:rsid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83F48" w:rsidRDefault="00D83F48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Приложение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 xml:space="preserve">к </w:t>
      </w:r>
      <w:hyperlink r:id="rId20" w:anchor="/document/73364141/entry/1000" w:history="1">
        <w:r w:rsidRPr="00D3727B">
          <w:rPr>
            <w:rFonts w:ascii="Times New Roman" w:eastAsia="Times New Roman" w:hAnsi="Times New Roman" w:cs="Times New Roman"/>
            <w:sz w:val="19"/>
            <w:lang w:eastAsia="ru-RU"/>
          </w:rPr>
          <w:t>Порядку</w:t>
        </w:r>
      </w:hyperlink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оценки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налоговых расходов</w:t>
      </w:r>
      <w:r w:rsidRPr="00D3727B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  <w:t>города Шумерля</w:t>
      </w:r>
    </w:p>
    <w:p w:rsidR="00D3727B" w:rsidRPr="00D3727B" w:rsidRDefault="00D3727B" w:rsidP="00D372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D3727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t>Перечень</w:t>
      </w:r>
      <w:r w:rsidRPr="00D3727B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br/>
        <w:t>показателей для проведения оценки эффективности налоговых расходов города Шумерля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5855"/>
        <w:gridCol w:w="135"/>
        <w:gridCol w:w="3355"/>
      </w:tblGrid>
      <w:tr w:rsidR="00D3727B" w:rsidRPr="00D3727B" w:rsidTr="00D3727B">
        <w:trPr>
          <w:tblCellSpacing w:w="15" w:type="dxa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Нормативные характеристики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города Шумерля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плательщикам налогов налоговых льгот, освобождений и иных преференций по налогам, установленных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получателей налоговых льгот, освобождений и иных налоговых преференций по налогам, установленных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муниципальных правовых актов города Шумерля, устанавливающих налоговые льготы, освобождения и иные преференции по налогам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</w:t>
            </w:r>
            <w:proofErr w:type="gramStart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предоставленного муниципальным правовым актом города Шумерля права на налоговые льготы, освобождения и иные преференции по налогам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предоставленных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установленных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Целевые характеристики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налогам, установленных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налоговых льгот, освобождений и иных </w:t>
            </w: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отдел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города Шумерля и (или) целей социально-экономического развития города Шумерля, не относящихся к муниципальным программам города Шумерля, в связи с предоставлением налоговых льгот, освобождений и иных преференций по налогам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экономической деятельности (по </w:t>
            </w:r>
            <w:hyperlink r:id="rId21" w:anchor="/document/70650726/entry/0" w:history="1">
              <w:r w:rsidRPr="00D372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Фискальные характеристики налогового расхода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 правовым актом города Шумерля за отчетный год и за год, предшествующий отчетному году (тыс. рублей)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N 8 по Чувашской Республике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 муниципальным правовым актом города Шумерля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N 8 по Чувашской Республике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задекларированный для уплаты в консолидированный бюджет города Шумерля плательщиками налогов, имеющими право на налоговые льготы, освобождения и иные преференции, установленные муниципальным правовым актом города Шумерля (тыс. рублей)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N 8 по Чувашской Республике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задекларированный для уплаты в консолидированный бюджет города Шумерля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N 8 по Чувашской Республике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 города Шумерля</w:t>
            </w:r>
          </w:p>
        </w:tc>
      </w:tr>
      <w:tr w:rsidR="00D3727B" w:rsidRPr="00D3727B" w:rsidTr="00D3727B">
        <w:trPr>
          <w:tblCellSpacing w:w="15" w:type="dxa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27B" w:rsidRPr="00D3727B" w:rsidRDefault="00D3727B" w:rsidP="00D37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 города Шумерля</w:t>
            </w:r>
          </w:p>
        </w:tc>
      </w:tr>
    </w:tbl>
    <w:p w:rsidR="00FF6CB4" w:rsidRPr="00D3727B" w:rsidRDefault="00FF6CB4" w:rsidP="00D372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6CB4" w:rsidRPr="00D3727B" w:rsidSect="00D372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27B"/>
    <w:rsid w:val="0054334B"/>
    <w:rsid w:val="00957C0B"/>
    <w:rsid w:val="00D3727B"/>
    <w:rsid w:val="00D83F48"/>
    <w:rsid w:val="00FC2C08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27B"/>
    <w:rPr>
      <w:color w:val="0000FF"/>
      <w:u w:val="single"/>
    </w:rPr>
  </w:style>
  <w:style w:type="character" w:styleId="a4">
    <w:name w:val="Emphasis"/>
    <w:basedOn w:val="a0"/>
    <w:uiPriority w:val="20"/>
    <w:qFormat/>
    <w:rsid w:val="00D3727B"/>
    <w:rPr>
      <w:i/>
      <w:iCs/>
    </w:rPr>
  </w:style>
  <w:style w:type="paragraph" w:customStyle="1" w:styleId="empty">
    <w:name w:val="empty"/>
    <w:basedOn w:val="a"/>
    <w:rsid w:val="00D3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3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3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3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D3727B"/>
  </w:style>
  <w:style w:type="paragraph" w:styleId="a5">
    <w:name w:val="Balloon Text"/>
    <w:basedOn w:val="a"/>
    <w:link w:val="a6"/>
    <w:uiPriority w:val="99"/>
    <w:semiHidden/>
    <w:unhideWhenUsed/>
    <w:rsid w:val="00D3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7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1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92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86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05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22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12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66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78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31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35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44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88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9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9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096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5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57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5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19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09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1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95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59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03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2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59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41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3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15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37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36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1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83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85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9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www.gshum.ca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3927</Words>
  <Characters>22385</Characters>
  <Application>Microsoft Office Word</Application>
  <DocSecurity>0</DocSecurity>
  <Lines>186</Lines>
  <Paragraphs>52</Paragraphs>
  <ScaleCrop>false</ScaleCrop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gshum-admfin05</dc:creator>
  <cp:lastModifiedBy>gshum-admfin05</cp:lastModifiedBy>
  <cp:revision>4</cp:revision>
  <dcterms:created xsi:type="dcterms:W3CDTF">2022-04-13T12:46:00Z</dcterms:created>
  <dcterms:modified xsi:type="dcterms:W3CDTF">2022-04-14T06:51:00Z</dcterms:modified>
</cp:coreProperties>
</file>