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3561FB" w:rsidRDefault="003561FB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BF31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B7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Большеабакасинского</w:t>
      </w:r>
      <w:r w:rsidR="00B73202" w:rsidRPr="00B7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B7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</w:t>
      </w:r>
      <w:r w:rsidR="00D150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основном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требованиям  Положения «О регулировании бюджетных правоотношений в </w:t>
      </w:r>
      <w:proofErr w:type="spellStart"/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D150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EB6A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proofErr w:type="spellStart"/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Основные характеристики проекта бюджета </w:t>
      </w:r>
      <w:r w:rsidR="00B7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C39AC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1860B2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2" w:rsidRPr="009A1C28" w:rsidRDefault="001860B2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6992,3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4889,5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4628,1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4570,8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98,8</w:t>
            </w:r>
          </w:p>
        </w:tc>
      </w:tr>
      <w:tr w:rsidR="001860B2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2" w:rsidRPr="009A1C28" w:rsidRDefault="001860B2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7734,8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4889,5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4628,1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4570,8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98,8</w:t>
            </w:r>
          </w:p>
        </w:tc>
      </w:tr>
      <w:tr w:rsidR="001860B2" w:rsidRPr="00070853" w:rsidTr="00B76DE9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2" w:rsidRPr="009A1C28" w:rsidRDefault="001860B2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-742,5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B2" w:rsidRDefault="001860B2" w:rsidP="001860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48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0B2">
        <w:rPr>
          <w:rFonts w:ascii="Times New Roman" w:eastAsia="Times New Roman" w:hAnsi="Times New Roman" w:cs="Times New Roman"/>
          <w:sz w:val="24"/>
          <w:szCs w:val="24"/>
          <w:lang w:eastAsia="ru-RU"/>
        </w:rPr>
        <w:t>985,2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1860B2">
        <w:rPr>
          <w:rFonts w:ascii="Times New Roman" w:eastAsia="Times New Roman" w:hAnsi="Times New Roman" w:cs="Times New Roman"/>
          <w:sz w:val="24"/>
          <w:szCs w:val="24"/>
          <w:lang w:eastAsia="ru-RU"/>
        </w:rPr>
        <w:t>1282,1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1860B2">
        <w:rPr>
          <w:rFonts w:ascii="Times New Roman" w:eastAsia="Times New Roman" w:hAnsi="Times New Roman" w:cs="Times New Roman"/>
          <w:sz w:val="24"/>
          <w:szCs w:val="24"/>
          <w:lang w:eastAsia="ru-RU"/>
        </w:rPr>
        <w:t>1361,7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1860B2">
        <w:rPr>
          <w:rFonts w:ascii="Times New Roman" w:eastAsia="Times New Roman" w:hAnsi="Times New Roman" w:cs="Times New Roman"/>
          <w:sz w:val="24"/>
          <w:szCs w:val="24"/>
          <w:lang w:eastAsia="ru-RU"/>
        </w:rPr>
        <w:t>92,8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1860B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182,5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тыс. рублей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7C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B7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B73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B7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proofErr w:type="spellStart"/>
      <w:r w:rsidR="00B7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Большеабакасинском</w:t>
      </w:r>
      <w:proofErr w:type="spellEnd"/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B7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23.07.2001г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36.</w:t>
      </w:r>
    </w:p>
    <w:p w:rsidR="006A6478" w:rsidRDefault="006A6478" w:rsidP="006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Большеабакасинского 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6DE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№2</w:t>
      </w:r>
    </w:p>
    <w:p w:rsidR="00611401" w:rsidRDefault="00611401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DE9">
        <w:rPr>
          <w:rFonts w:ascii="Times New Roman" w:hAnsi="Times New Roman" w:cs="Times New Roman"/>
          <w:sz w:val="24"/>
          <w:szCs w:val="24"/>
        </w:rPr>
        <w:t xml:space="preserve">Общая сумма доходов </w:t>
      </w:r>
      <w:r w:rsidR="00B73202">
        <w:rPr>
          <w:rFonts w:ascii="Times New Roman" w:hAnsi="Times New Roman" w:cs="Times New Roman"/>
          <w:sz w:val="24"/>
          <w:szCs w:val="24"/>
        </w:rPr>
        <w:t>Большеабакасинского</w:t>
      </w:r>
      <w:r w:rsidR="00264EEE" w:rsidRPr="00B76DE9">
        <w:rPr>
          <w:rFonts w:ascii="Times New Roman" w:hAnsi="Times New Roman" w:cs="Times New Roman"/>
          <w:sz w:val="24"/>
          <w:szCs w:val="24"/>
        </w:rPr>
        <w:t xml:space="preserve"> </w:t>
      </w:r>
      <w:r w:rsidRPr="00B76DE9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планируется в размере </w:t>
      </w:r>
      <w:r w:rsidR="006A6478">
        <w:rPr>
          <w:rFonts w:ascii="Times New Roman" w:hAnsi="Times New Roman" w:cs="Times New Roman"/>
          <w:sz w:val="24"/>
          <w:szCs w:val="24"/>
        </w:rPr>
        <w:t>4889,5</w:t>
      </w:r>
      <w:r w:rsidRPr="00B76DE9">
        <w:rPr>
          <w:rFonts w:ascii="Times New Roman" w:hAnsi="Times New Roman" w:cs="Times New Roman"/>
          <w:sz w:val="24"/>
          <w:szCs w:val="24"/>
        </w:rPr>
        <w:t xml:space="preserve"> тыс. рублей. По сравнению с утвержденными</w:t>
      </w:r>
      <w:r w:rsidRPr="003A70FD">
        <w:rPr>
          <w:rFonts w:ascii="Times New Roman" w:hAnsi="Times New Roman" w:cs="Times New Roman"/>
          <w:sz w:val="24"/>
          <w:szCs w:val="24"/>
        </w:rPr>
        <w:t xml:space="preserve"> бюджетными назначениями 2020 года  снижение поступления составит </w:t>
      </w:r>
      <w:r w:rsidR="006A6478">
        <w:rPr>
          <w:rFonts w:ascii="Times New Roman" w:hAnsi="Times New Roman" w:cs="Times New Roman"/>
          <w:sz w:val="24"/>
          <w:szCs w:val="24"/>
        </w:rPr>
        <w:t>30,1</w:t>
      </w:r>
      <w:r w:rsidRPr="003A70F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 xml:space="preserve">Поступление доходов на 2022 год  прогнозируется в сумме </w:t>
      </w:r>
      <w:r w:rsidR="006A6478">
        <w:rPr>
          <w:rFonts w:ascii="Times New Roman" w:hAnsi="Times New Roman" w:cs="Times New Roman"/>
          <w:sz w:val="24"/>
          <w:szCs w:val="24"/>
        </w:rPr>
        <w:t>4628,1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 , и на 2023 год – </w:t>
      </w:r>
      <w:r w:rsidR="006A6478">
        <w:rPr>
          <w:rFonts w:ascii="Times New Roman" w:hAnsi="Times New Roman" w:cs="Times New Roman"/>
          <w:sz w:val="24"/>
          <w:szCs w:val="24"/>
        </w:rPr>
        <w:t>4570,8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2A20" w:rsidRDefault="00BF3190" w:rsidP="006A64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76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2C0229" w:rsidRDefault="008E2A20" w:rsidP="006A6478">
            <w:pPr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год (решение о бюджете) сумма </w:t>
            </w:r>
          </w:p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 xml:space="preserve">(тыс. </w:t>
            </w:r>
            <w:proofErr w:type="spellStart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1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3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сумма (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</w:t>
            </w:r>
            <w:proofErr w:type="spellEnd"/>
          </w:p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предыду-щему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6A6478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к </w:t>
            </w:r>
            <w:proofErr w:type="spellStart"/>
            <w:r w:rsidRPr="008E2A20">
              <w:rPr>
                <w:rFonts w:ascii="TimesET" w:eastAsia="Times New Roman" w:hAnsi="TimesET" w:cs="Times New Roman"/>
                <w:lang w:eastAsia="ru-RU"/>
              </w:rPr>
              <w:t>преды-дущему</w:t>
            </w:r>
            <w:proofErr w:type="spellEnd"/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 году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7C0ADF" w:rsidRPr="002C0229" w:rsidTr="008B7DB3">
        <w:trPr>
          <w:trHeight w:val="471"/>
        </w:trPr>
        <w:tc>
          <w:tcPr>
            <w:tcW w:w="1985" w:type="dxa"/>
            <w:shd w:val="clear" w:color="auto" w:fill="auto"/>
          </w:tcPr>
          <w:p w:rsidR="007C0ADF" w:rsidRPr="00B76DE9" w:rsidRDefault="007C0ADF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6992,3</w:t>
            </w:r>
          </w:p>
        </w:tc>
        <w:tc>
          <w:tcPr>
            <w:tcW w:w="992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4889,5</w:t>
            </w:r>
          </w:p>
        </w:tc>
        <w:tc>
          <w:tcPr>
            <w:tcW w:w="1276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4628,1</w:t>
            </w:r>
          </w:p>
        </w:tc>
        <w:tc>
          <w:tcPr>
            <w:tcW w:w="1276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124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4570,8</w:t>
            </w:r>
          </w:p>
        </w:tc>
        <w:tc>
          <w:tcPr>
            <w:tcW w:w="968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-98,8</w:t>
            </w:r>
          </w:p>
        </w:tc>
      </w:tr>
      <w:tr w:rsidR="007C0ADF" w:rsidRPr="002C0229" w:rsidTr="00B76DE9">
        <w:trPr>
          <w:trHeight w:val="291"/>
        </w:trPr>
        <w:tc>
          <w:tcPr>
            <w:tcW w:w="1985" w:type="dxa"/>
            <w:shd w:val="clear" w:color="auto" w:fill="auto"/>
          </w:tcPr>
          <w:p w:rsidR="007C0ADF" w:rsidRPr="007C0ADF" w:rsidRDefault="007C0ADF" w:rsidP="006A6478">
            <w:pPr>
              <w:pStyle w:val="ac"/>
              <w:jc w:val="both"/>
              <w:rPr>
                <w:rFonts w:ascii="Times New Roman" w:hAnsi="Times New Roman"/>
              </w:rPr>
            </w:pPr>
            <w:r w:rsidRPr="007C0AD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7C0ADF" w:rsidRDefault="007C0ADF" w:rsidP="006A6478">
            <w:pPr>
              <w:pStyle w:val="ac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shd w:val="clear" w:color="auto" w:fill="auto"/>
          </w:tcPr>
          <w:p w:rsidR="007C0ADF" w:rsidRDefault="007C0ADF" w:rsidP="006A6478">
            <w:pPr>
              <w:pStyle w:val="ac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shd w:val="clear" w:color="auto" w:fill="auto"/>
          </w:tcPr>
          <w:p w:rsidR="007C0ADF" w:rsidRDefault="007C0ADF" w:rsidP="006A6478">
            <w:pPr>
              <w:pStyle w:val="ac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shd w:val="clear" w:color="auto" w:fill="auto"/>
          </w:tcPr>
          <w:p w:rsidR="007C0ADF" w:rsidRDefault="007C0ADF" w:rsidP="006A6478">
            <w:pPr>
              <w:pStyle w:val="ac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shd w:val="clear" w:color="auto" w:fill="auto"/>
          </w:tcPr>
          <w:p w:rsidR="007C0ADF" w:rsidRDefault="007C0ADF" w:rsidP="006A6478">
            <w:pPr>
              <w:pStyle w:val="ac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7C0ADF" w:rsidRDefault="007C0ADF" w:rsidP="006A6478">
            <w:pPr>
              <w:pStyle w:val="ac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8" w:type="dxa"/>
            <w:shd w:val="clear" w:color="auto" w:fill="auto"/>
          </w:tcPr>
          <w:p w:rsidR="007C0ADF" w:rsidRDefault="007C0ADF" w:rsidP="006A6478">
            <w:pPr>
              <w:pStyle w:val="ac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7C0ADF" w:rsidRPr="002C0229" w:rsidTr="008E2A20">
        <w:trPr>
          <w:trHeight w:val="557"/>
        </w:trPr>
        <w:tc>
          <w:tcPr>
            <w:tcW w:w="1985" w:type="dxa"/>
            <w:shd w:val="clear" w:color="auto" w:fill="auto"/>
          </w:tcPr>
          <w:p w:rsidR="007C0ADF" w:rsidRPr="00B76DE9" w:rsidRDefault="007C0ADF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1255,9</w:t>
            </w:r>
          </w:p>
        </w:tc>
        <w:tc>
          <w:tcPr>
            <w:tcW w:w="992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1288,7</w:t>
            </w:r>
          </w:p>
        </w:tc>
        <w:tc>
          <w:tcPr>
            <w:tcW w:w="1276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992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1338,6</w:t>
            </w:r>
          </w:p>
        </w:tc>
        <w:tc>
          <w:tcPr>
            <w:tcW w:w="1276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124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1442,3</w:t>
            </w:r>
          </w:p>
        </w:tc>
        <w:tc>
          <w:tcPr>
            <w:tcW w:w="968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-107,7</w:t>
            </w:r>
          </w:p>
        </w:tc>
      </w:tr>
      <w:tr w:rsidR="007C0ADF" w:rsidRPr="002C0229" w:rsidTr="008E2A20">
        <w:trPr>
          <w:trHeight w:val="580"/>
        </w:trPr>
        <w:tc>
          <w:tcPr>
            <w:tcW w:w="1985" w:type="dxa"/>
            <w:shd w:val="clear" w:color="auto" w:fill="auto"/>
          </w:tcPr>
          <w:p w:rsidR="007C0ADF" w:rsidRPr="00B76DE9" w:rsidRDefault="007C0ADF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26,4</w:t>
            </w:r>
          </w:p>
        </w:tc>
        <w:tc>
          <w:tcPr>
            <w:tcW w:w="1276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ET" w:hAnsi="TimesET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28,9</w:t>
            </w:r>
          </w:p>
        </w:tc>
        <w:tc>
          <w:tcPr>
            <w:tcW w:w="1276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ET" w:hAnsi="TimesET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31,6</w:t>
            </w:r>
          </w:p>
        </w:tc>
        <w:tc>
          <w:tcPr>
            <w:tcW w:w="968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ET" w:hAnsi="TimesET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C0ADF" w:rsidRPr="002C0229" w:rsidTr="008E2A20">
        <w:tc>
          <w:tcPr>
            <w:tcW w:w="1985" w:type="dxa"/>
            <w:shd w:val="clear" w:color="auto" w:fill="auto"/>
          </w:tcPr>
          <w:p w:rsidR="007C0ADF" w:rsidRPr="00B76DE9" w:rsidRDefault="007C0ADF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5736,4</w:t>
            </w:r>
          </w:p>
        </w:tc>
        <w:tc>
          <w:tcPr>
            <w:tcW w:w="992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3600,8</w:t>
            </w:r>
          </w:p>
        </w:tc>
        <w:tc>
          <w:tcPr>
            <w:tcW w:w="1276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992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3289,5</w:t>
            </w:r>
          </w:p>
        </w:tc>
        <w:tc>
          <w:tcPr>
            <w:tcW w:w="1276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24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3128,5</w:t>
            </w:r>
          </w:p>
        </w:tc>
        <w:tc>
          <w:tcPr>
            <w:tcW w:w="968" w:type="dxa"/>
            <w:shd w:val="clear" w:color="auto" w:fill="auto"/>
          </w:tcPr>
          <w:p w:rsidR="007C0ADF" w:rsidRDefault="007C0ADF" w:rsidP="006A6478">
            <w:pPr>
              <w:jc w:val="both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-95,1</w:t>
            </w:r>
          </w:p>
        </w:tc>
      </w:tr>
      <w:tr w:rsidR="00B76DE9" w:rsidRPr="002C0229" w:rsidTr="008E2A20">
        <w:trPr>
          <w:trHeight w:val="604"/>
        </w:trPr>
        <w:tc>
          <w:tcPr>
            <w:tcW w:w="1985" w:type="dxa"/>
            <w:shd w:val="clear" w:color="auto" w:fill="auto"/>
          </w:tcPr>
          <w:p w:rsidR="00B76DE9" w:rsidRPr="00B76DE9" w:rsidRDefault="00B76DE9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B76DE9" w:rsidRPr="00B76DE9" w:rsidRDefault="00B76DE9" w:rsidP="006A64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992" w:type="dxa"/>
            <w:shd w:val="clear" w:color="auto" w:fill="auto"/>
          </w:tcPr>
          <w:p w:rsidR="00B76DE9" w:rsidRPr="00B76DE9" w:rsidRDefault="00B76DE9" w:rsidP="006A64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276" w:type="dxa"/>
            <w:shd w:val="clear" w:color="auto" w:fill="auto"/>
          </w:tcPr>
          <w:p w:rsidR="00B76DE9" w:rsidRPr="00B76DE9" w:rsidRDefault="00B76DE9" w:rsidP="006A64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76DE9" w:rsidRPr="00B76DE9" w:rsidRDefault="00B76DE9" w:rsidP="006A64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276" w:type="dxa"/>
            <w:shd w:val="clear" w:color="auto" w:fill="auto"/>
          </w:tcPr>
          <w:p w:rsidR="00B76DE9" w:rsidRPr="00B76DE9" w:rsidRDefault="00B76DE9" w:rsidP="006A64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B76DE9" w:rsidRPr="00B76DE9" w:rsidRDefault="00B76DE9" w:rsidP="006A64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968" w:type="dxa"/>
            <w:shd w:val="clear" w:color="auto" w:fill="auto"/>
          </w:tcPr>
          <w:p w:rsidR="00B76DE9" w:rsidRPr="00B76DE9" w:rsidRDefault="00B76DE9" w:rsidP="006A64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</w:tbl>
    <w:p w:rsidR="00B76DE9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>Собственные доходы поселения</w:t>
      </w:r>
      <w:r w:rsidR="005C23E6">
        <w:rPr>
          <w:rFonts w:ascii="Times New Roman" w:hAnsi="Times New Roman" w:cs="Times New Roman"/>
          <w:sz w:val="24"/>
          <w:szCs w:val="24"/>
        </w:rPr>
        <w:t xml:space="preserve">  </w:t>
      </w:r>
      <w:r w:rsidRPr="003A70FD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5C23E6">
        <w:rPr>
          <w:rFonts w:ascii="Times New Roman" w:hAnsi="Times New Roman" w:cs="Times New Roman"/>
          <w:sz w:val="24"/>
          <w:szCs w:val="24"/>
        </w:rPr>
        <w:t xml:space="preserve"> планируются в сумме </w:t>
      </w:r>
      <w:r w:rsidRPr="003A70FD">
        <w:rPr>
          <w:rFonts w:ascii="Times New Roman" w:hAnsi="Times New Roman" w:cs="Times New Roman"/>
          <w:sz w:val="24"/>
          <w:szCs w:val="24"/>
        </w:rPr>
        <w:t xml:space="preserve"> </w:t>
      </w:r>
      <w:r w:rsidR="006A6478">
        <w:rPr>
          <w:rFonts w:ascii="Times New Roman" w:hAnsi="Times New Roman" w:cs="Times New Roman"/>
          <w:sz w:val="24"/>
          <w:szCs w:val="24"/>
        </w:rPr>
        <w:t>1288,7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6250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A6478">
        <w:rPr>
          <w:rFonts w:ascii="Times New Roman" w:hAnsi="Times New Roman" w:cs="Times New Roman"/>
          <w:sz w:val="24"/>
          <w:szCs w:val="24"/>
        </w:rPr>
        <w:t>102,6</w:t>
      </w:r>
      <w:r w:rsidR="0066250E">
        <w:rPr>
          <w:rFonts w:ascii="Times New Roman" w:hAnsi="Times New Roman" w:cs="Times New Roman"/>
          <w:sz w:val="24"/>
          <w:szCs w:val="24"/>
        </w:rPr>
        <w:t xml:space="preserve"> % к 2020 году. Их удельный вес в доходах поселения составит </w:t>
      </w:r>
      <w:r w:rsidR="006A6478">
        <w:rPr>
          <w:rFonts w:ascii="Times New Roman" w:hAnsi="Times New Roman" w:cs="Times New Roman"/>
          <w:sz w:val="24"/>
          <w:szCs w:val="24"/>
        </w:rPr>
        <w:t>26,4</w:t>
      </w:r>
      <w:r w:rsidR="0066250E">
        <w:rPr>
          <w:rFonts w:ascii="Times New Roman" w:hAnsi="Times New Roman" w:cs="Times New Roman"/>
          <w:sz w:val="24"/>
          <w:szCs w:val="24"/>
        </w:rPr>
        <w:t xml:space="preserve"> %</w:t>
      </w:r>
      <w:r w:rsidR="00B76DE9">
        <w:rPr>
          <w:rFonts w:ascii="Times New Roman" w:hAnsi="Times New Roman" w:cs="Times New Roman"/>
          <w:sz w:val="24"/>
          <w:szCs w:val="24"/>
        </w:rPr>
        <w:t>, что  на 2,0 %-</w:t>
      </w:r>
      <w:proofErr w:type="spellStart"/>
      <w:r w:rsidR="00B76DE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B76DE9">
        <w:rPr>
          <w:rFonts w:ascii="Times New Roman" w:hAnsi="Times New Roman" w:cs="Times New Roman"/>
          <w:sz w:val="24"/>
          <w:szCs w:val="24"/>
        </w:rPr>
        <w:t xml:space="preserve">  пункта выше уровня 2020 года.</w:t>
      </w:r>
    </w:p>
    <w:p w:rsidR="003A70FD" w:rsidRPr="003A70FD" w:rsidRDefault="005C23E6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6A6478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>
        <w:rPr>
          <w:rFonts w:ascii="Times New Roman" w:hAnsi="Times New Roman" w:cs="Times New Roman"/>
          <w:sz w:val="24"/>
          <w:szCs w:val="24"/>
        </w:rPr>
        <w:t xml:space="preserve">на плановый период  прогнозируется  в сумме 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</w:t>
      </w:r>
      <w:r w:rsidR="006A6478">
        <w:rPr>
          <w:rFonts w:ascii="Times New Roman" w:hAnsi="Times New Roman" w:cs="Times New Roman"/>
          <w:sz w:val="24"/>
          <w:szCs w:val="24"/>
        </w:rPr>
        <w:t>1338,6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2022 год, и </w:t>
      </w:r>
      <w:r w:rsidR="006A6478">
        <w:rPr>
          <w:rFonts w:ascii="Times New Roman" w:hAnsi="Times New Roman" w:cs="Times New Roman"/>
          <w:sz w:val="24"/>
          <w:szCs w:val="24"/>
        </w:rPr>
        <w:t>1442,3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D4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2023 год.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E6" w:rsidRDefault="003A70FD" w:rsidP="006A6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6A6478">
        <w:rPr>
          <w:rFonts w:ascii="Times New Roman" w:eastAsia="Times New Roman" w:hAnsi="Times New Roman" w:cs="Times New Roman"/>
          <w:sz w:val="24"/>
          <w:szCs w:val="24"/>
          <w:lang w:eastAsia="ru-RU"/>
        </w:rPr>
        <w:t>3600,8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37,</w:t>
      </w:r>
      <w:r w:rsidR="006A6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утвержденны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года . На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поступление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 сумме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78">
        <w:rPr>
          <w:rFonts w:ascii="Times New Roman" w:eastAsia="Times New Roman" w:hAnsi="Times New Roman" w:cs="Times New Roman"/>
          <w:sz w:val="24"/>
          <w:szCs w:val="24"/>
          <w:lang w:eastAsia="ru-RU"/>
        </w:rPr>
        <w:t>3289,5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78">
        <w:rPr>
          <w:rFonts w:ascii="Times New Roman" w:eastAsia="Times New Roman" w:hAnsi="Times New Roman" w:cs="Times New Roman"/>
          <w:sz w:val="24"/>
          <w:szCs w:val="24"/>
          <w:lang w:eastAsia="ru-RU"/>
        </w:rPr>
        <w:t>3128,5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3190" w:rsidRPr="003B0526" w:rsidRDefault="00BF3190" w:rsidP="006A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4D42CF" w:rsidP="006A64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Таблица №3</w:t>
      </w:r>
    </w:p>
    <w:tbl>
      <w:tblPr>
        <w:tblStyle w:val="a3"/>
        <w:tblW w:w="9746" w:type="dxa"/>
        <w:tblInd w:w="108" w:type="dxa"/>
        <w:tblLayout w:type="fixed"/>
        <w:tblLook w:val="01E0"/>
      </w:tblPr>
      <w:tblGrid>
        <w:gridCol w:w="3261"/>
        <w:gridCol w:w="1134"/>
        <w:gridCol w:w="992"/>
        <w:gridCol w:w="825"/>
        <w:gridCol w:w="876"/>
        <w:gridCol w:w="1276"/>
        <w:gridCol w:w="1382"/>
      </w:tblGrid>
      <w:tr w:rsidR="0066250E" w:rsidRPr="00B20B85" w:rsidTr="0032605B">
        <w:trPr>
          <w:trHeight w:val="21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 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Динамика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 год</w:t>
            </w:r>
          </w:p>
        </w:tc>
      </w:tr>
      <w:tr w:rsidR="0066250E" w:rsidRPr="00B20B85" w:rsidTr="0032605B">
        <w:trPr>
          <w:trHeight w:val="24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4D42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(+ ; </w:t>
            </w:r>
            <w:r w:rsidR="004D42CF">
              <w:rPr>
                <w:color w:val="000000"/>
              </w:rPr>
              <w:t>-)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</w:tr>
      <w:tr w:rsidR="004767A0" w:rsidRPr="00B20B85" w:rsidTr="003260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0" w:rsidRPr="00931F48" w:rsidRDefault="004767A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31F48">
              <w:rPr>
                <w:b/>
                <w:color w:val="000000"/>
              </w:rPr>
              <w:t>Собственные доходы, всего,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rFonts w:ascii="TimesET" w:hAnsi="TimesE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bCs/>
                <w:color w:val="000000"/>
                <w:sz w:val="22"/>
                <w:szCs w:val="22"/>
              </w:rPr>
              <w:t>1255,9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rFonts w:ascii="TimesET" w:hAnsi="TimesE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bCs/>
                <w:color w:val="000000"/>
                <w:sz w:val="22"/>
                <w:szCs w:val="22"/>
              </w:rPr>
              <w:t>1288,7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rFonts w:ascii="TimesET" w:hAnsi="TimesET"/>
                <w:b/>
                <w:bCs/>
                <w:color w:val="000000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102,6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rFonts w:ascii="TimesET" w:hAnsi="TimesE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bCs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rFonts w:ascii="TimesET" w:hAnsi="TimesET"/>
                <w:b/>
                <w:bCs/>
                <w:color w:val="000000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1338,6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rFonts w:ascii="TimesET" w:hAnsi="TimesE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bCs/>
                <w:color w:val="000000"/>
                <w:sz w:val="22"/>
                <w:szCs w:val="22"/>
              </w:rPr>
              <w:t>1442,3</w:t>
            </w:r>
          </w:p>
        </w:tc>
      </w:tr>
      <w:tr w:rsidR="004767A0" w:rsidRPr="00B20B85" w:rsidTr="003260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0" w:rsidRDefault="004767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767A0" w:rsidRPr="00B20B85" w:rsidTr="003260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0" w:rsidRPr="004D42CF" w:rsidRDefault="004767A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>Налоговые доходы,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1101,6</w:t>
            </w:r>
          </w:p>
        </w:tc>
      </w:tr>
      <w:tr w:rsidR="004767A0" w:rsidRPr="00B20B85" w:rsidTr="003260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0" w:rsidRDefault="004767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76,4</w:t>
            </w:r>
          </w:p>
        </w:tc>
      </w:tr>
      <w:tr w:rsidR="004767A0" w:rsidRPr="00B20B85" w:rsidTr="003260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0" w:rsidRDefault="004767A0" w:rsidP="004D42CF">
            <w:pPr>
              <w:jc w:val="both"/>
              <w:rPr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 xml:space="preserve">Неналоговые </w:t>
            </w:r>
            <w:proofErr w:type="spellStart"/>
            <w:r w:rsidRPr="004D42CF">
              <w:rPr>
                <w:b/>
                <w:color w:val="000000"/>
              </w:rPr>
              <w:t>доходы,тыс</w:t>
            </w:r>
            <w:proofErr w:type="spellEnd"/>
            <w:r w:rsidRPr="004D42CF">
              <w:rPr>
                <w:b/>
                <w:color w:val="000000"/>
              </w:rPr>
              <w:t>. руб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328,6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329,6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340,7</w:t>
            </w:r>
          </w:p>
        </w:tc>
      </w:tr>
      <w:tr w:rsidR="004767A0" w:rsidRPr="00B20B85" w:rsidTr="003260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0" w:rsidRDefault="004767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0" w:rsidRDefault="004767A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23,6</w:t>
            </w:r>
          </w:p>
        </w:tc>
      </w:tr>
    </w:tbl>
    <w:p w:rsidR="00BF3190" w:rsidRPr="003B0526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0A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налоговые доходы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доля  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 выше  уровня предшествующего года.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поступление налоговых доходов прогнозируется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960,1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1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1,9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 запланированно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942,3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C89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неналоговых доходов в 2021 году прогнозируется в сумме 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328,6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104,8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уровню 2020 года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313,6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B0A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 в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неналоговых доходов в 2021 году  составит  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25,5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 соответственно ниже показателя 2020 года на 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пункта.  </w:t>
      </w:r>
    </w:p>
    <w:p w:rsidR="001B66D2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80" w:type="dxa"/>
        <w:tblInd w:w="94" w:type="dxa"/>
        <w:tblLook w:val="04A0"/>
      </w:tblPr>
      <w:tblGrid>
        <w:gridCol w:w="1938"/>
        <w:gridCol w:w="1139"/>
        <w:gridCol w:w="1019"/>
        <w:gridCol w:w="1140"/>
        <w:gridCol w:w="1129"/>
        <w:gridCol w:w="1357"/>
        <w:gridCol w:w="1258"/>
      </w:tblGrid>
      <w:tr w:rsidR="001B66D2" w:rsidRPr="001B66D2" w:rsidTr="00527566">
        <w:trPr>
          <w:trHeight w:val="315"/>
        </w:trPr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66D2" w:rsidRPr="001B66D2" w:rsidRDefault="001B66D2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66D2" w:rsidRPr="001B66D2" w:rsidRDefault="003C6EC6" w:rsidP="003C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Утвержденные бюджетные назначения на 2020г 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1B66D2" w:rsidRDefault="001B66D2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на  2021 год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1B66D2" w:rsidRDefault="001B66D2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</w:tr>
      <w:tr w:rsidR="001B66D2" w:rsidRPr="001B66D2" w:rsidTr="00527566">
        <w:trPr>
          <w:trHeight w:val="525"/>
        </w:trPr>
        <w:tc>
          <w:tcPr>
            <w:tcW w:w="1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B66D2" w:rsidRPr="001B66D2" w:rsidRDefault="001B66D2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66D2" w:rsidRPr="001B66D2" w:rsidRDefault="001B66D2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6D2" w:rsidRPr="001B66D2" w:rsidRDefault="001B66D2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6D2" w:rsidRPr="001B66D2" w:rsidRDefault="001B66D2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вес, 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6D2" w:rsidRPr="001B66D2" w:rsidRDefault="001B66D2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(+ ; -)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6D2" w:rsidRPr="001B66D2" w:rsidRDefault="001B66D2" w:rsidP="0045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527566" w:rsidRPr="001B66D2" w:rsidTr="00527566">
        <w:trPr>
          <w:trHeight w:val="54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1B66D2" w:rsidRDefault="00527566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Налоговые доходы, всего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8596C">
              <w:rPr>
                <w:rFonts w:ascii="Times New Roman" w:hAnsi="Times New Roman"/>
                <w:b/>
              </w:rPr>
              <w:t>942,3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8596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8596C">
              <w:rPr>
                <w:rFonts w:ascii="Times New Roman" w:hAnsi="Times New Roman"/>
                <w:b/>
              </w:rPr>
              <w:t>960,1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8596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8596C">
              <w:rPr>
                <w:rFonts w:ascii="Times New Roman" w:hAnsi="Times New Roman"/>
                <w:b/>
              </w:rPr>
              <w:t>17,8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78596C">
              <w:rPr>
                <w:rFonts w:ascii="Times New Roman" w:hAnsi="Times New Roman"/>
                <w:b/>
              </w:rPr>
              <w:t>101,9</w:t>
            </w:r>
          </w:p>
        </w:tc>
      </w:tr>
      <w:tr w:rsidR="00527566" w:rsidRPr="001B66D2" w:rsidTr="00527566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1B66D2" w:rsidRDefault="00527566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 </w:t>
            </w:r>
          </w:p>
        </w:tc>
      </w:tr>
      <w:tr w:rsidR="00527566" w:rsidRPr="001B66D2" w:rsidTr="00527566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7566" w:rsidRPr="001B66D2" w:rsidRDefault="00527566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НДФЛ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5,5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101,9</w:t>
            </w:r>
          </w:p>
        </w:tc>
      </w:tr>
      <w:tr w:rsidR="00527566" w:rsidRPr="001B66D2" w:rsidTr="00527566">
        <w:trPr>
          <w:trHeight w:val="479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1B66D2" w:rsidRDefault="00527566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388,6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431,1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44,9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42,5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110,9</w:t>
            </w:r>
          </w:p>
        </w:tc>
      </w:tr>
      <w:tr w:rsidR="00527566" w:rsidRPr="001B66D2" w:rsidTr="00527566">
        <w:trPr>
          <w:trHeight w:val="54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1B66D2" w:rsidRDefault="00527566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Налоги на </w:t>
            </w:r>
            <w:proofErr w:type="spellStart"/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доход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4,7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0,0</w:t>
            </w:r>
          </w:p>
        </w:tc>
      </w:tr>
      <w:tr w:rsidR="00527566" w:rsidRPr="001B66D2" w:rsidTr="00527566">
        <w:trPr>
          <w:trHeight w:val="54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1B66D2" w:rsidRDefault="00527566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172,7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18,3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15,6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-22,7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86,9</w:t>
            </w:r>
          </w:p>
        </w:tc>
      </w:tr>
      <w:tr w:rsidR="00527566" w:rsidRPr="001B66D2" w:rsidTr="00527566">
        <w:trPr>
          <w:trHeight w:val="54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1B66D2" w:rsidRDefault="00527566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</w:t>
            </w:r>
            <w:proofErr w:type="spellStart"/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3,9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100,0</w:t>
            </w:r>
          </w:p>
        </w:tc>
      </w:tr>
      <w:tr w:rsidR="00527566" w:rsidRPr="001B66D2" w:rsidTr="00527566">
        <w:trPr>
          <w:trHeight w:val="54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1B66D2" w:rsidRDefault="00527566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 физ.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245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243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25,3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-2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99,2</w:t>
            </w:r>
          </w:p>
        </w:tc>
      </w:tr>
      <w:tr w:rsidR="00527566" w:rsidRPr="001B66D2" w:rsidTr="00527566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1B66D2" w:rsidRDefault="00527566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0,1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-1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566" w:rsidRPr="0078596C" w:rsidRDefault="00527566" w:rsidP="004527FD">
            <w:pPr>
              <w:pStyle w:val="ac"/>
              <w:jc w:val="right"/>
              <w:rPr>
                <w:rFonts w:ascii="Times New Roman" w:hAnsi="Times New Roman"/>
              </w:rPr>
            </w:pPr>
            <w:r w:rsidRPr="0078596C">
              <w:rPr>
                <w:rFonts w:ascii="Times New Roman" w:hAnsi="Times New Roman"/>
              </w:rPr>
              <w:t>0,0</w:t>
            </w:r>
          </w:p>
        </w:tc>
      </w:tr>
    </w:tbl>
    <w:p w:rsidR="001B66D2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DB" w:rsidRDefault="00063062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н</w:t>
      </w:r>
      <w:r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3062">
        <w:rPr>
          <w:rFonts w:ascii="Times New Roman" w:hAnsi="Times New Roman" w:cs="Times New Roman"/>
          <w:b/>
          <w:sz w:val="24"/>
          <w:szCs w:val="24"/>
        </w:rPr>
        <w:t xml:space="preserve">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Pr="00063062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Pr="0006306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C6EC6">
        <w:rPr>
          <w:rFonts w:ascii="Times New Roman" w:hAnsi="Times New Roman" w:cs="Times New Roman"/>
          <w:sz w:val="24"/>
          <w:szCs w:val="24"/>
        </w:rPr>
        <w:t xml:space="preserve"> 53,</w:t>
      </w:r>
      <w:r w:rsidR="001B66D2">
        <w:rPr>
          <w:rFonts w:ascii="Times New Roman" w:hAnsi="Times New Roman" w:cs="Times New Roman"/>
          <w:sz w:val="24"/>
          <w:szCs w:val="24"/>
        </w:rPr>
        <w:t>0</w:t>
      </w:r>
      <w:r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с приростом </w:t>
      </w:r>
      <w:r w:rsidR="003C6EC6">
        <w:rPr>
          <w:rFonts w:ascii="Times New Roman" w:hAnsi="Times New Roman" w:cs="Times New Roman"/>
          <w:sz w:val="24"/>
          <w:szCs w:val="24"/>
        </w:rPr>
        <w:t>к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 сумме </w:t>
      </w:r>
      <w:r w:rsidR="00931F48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3C6EC6">
        <w:rPr>
          <w:rFonts w:ascii="Times New Roman" w:hAnsi="Times New Roman" w:cs="Times New Roman"/>
          <w:sz w:val="24"/>
          <w:szCs w:val="24"/>
        </w:rPr>
        <w:t>1,0</w:t>
      </w:r>
      <w:r w:rsidR="001B66D2">
        <w:rPr>
          <w:rFonts w:ascii="Times New Roman" w:hAnsi="Times New Roman" w:cs="Times New Roman"/>
          <w:sz w:val="24"/>
          <w:szCs w:val="24"/>
        </w:rPr>
        <w:t xml:space="preserve"> тыс. руб. ,или </w:t>
      </w:r>
      <w:r w:rsidR="003C6EC6">
        <w:rPr>
          <w:rFonts w:ascii="Times New Roman" w:hAnsi="Times New Roman" w:cs="Times New Roman"/>
          <w:sz w:val="24"/>
          <w:szCs w:val="24"/>
        </w:rPr>
        <w:t>1,9</w:t>
      </w:r>
      <w:r w:rsidR="00931F48">
        <w:rPr>
          <w:rFonts w:ascii="Times New Roman" w:hAnsi="Times New Roman" w:cs="Times New Roman"/>
          <w:sz w:val="24"/>
          <w:szCs w:val="24"/>
        </w:rPr>
        <w:t xml:space="preserve"> %</w:t>
      </w:r>
      <w:r w:rsidR="007336DB">
        <w:rPr>
          <w:rFonts w:ascii="Times New Roman" w:hAnsi="Times New Roman" w:cs="Times New Roman"/>
          <w:sz w:val="24"/>
          <w:szCs w:val="24"/>
        </w:rPr>
        <w:t xml:space="preserve">. Удельный вес налога составит 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>5,5</w:t>
      </w:r>
      <w:r w:rsidRPr="00063062">
        <w:rPr>
          <w:rFonts w:ascii="Times New Roman" w:hAnsi="Times New Roman" w:cs="Times New Roman"/>
          <w:sz w:val="24"/>
          <w:szCs w:val="24"/>
        </w:rPr>
        <w:t xml:space="preserve"> % от общей суммы </w:t>
      </w:r>
      <w:r w:rsidR="001B66D2">
        <w:rPr>
          <w:rFonts w:ascii="Times New Roman" w:hAnsi="Times New Roman" w:cs="Times New Roman"/>
          <w:sz w:val="24"/>
          <w:szCs w:val="24"/>
        </w:rPr>
        <w:t>п</w:t>
      </w:r>
      <w:r w:rsidRPr="00063062">
        <w:rPr>
          <w:rFonts w:ascii="Times New Roman" w:hAnsi="Times New Roman" w:cs="Times New Roman"/>
          <w:sz w:val="24"/>
          <w:szCs w:val="24"/>
        </w:rPr>
        <w:t xml:space="preserve">редполагаемых </w:t>
      </w:r>
      <w:r w:rsidR="003C6EC6">
        <w:rPr>
          <w:rFonts w:ascii="Times New Roman" w:hAnsi="Times New Roman" w:cs="Times New Roman"/>
          <w:sz w:val="24"/>
          <w:szCs w:val="24"/>
        </w:rPr>
        <w:t>налоговых</w:t>
      </w:r>
      <w:r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7336DB">
        <w:rPr>
          <w:rFonts w:ascii="Times New Roman" w:hAnsi="Times New Roman" w:cs="Times New Roman"/>
          <w:sz w:val="24"/>
          <w:szCs w:val="24"/>
        </w:rPr>
        <w:t>.</w:t>
      </w:r>
    </w:p>
    <w:p w:rsidR="00063062" w:rsidRPr="00063062" w:rsidRDefault="007336DB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>202</w:t>
      </w:r>
      <w:r w:rsidR="00931F48">
        <w:rPr>
          <w:rFonts w:ascii="Times New Roman" w:hAnsi="Times New Roman" w:cs="Times New Roman"/>
          <w:sz w:val="24"/>
          <w:szCs w:val="24"/>
        </w:rPr>
        <w:t>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прогнозируемый  объем поступления состави</w:t>
      </w:r>
      <w:r w:rsidR="008E2A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>55,0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на 202</w:t>
      </w:r>
      <w:r w:rsidR="00931F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>56,0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931F48" w:rsidRDefault="007336DB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C6EC6">
        <w:rPr>
          <w:rFonts w:ascii="Times New Roman" w:hAnsi="Times New Roman" w:cs="Times New Roman"/>
          <w:sz w:val="24"/>
          <w:szCs w:val="24"/>
        </w:rPr>
        <w:t>431,1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3C6EC6">
        <w:rPr>
          <w:rFonts w:ascii="Times New Roman" w:hAnsi="Times New Roman" w:cs="Times New Roman"/>
          <w:sz w:val="24"/>
          <w:szCs w:val="24"/>
        </w:rPr>
        <w:t>44,9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931F48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. Прирост к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сумме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года( </w:t>
      </w:r>
      <w:r w:rsidR="003C6EC6">
        <w:rPr>
          <w:rFonts w:ascii="Times New Roman" w:hAnsi="Times New Roman" w:cs="Times New Roman"/>
          <w:sz w:val="24"/>
          <w:szCs w:val="24"/>
        </w:rPr>
        <w:t>388,6</w:t>
      </w:r>
      <w:r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1B66D2">
        <w:rPr>
          <w:rFonts w:ascii="Times New Roman" w:hAnsi="Times New Roman" w:cs="Times New Roman"/>
          <w:sz w:val="24"/>
          <w:szCs w:val="24"/>
        </w:rPr>
        <w:t>4</w:t>
      </w:r>
      <w:r w:rsidR="00931F48">
        <w:rPr>
          <w:rFonts w:ascii="Times New Roman" w:hAnsi="Times New Roman" w:cs="Times New Roman"/>
          <w:sz w:val="24"/>
          <w:szCs w:val="24"/>
        </w:rPr>
        <w:t>2,</w:t>
      </w:r>
      <w:r w:rsidR="003C6E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1</w:t>
      </w:r>
      <w:r w:rsidR="003C6EC6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62" w:rsidRDefault="007336DB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931F48">
        <w:rPr>
          <w:rFonts w:ascii="Times New Roman" w:hAnsi="Times New Roman" w:cs="Times New Roman"/>
          <w:sz w:val="24"/>
          <w:szCs w:val="24"/>
        </w:rPr>
        <w:t>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сумма поступления составит </w:t>
      </w:r>
      <w:r w:rsidR="003C6EC6">
        <w:rPr>
          <w:rFonts w:ascii="Times New Roman" w:hAnsi="Times New Roman" w:cs="Times New Roman"/>
          <w:sz w:val="24"/>
          <w:szCs w:val="24"/>
        </w:rPr>
        <w:t>473,0</w:t>
      </w:r>
      <w:r w:rsidR="001B66D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>тыс. рублей, на 202</w:t>
      </w:r>
      <w:r w:rsidR="00931F48">
        <w:rPr>
          <w:rFonts w:ascii="Times New Roman" w:hAnsi="Times New Roman" w:cs="Times New Roman"/>
          <w:sz w:val="24"/>
          <w:szCs w:val="24"/>
        </w:rPr>
        <w:t>3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C6EC6">
        <w:rPr>
          <w:rFonts w:ascii="Times New Roman" w:hAnsi="Times New Roman" w:cs="Times New Roman"/>
          <w:sz w:val="24"/>
          <w:szCs w:val="24"/>
        </w:rPr>
        <w:t>552,6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C6EC6" w:rsidRDefault="003C6EC6" w:rsidP="003C6E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47">
        <w:rPr>
          <w:rFonts w:ascii="Times New Roman" w:hAnsi="Times New Roman" w:cs="Times New Roman"/>
          <w:b/>
          <w:sz w:val="24"/>
          <w:szCs w:val="24"/>
        </w:rPr>
        <w:t>Поступление налогов на совокупный доход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F70E47">
        <w:rPr>
          <w:rFonts w:ascii="Times New Roman" w:hAnsi="Times New Roman" w:cs="Times New Roman"/>
          <w:sz w:val="24"/>
          <w:szCs w:val="24"/>
        </w:rPr>
        <w:t xml:space="preserve">, как и на 2020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70E47">
        <w:rPr>
          <w:rFonts w:ascii="Times New Roman" w:hAnsi="Times New Roman" w:cs="Times New Roman"/>
          <w:sz w:val="24"/>
          <w:szCs w:val="24"/>
        </w:rPr>
        <w:t>45,0 тыс</w:t>
      </w:r>
      <w:r w:rsidRPr="00063062">
        <w:rPr>
          <w:rFonts w:ascii="Times New Roman" w:hAnsi="Times New Roman" w:cs="Times New Roman"/>
          <w:sz w:val="24"/>
          <w:szCs w:val="24"/>
        </w:rPr>
        <w:t xml:space="preserve">. рублей 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70E47">
        <w:rPr>
          <w:rFonts w:ascii="Times New Roman" w:hAnsi="Times New Roman" w:cs="Times New Roman"/>
          <w:sz w:val="24"/>
          <w:szCs w:val="24"/>
        </w:rPr>
        <w:t>4,7</w:t>
      </w:r>
      <w:r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6EC6" w:rsidRDefault="003C6EC6" w:rsidP="003C6E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сумма поступления состав</w:t>
      </w:r>
      <w:r w:rsidR="00F70E47">
        <w:rPr>
          <w:rFonts w:ascii="Times New Roman" w:hAnsi="Times New Roman" w:cs="Times New Roman"/>
          <w:sz w:val="24"/>
          <w:szCs w:val="24"/>
        </w:rPr>
        <w:t>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47">
        <w:rPr>
          <w:rFonts w:ascii="Times New Roman" w:hAnsi="Times New Roman" w:cs="Times New Roman"/>
          <w:sz w:val="24"/>
          <w:szCs w:val="24"/>
        </w:rPr>
        <w:t>45,0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>тыс. рублей,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306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70E47">
        <w:rPr>
          <w:rFonts w:ascii="Times New Roman" w:hAnsi="Times New Roman" w:cs="Times New Roman"/>
          <w:sz w:val="24"/>
          <w:szCs w:val="24"/>
        </w:rPr>
        <w:t>47,0</w:t>
      </w:r>
      <w:r w:rsidRPr="0006306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D05CC" w:rsidRDefault="001D05CC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8B07F6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F70E47">
        <w:rPr>
          <w:rFonts w:ascii="Times New Roman" w:hAnsi="Times New Roman" w:cs="Times New Roman"/>
          <w:sz w:val="24"/>
          <w:szCs w:val="24"/>
        </w:rPr>
        <w:t xml:space="preserve">в сумме 150,0 тыс. руб., или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70E47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47">
        <w:rPr>
          <w:rFonts w:ascii="Times New Roman" w:hAnsi="Times New Roman" w:cs="Times New Roman"/>
          <w:sz w:val="24"/>
          <w:szCs w:val="24"/>
        </w:rPr>
        <w:t xml:space="preserve">снижением  к плану 2020 года на 22,7 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или </w:t>
      </w:r>
      <w:r w:rsidR="001B66D2">
        <w:rPr>
          <w:rFonts w:ascii="Times New Roman" w:hAnsi="Times New Roman" w:cs="Times New Roman"/>
          <w:sz w:val="24"/>
          <w:szCs w:val="24"/>
        </w:rPr>
        <w:t xml:space="preserve"> на </w:t>
      </w:r>
      <w:r w:rsidR="00F70E47">
        <w:rPr>
          <w:rFonts w:ascii="Times New Roman" w:hAnsi="Times New Roman" w:cs="Times New Roman"/>
          <w:sz w:val="24"/>
          <w:szCs w:val="24"/>
        </w:rPr>
        <w:t>13,1</w:t>
      </w:r>
      <w:r w:rsidR="001B66D2">
        <w:rPr>
          <w:rFonts w:ascii="Times New Roman" w:hAnsi="Times New Roman" w:cs="Times New Roman"/>
          <w:sz w:val="24"/>
          <w:szCs w:val="24"/>
        </w:rPr>
        <w:t>%</w:t>
      </w:r>
      <w:r w:rsidR="00F70E47">
        <w:rPr>
          <w:rFonts w:ascii="Times New Roman" w:hAnsi="Times New Roman" w:cs="Times New Roman"/>
          <w:sz w:val="24"/>
          <w:szCs w:val="24"/>
        </w:rPr>
        <w:t>.</w:t>
      </w:r>
      <w:r w:rsidR="008B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63062">
        <w:rPr>
          <w:rFonts w:ascii="Times New Roman" w:hAnsi="Times New Roman" w:cs="Times New Roman"/>
          <w:sz w:val="24"/>
          <w:szCs w:val="24"/>
        </w:rPr>
        <w:t>общей сумм</w:t>
      </w:r>
      <w:r w:rsidR="008B07F6">
        <w:rPr>
          <w:rFonts w:ascii="Times New Roman" w:hAnsi="Times New Roman" w:cs="Times New Roman"/>
          <w:sz w:val="24"/>
          <w:szCs w:val="24"/>
        </w:rPr>
        <w:t xml:space="preserve">е налоговых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F6">
        <w:rPr>
          <w:rFonts w:ascii="Times New Roman" w:hAnsi="Times New Roman" w:cs="Times New Roman"/>
          <w:sz w:val="24"/>
          <w:szCs w:val="24"/>
        </w:rPr>
        <w:t xml:space="preserve">удельный вес налога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F70E47">
        <w:rPr>
          <w:rFonts w:ascii="Times New Roman" w:hAnsi="Times New Roman" w:cs="Times New Roman"/>
          <w:sz w:val="24"/>
          <w:szCs w:val="24"/>
        </w:rPr>
        <w:t>15,6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3062" w:rsidRPr="00063062" w:rsidRDefault="001D05CC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8B07F6">
        <w:rPr>
          <w:rFonts w:ascii="Times New Roman" w:hAnsi="Times New Roman" w:cs="Times New Roman"/>
          <w:sz w:val="24"/>
          <w:szCs w:val="24"/>
        </w:rPr>
        <w:t>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запланировано в сумме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F70E47">
        <w:rPr>
          <w:rFonts w:ascii="Times New Roman" w:hAnsi="Times New Roman" w:cs="Times New Roman"/>
          <w:sz w:val="24"/>
          <w:szCs w:val="24"/>
        </w:rPr>
        <w:t>150,0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8B07F6">
        <w:rPr>
          <w:rFonts w:ascii="Times New Roman" w:hAnsi="Times New Roman" w:cs="Times New Roman"/>
          <w:sz w:val="24"/>
          <w:szCs w:val="24"/>
        </w:rPr>
        <w:t>3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год – 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E14A0A">
        <w:rPr>
          <w:rFonts w:ascii="Times New Roman" w:hAnsi="Times New Roman" w:cs="Times New Roman"/>
          <w:sz w:val="24"/>
          <w:szCs w:val="24"/>
        </w:rPr>
        <w:t>5</w:t>
      </w:r>
      <w:r w:rsidR="00F70E47">
        <w:rPr>
          <w:rFonts w:ascii="Times New Roman" w:hAnsi="Times New Roman" w:cs="Times New Roman"/>
          <w:sz w:val="24"/>
          <w:szCs w:val="24"/>
        </w:rPr>
        <w:t>5</w:t>
      </w:r>
      <w:r w:rsidR="00E14A0A">
        <w:rPr>
          <w:rFonts w:ascii="Times New Roman" w:hAnsi="Times New Roman" w:cs="Times New Roman"/>
          <w:sz w:val="24"/>
          <w:szCs w:val="24"/>
        </w:rPr>
        <w:t>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63062" w:rsidRPr="0006306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01C52" w:rsidRDefault="001D05CC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F70E47">
        <w:rPr>
          <w:rFonts w:ascii="Times New Roman" w:hAnsi="Times New Roman" w:cs="Times New Roman"/>
          <w:sz w:val="24"/>
          <w:szCs w:val="24"/>
        </w:rPr>
        <w:t xml:space="preserve">, 2022 и 2023 </w:t>
      </w:r>
      <w:r w:rsidR="00B01C5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</w:t>
      </w:r>
      <w:r w:rsidR="00B01C52">
        <w:rPr>
          <w:rFonts w:ascii="Times New Roman" w:hAnsi="Times New Roman" w:cs="Times New Roman"/>
          <w:sz w:val="24"/>
          <w:szCs w:val="24"/>
        </w:rPr>
        <w:t xml:space="preserve">ы запланировано  </w:t>
      </w:r>
      <w:r w:rsidR="00E14A0A">
        <w:rPr>
          <w:rFonts w:ascii="Times New Roman" w:hAnsi="Times New Roman" w:cs="Times New Roman"/>
          <w:sz w:val="24"/>
          <w:szCs w:val="24"/>
        </w:rPr>
        <w:t xml:space="preserve"> </w:t>
      </w:r>
      <w:r w:rsidR="00F70E47">
        <w:rPr>
          <w:rFonts w:ascii="Times New Roman" w:hAnsi="Times New Roman" w:cs="Times New Roman"/>
          <w:sz w:val="24"/>
          <w:szCs w:val="24"/>
        </w:rPr>
        <w:t xml:space="preserve"> по </w:t>
      </w:r>
      <w:r w:rsidR="00E14A0A">
        <w:rPr>
          <w:rFonts w:ascii="Times New Roman" w:hAnsi="Times New Roman" w:cs="Times New Roman"/>
          <w:sz w:val="24"/>
          <w:szCs w:val="24"/>
        </w:rPr>
        <w:t xml:space="preserve"> </w:t>
      </w:r>
      <w:r w:rsidR="00F70E47">
        <w:rPr>
          <w:rFonts w:ascii="Times New Roman" w:hAnsi="Times New Roman" w:cs="Times New Roman"/>
          <w:sz w:val="24"/>
          <w:szCs w:val="24"/>
        </w:rPr>
        <w:t>37,0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 руб</w:t>
      </w:r>
      <w:r w:rsidR="00B01C52">
        <w:rPr>
          <w:rFonts w:ascii="Times New Roman" w:hAnsi="Times New Roman" w:cs="Times New Roman"/>
          <w:sz w:val="24"/>
          <w:szCs w:val="24"/>
        </w:rPr>
        <w:t>.</w:t>
      </w:r>
      <w:r w:rsidR="00F70E47">
        <w:rPr>
          <w:rFonts w:ascii="Times New Roman" w:hAnsi="Times New Roman" w:cs="Times New Roman"/>
          <w:sz w:val="24"/>
          <w:szCs w:val="24"/>
        </w:rPr>
        <w:t xml:space="preserve"> на каждый год.</w:t>
      </w:r>
      <w:r w:rsidR="00B01C52">
        <w:rPr>
          <w:rFonts w:ascii="Times New Roman" w:hAnsi="Times New Roman" w:cs="Times New Roman"/>
          <w:sz w:val="24"/>
          <w:szCs w:val="24"/>
        </w:rPr>
        <w:t xml:space="preserve"> 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F70E47">
        <w:rPr>
          <w:rFonts w:ascii="Times New Roman" w:hAnsi="Times New Roman" w:cs="Times New Roman"/>
          <w:sz w:val="24"/>
          <w:szCs w:val="24"/>
        </w:rPr>
        <w:t>3,9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F70E47">
        <w:rPr>
          <w:rFonts w:ascii="Times New Roman" w:hAnsi="Times New Roman" w:cs="Times New Roman"/>
          <w:sz w:val="24"/>
          <w:szCs w:val="24"/>
        </w:rPr>
        <w:t>налоговых до</w:t>
      </w:r>
      <w:r w:rsidR="00063062" w:rsidRPr="00063062">
        <w:rPr>
          <w:rFonts w:ascii="Times New Roman" w:hAnsi="Times New Roman" w:cs="Times New Roman"/>
          <w:sz w:val="24"/>
          <w:szCs w:val="24"/>
        </w:rPr>
        <w:t>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</w:p>
    <w:p w:rsidR="00B01C52" w:rsidRDefault="00B01C52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планируется с</w:t>
      </w:r>
      <w:r w:rsidR="00F70E47">
        <w:rPr>
          <w:rFonts w:ascii="Times New Roman" w:hAnsi="Times New Roman" w:cs="Times New Roman"/>
          <w:sz w:val="24"/>
          <w:szCs w:val="24"/>
        </w:rPr>
        <w:t xml:space="preserve">о- снижением </w:t>
      </w:r>
      <w:r w:rsidR="00E14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утвержденному показателю предыдущего года</w:t>
      </w:r>
      <w:r w:rsidR="00E14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70E47">
        <w:rPr>
          <w:rFonts w:ascii="Times New Roman" w:hAnsi="Times New Roman" w:cs="Times New Roman"/>
          <w:sz w:val="24"/>
          <w:szCs w:val="24"/>
        </w:rPr>
        <w:t>245,0</w:t>
      </w:r>
      <w:r>
        <w:rPr>
          <w:rFonts w:ascii="Times New Roman" w:hAnsi="Times New Roman" w:cs="Times New Roman"/>
          <w:sz w:val="24"/>
          <w:szCs w:val="24"/>
        </w:rPr>
        <w:t xml:space="preserve"> тыс. руб.) на </w:t>
      </w:r>
      <w:r w:rsidR="00F70E47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70E47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 % , и составит </w:t>
      </w:r>
      <w:r w:rsidR="00F70E47">
        <w:rPr>
          <w:rFonts w:ascii="Times New Roman" w:hAnsi="Times New Roman" w:cs="Times New Roman"/>
          <w:sz w:val="24"/>
          <w:szCs w:val="24"/>
        </w:rPr>
        <w:t>243,0</w:t>
      </w:r>
      <w:r>
        <w:rPr>
          <w:rFonts w:ascii="Times New Roman" w:hAnsi="Times New Roman" w:cs="Times New Roman"/>
          <w:sz w:val="24"/>
          <w:szCs w:val="24"/>
        </w:rPr>
        <w:t xml:space="preserve"> тыс. руб. Удельный вес налога 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</w:t>
      </w:r>
      <w:r w:rsidR="00F70E47">
        <w:rPr>
          <w:rFonts w:ascii="Times New Roman" w:hAnsi="Times New Roman" w:cs="Times New Roman"/>
          <w:sz w:val="24"/>
          <w:szCs w:val="24"/>
        </w:rPr>
        <w:t>5,3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062" w:rsidRPr="00063062" w:rsidRDefault="00B01C52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57598C">
        <w:rPr>
          <w:rFonts w:ascii="Times New Roman" w:hAnsi="Times New Roman" w:cs="Times New Roman"/>
          <w:sz w:val="24"/>
          <w:szCs w:val="24"/>
        </w:rPr>
        <w:t>2</w:t>
      </w:r>
      <w:r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запланировано в сумме 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57598C">
        <w:rPr>
          <w:rFonts w:ascii="Times New Roman" w:hAnsi="Times New Roman" w:cs="Times New Roman"/>
          <w:sz w:val="24"/>
          <w:szCs w:val="24"/>
        </w:rPr>
        <w:t>2</w:t>
      </w:r>
      <w:r w:rsidR="00F70E47">
        <w:rPr>
          <w:rFonts w:ascii="Times New Roman" w:hAnsi="Times New Roman" w:cs="Times New Roman"/>
          <w:sz w:val="24"/>
          <w:szCs w:val="24"/>
        </w:rPr>
        <w:t>48,0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57598C">
        <w:rPr>
          <w:rFonts w:ascii="Times New Roman" w:hAnsi="Times New Roman" w:cs="Times New Roman"/>
          <w:sz w:val="24"/>
          <w:szCs w:val="24"/>
        </w:rPr>
        <w:t>3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- </w:t>
      </w:r>
      <w:r w:rsidR="0057598C">
        <w:rPr>
          <w:rFonts w:ascii="Times New Roman" w:hAnsi="Times New Roman" w:cs="Times New Roman"/>
          <w:sz w:val="24"/>
          <w:szCs w:val="24"/>
        </w:rPr>
        <w:t>2</w:t>
      </w:r>
      <w:r w:rsidR="00F70E47">
        <w:rPr>
          <w:rFonts w:ascii="Times New Roman" w:hAnsi="Times New Roman" w:cs="Times New Roman"/>
          <w:sz w:val="24"/>
          <w:szCs w:val="24"/>
        </w:rPr>
        <w:t>53,0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F3190" w:rsidRPr="003B0526" w:rsidRDefault="00BF3190" w:rsidP="002C5B93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BF3190" w:rsidRPr="00CE37C2" w:rsidRDefault="00BF3190" w:rsidP="002C5B9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E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объеме </w:t>
      </w:r>
      <w:r w:rsidR="00F70E47">
        <w:rPr>
          <w:rFonts w:ascii="Times New Roman" w:eastAsia="Times New Roman" w:hAnsi="Times New Roman" w:cs="Times New Roman"/>
          <w:sz w:val="24"/>
          <w:szCs w:val="24"/>
          <w:lang w:eastAsia="ru-RU"/>
        </w:rPr>
        <w:t>328,6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15,0 тыс. руб.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4,8 % больше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плановая сумма поступления доходов составит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329,6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340,7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EC4E41" w:rsidRDefault="00BF3190" w:rsidP="002C5B9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составе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EC4E41" w:rsidRDefault="00EC4E41" w:rsidP="002C5B9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доходы, получаемые в виде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 сдачи в аренду  имущества, находящегося в оперативном  управлении администрации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5,0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4E41" w:rsidRDefault="00EC4E41" w:rsidP="002C5B9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доходы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320,0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C4E41" w:rsidRDefault="00EC4E41" w:rsidP="002C5B9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 , находящихся в собственности сельских поселений- 3,6 тыс. руб.</w:t>
      </w:r>
    </w:p>
    <w:p w:rsidR="00BF3190" w:rsidRPr="00CE37C2" w:rsidRDefault="00BF3190" w:rsidP="002C5B9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Доля неналоговых доходов в доходах бюджета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25,5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4,6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%,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23,6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77F28" w:rsidRDefault="00BF3190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3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  <w:r w:rsidRPr="00A3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 </w:t>
      </w:r>
      <w:r w:rsidR="00F53694" w:rsidRPr="00A3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A3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</w:t>
      </w:r>
      <w:r w:rsidR="00F922DD" w:rsidRPr="00A37E9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 w:rsidRPr="00A37E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в объеме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3600,8</w:t>
      </w:r>
      <w:r w:rsidRPr="00A3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977F28" w:rsidRPr="00A3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37,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977F28" w:rsidRPr="00A3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утвержденных показателей 2020 года.</w:t>
      </w:r>
    </w:p>
    <w:p w:rsidR="00977F28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 2022 год  поступление планируется в объеме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3289,5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91,4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уровню 2021 года, на 2023 год - в сумме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3128,5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( 95,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3190" w:rsidRPr="003B0526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доходах бюджета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82,1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71,7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69,1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F3190" w:rsidRPr="00383A97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3190" w:rsidRPr="00F11F4A" w:rsidRDefault="00BF3190" w:rsidP="007139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r w:rsidR="00B73202" w:rsidRPr="00EB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Большеабакасинского</w:t>
      </w:r>
      <w:r w:rsidR="00264EEE" w:rsidRPr="00EB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 w:rsidRPr="00EB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EB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9744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E9F" w:rsidRDefault="00A37E9F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2022 и 2023 годов</w:t>
      </w:r>
      <w:r w:rsid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47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Ибресинского района 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основных направлениях бюджетной политики 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Ибресинского района Чувашской Республики на 202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направлены на создание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E07A83" w:rsidRP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показателями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меньшатся на </w:t>
      </w:r>
      <w:r w:rsidR="009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2102,8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9744DC">
        <w:rPr>
          <w:rFonts w:ascii="Times New Roman" w:eastAsia="Times New Roman" w:hAnsi="Times New Roman" w:cs="Times New Roman"/>
          <w:sz w:val="24"/>
          <w:szCs w:val="24"/>
          <w:lang w:eastAsia="ru-RU"/>
        </w:rPr>
        <w:t>30,1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,и составят </w:t>
      </w:r>
      <w:r w:rsidR="009744DC">
        <w:rPr>
          <w:rFonts w:ascii="Times New Roman" w:eastAsia="Times New Roman" w:hAnsi="Times New Roman" w:cs="Times New Roman"/>
          <w:sz w:val="24"/>
          <w:szCs w:val="24"/>
          <w:lang w:eastAsia="ru-RU"/>
        </w:rPr>
        <w:t>4889,5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6759C">
        <w:rPr>
          <w:rFonts w:ascii="Times New Roman" w:eastAsia="Times New Roman" w:hAnsi="Times New Roman" w:cs="Times New Roman"/>
          <w:sz w:val="24"/>
          <w:szCs w:val="24"/>
          <w:lang w:eastAsia="ru-RU"/>
        </w:rPr>
        <w:t>5,3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56759C">
        <w:rPr>
          <w:rFonts w:ascii="Times New Roman" w:eastAsia="Times New Roman" w:hAnsi="Times New Roman" w:cs="Times New Roman"/>
          <w:sz w:val="24"/>
          <w:szCs w:val="24"/>
          <w:lang w:eastAsia="ru-RU"/>
        </w:rPr>
        <w:t>4628,1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меньшится  на </w:t>
      </w:r>
      <w:r w:rsidR="0056759C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состав</w:t>
      </w:r>
      <w:r w:rsidR="005675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6759C">
        <w:rPr>
          <w:rFonts w:ascii="Times New Roman" w:eastAsia="Times New Roman" w:hAnsi="Times New Roman" w:cs="Times New Roman"/>
          <w:sz w:val="24"/>
          <w:szCs w:val="24"/>
          <w:lang w:eastAsia="ru-RU"/>
        </w:rPr>
        <w:t>4570,8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D3C67" w:rsidRPr="00F11F4A" w:rsidRDefault="00DD3C67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2B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динамика расходов бюджета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 w:rsidRP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данными: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80" w:rsidRDefault="00763880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2553"/>
        <w:gridCol w:w="456"/>
        <w:gridCol w:w="1089"/>
        <w:gridCol w:w="876"/>
        <w:gridCol w:w="1136"/>
        <w:gridCol w:w="947"/>
        <w:gridCol w:w="895"/>
        <w:gridCol w:w="993"/>
        <w:gridCol w:w="992"/>
      </w:tblGrid>
      <w:tr w:rsidR="00763880" w:rsidRPr="00763880" w:rsidTr="009F632B">
        <w:trPr>
          <w:trHeight w:val="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  <w:r w:rsidRPr="009F632B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  <w:r w:rsidRPr="009F632B">
              <w:rPr>
                <w:rFonts w:ascii="Times New Roman" w:hAnsi="Times New Roman"/>
                <w:szCs w:val="20"/>
              </w:rPr>
              <w:t>РЗ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  <w:r w:rsidRPr="009F632B">
              <w:rPr>
                <w:rFonts w:ascii="Times New Roman" w:hAnsi="Times New Roman"/>
                <w:szCs w:val="20"/>
              </w:rPr>
              <w:t xml:space="preserve">2020 год (решен </w:t>
            </w:r>
            <w:r w:rsidR="009F632B">
              <w:rPr>
                <w:rFonts w:ascii="Times New Roman" w:hAnsi="Times New Roman"/>
                <w:szCs w:val="20"/>
              </w:rPr>
              <w:t xml:space="preserve">о </w:t>
            </w:r>
            <w:r w:rsidRPr="009F632B">
              <w:rPr>
                <w:rFonts w:ascii="Times New Roman" w:hAnsi="Times New Roman"/>
                <w:szCs w:val="20"/>
              </w:rPr>
              <w:t>бюджет), тыс. руб.</w:t>
            </w:r>
          </w:p>
        </w:tc>
        <w:tc>
          <w:tcPr>
            <w:tcW w:w="58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  <w:r w:rsidRPr="009F632B">
              <w:rPr>
                <w:rFonts w:ascii="Times New Roman" w:hAnsi="Times New Roman"/>
                <w:szCs w:val="20"/>
              </w:rPr>
              <w:t>Проект бюджета на:</w:t>
            </w:r>
          </w:p>
        </w:tc>
      </w:tr>
      <w:tr w:rsidR="00763880" w:rsidRPr="00763880" w:rsidTr="00711386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  <w:r w:rsidRPr="009F632B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  <w:r w:rsidRPr="009F632B">
              <w:rPr>
                <w:rFonts w:ascii="Times New Roman" w:hAnsi="Times New Roman"/>
                <w:szCs w:val="20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  <w:r w:rsidRPr="009F632B">
              <w:rPr>
                <w:rFonts w:ascii="Times New Roman" w:hAnsi="Times New Roman"/>
                <w:szCs w:val="20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  <w:r w:rsidRPr="009F632B">
              <w:rPr>
                <w:rFonts w:ascii="Times New Roman" w:hAnsi="Times New Roman"/>
                <w:szCs w:val="20"/>
              </w:rPr>
              <w:t>2023 год</w:t>
            </w:r>
          </w:p>
        </w:tc>
      </w:tr>
      <w:tr w:rsidR="00763880" w:rsidRPr="00763880" w:rsidTr="00711386">
        <w:trPr>
          <w:trHeight w:val="99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  <w:r w:rsidRPr="009F632B">
              <w:rPr>
                <w:rFonts w:ascii="Times New Roman" w:hAnsi="Times New Roman"/>
                <w:szCs w:val="20"/>
              </w:rPr>
              <w:t>Показатели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  <w:r w:rsidRPr="009F632B">
              <w:rPr>
                <w:rFonts w:ascii="Times New Roman" w:hAnsi="Times New Roman"/>
                <w:szCs w:val="20"/>
              </w:rPr>
              <w:t>сумма, тыс. 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9F632B" w:rsidRDefault="009F632B" w:rsidP="009F632B">
            <w:pPr>
              <w:pStyle w:val="ac"/>
              <w:rPr>
                <w:rFonts w:ascii="Times New Roman" w:hAnsi="Times New Roman"/>
                <w:szCs w:val="20"/>
              </w:rPr>
            </w:pPr>
            <w:r w:rsidRPr="009F632B">
              <w:rPr>
                <w:rFonts w:ascii="Times New Roman" w:hAnsi="Times New Roman"/>
                <w:szCs w:val="20"/>
              </w:rPr>
              <w:t>уд. вес (%)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  <w:r w:rsidRPr="009F632B">
              <w:rPr>
                <w:rFonts w:ascii="Times New Roman" w:hAnsi="Times New Roman"/>
                <w:szCs w:val="20"/>
              </w:rPr>
              <w:t>сумма, тыс. руб.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9F632B" w:rsidRDefault="009F632B" w:rsidP="009F632B">
            <w:pPr>
              <w:pStyle w:val="ac"/>
              <w:rPr>
                <w:rFonts w:ascii="Times New Roman" w:hAnsi="Times New Roman"/>
                <w:szCs w:val="20"/>
              </w:rPr>
            </w:pPr>
            <w:r w:rsidRPr="009F632B">
              <w:rPr>
                <w:rFonts w:ascii="Times New Roman" w:hAnsi="Times New Roman"/>
                <w:szCs w:val="20"/>
              </w:rPr>
              <w:t>уд. вес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9F632B" w:rsidRDefault="00763880" w:rsidP="009F632B">
            <w:pPr>
              <w:pStyle w:val="ac"/>
              <w:rPr>
                <w:rFonts w:ascii="Times New Roman" w:hAnsi="Times New Roman"/>
                <w:szCs w:val="20"/>
              </w:rPr>
            </w:pPr>
            <w:r w:rsidRPr="009F632B">
              <w:rPr>
                <w:rFonts w:ascii="Times New Roman" w:hAnsi="Times New Roman"/>
                <w:szCs w:val="20"/>
              </w:rPr>
              <w:t>сумма,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9F632B" w:rsidRDefault="009F632B" w:rsidP="009F632B">
            <w:pPr>
              <w:pStyle w:val="ac"/>
              <w:rPr>
                <w:rFonts w:ascii="Times New Roman" w:hAnsi="Times New Roman"/>
                <w:szCs w:val="20"/>
              </w:rPr>
            </w:pPr>
            <w:r w:rsidRPr="009F632B">
              <w:rPr>
                <w:rFonts w:ascii="Times New Roman" w:hAnsi="Times New Roman"/>
                <w:szCs w:val="20"/>
              </w:rPr>
              <w:t>уд. вес (%)</w:t>
            </w:r>
          </w:p>
        </w:tc>
      </w:tr>
      <w:tr w:rsidR="009F632B" w:rsidRPr="00763880" w:rsidTr="00711386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63880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9F632B">
              <w:rPr>
                <w:rFonts w:ascii="Times New Roman" w:hAnsi="Times New Roman"/>
                <w:b/>
                <w:sz w:val="20"/>
                <w:szCs w:val="20"/>
              </w:rPr>
              <w:t>7734,8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9F632B">
              <w:rPr>
                <w:rFonts w:ascii="Times New Roman" w:hAnsi="Times New Roman"/>
                <w:b/>
                <w:sz w:val="20"/>
                <w:szCs w:val="20"/>
              </w:rPr>
              <w:t>4889,5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9F632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9F632B">
              <w:rPr>
                <w:rFonts w:ascii="Times New Roman" w:hAnsi="Times New Roman"/>
                <w:b/>
                <w:sz w:val="20"/>
                <w:szCs w:val="20"/>
              </w:rPr>
              <w:t>4628,1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9F632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9F632B">
              <w:rPr>
                <w:rFonts w:ascii="Times New Roman" w:hAnsi="Times New Roman"/>
                <w:b/>
                <w:sz w:val="20"/>
                <w:szCs w:val="20"/>
              </w:rPr>
              <w:t>4570,8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9F632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9F632B" w:rsidRPr="00763880" w:rsidTr="00711386">
        <w:trPr>
          <w:trHeight w:val="26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63880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63,2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94,7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F632B" w:rsidRPr="00763880" w:rsidTr="00711386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63880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1191,9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1197,8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1197,8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</w:tr>
      <w:tr w:rsidR="009F632B" w:rsidRPr="00763880" w:rsidTr="00711386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11386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100,5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F632B" w:rsidRPr="00763880" w:rsidTr="00711386">
        <w:trPr>
          <w:trHeight w:val="3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63880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9F632B" w:rsidRPr="00763880" w:rsidTr="00711386">
        <w:trPr>
          <w:trHeight w:val="19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11386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115,1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102,0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F632B" w:rsidRPr="00763880" w:rsidTr="00711386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63880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F632B" w:rsidRPr="00763880" w:rsidTr="00711386">
        <w:trPr>
          <w:trHeight w:val="22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11386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F632B" w:rsidRPr="00763880" w:rsidTr="00711386">
        <w:trPr>
          <w:trHeight w:val="5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63880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2384,8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2229,0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2196,9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2281,3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</w:tr>
      <w:tr w:rsidR="009F632B" w:rsidRPr="00763880" w:rsidTr="00711386">
        <w:trPr>
          <w:trHeight w:val="16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11386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93,5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98,6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F632B" w:rsidRPr="00763880" w:rsidTr="00711386">
        <w:trPr>
          <w:trHeight w:val="29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63880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1812,1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9F632B" w:rsidRPr="00763880" w:rsidTr="00711386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11386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F632B" w:rsidRPr="00763880" w:rsidTr="00711386">
        <w:trPr>
          <w:trHeight w:val="3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63880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1225,5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901,3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</w:tr>
      <w:tr w:rsidR="009F632B" w:rsidRPr="00763880" w:rsidTr="00711386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11386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54,4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73,5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F632B" w:rsidRPr="00763880" w:rsidTr="00711386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63880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F632B" w:rsidRPr="00763880" w:rsidTr="00711386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11386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F632B" w:rsidRPr="00763880" w:rsidTr="00711386">
        <w:trPr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63880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F632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9F632B" w:rsidRPr="00763880" w:rsidTr="00711386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711386" w:rsidRDefault="009F632B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32B" w:rsidRPr="009F632B" w:rsidRDefault="009F632B" w:rsidP="009F632B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632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</w:tbl>
    <w:p w:rsidR="0076388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3190" w:rsidRDefault="00BF3190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71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увеличатся на </w:t>
      </w:r>
      <w:r w:rsidR="009F632B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9F632B">
        <w:rPr>
          <w:rFonts w:ascii="Times New Roman" w:eastAsia="Times New Roman" w:hAnsi="Times New Roman" w:cs="Times New Roman"/>
          <w:sz w:val="24"/>
          <w:szCs w:val="24"/>
          <w:lang w:eastAsia="ru-RU"/>
        </w:rPr>
        <w:t>1197,8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бюджета по данному разделу на плановый период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прогнозируются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</w:t>
      </w:r>
      <w:r w:rsidR="009F632B">
        <w:rPr>
          <w:rFonts w:ascii="Times New Roman" w:eastAsia="Times New Roman" w:hAnsi="Times New Roman" w:cs="Times New Roman"/>
          <w:sz w:val="24"/>
          <w:szCs w:val="24"/>
          <w:lang w:eastAsia="ru-RU"/>
        </w:rPr>
        <w:t>197,8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115C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32B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6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CD" w:rsidRDefault="008B68CD" w:rsidP="00115C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CD">
        <w:rPr>
          <w:rFonts w:ascii="Times New Roman" w:hAnsi="Times New Roman" w:cs="Times New Roman"/>
          <w:sz w:val="24"/>
          <w:szCs w:val="24"/>
        </w:rPr>
        <w:t>Расходы по п</w:t>
      </w:r>
      <w:r w:rsidRPr="008B68CD">
        <w:rPr>
          <w:rFonts w:ascii="Times New Roman" w:eastAsia="Calibri" w:hAnsi="Times New Roman" w:cs="Times New Roman"/>
          <w:sz w:val="24"/>
          <w:szCs w:val="24"/>
        </w:rPr>
        <w:t>одраздел</w:t>
      </w:r>
      <w:r w:rsidRPr="008B68CD">
        <w:rPr>
          <w:rFonts w:ascii="Times New Roman" w:hAnsi="Times New Roman" w:cs="Times New Roman"/>
          <w:sz w:val="24"/>
          <w:szCs w:val="24"/>
        </w:rPr>
        <w:t>у</w:t>
      </w:r>
      <w:r w:rsidRPr="008B68CD">
        <w:rPr>
          <w:rFonts w:ascii="Times New Roman" w:eastAsia="Calibri" w:hAnsi="Times New Roman" w:cs="Times New Roman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на 2021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-2023 годы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 по </w:t>
      </w:r>
      <w:r w:rsidR="007B15C1">
        <w:rPr>
          <w:rFonts w:ascii="Times New Roman" w:eastAsia="Calibri" w:hAnsi="Times New Roman" w:cs="Times New Roman"/>
          <w:sz w:val="24"/>
          <w:szCs w:val="24"/>
        </w:rPr>
        <w:t>9</w:t>
      </w:r>
      <w:r w:rsidR="009F632B">
        <w:rPr>
          <w:rFonts w:ascii="Times New Roman" w:eastAsia="Calibri" w:hAnsi="Times New Roman" w:cs="Times New Roman"/>
          <w:sz w:val="24"/>
          <w:szCs w:val="24"/>
        </w:rPr>
        <w:t>50,4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ежегодно.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5C1" w:rsidRDefault="008B68CD" w:rsidP="00115C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«Резервные фонды»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hAnsi="Times New Roman" w:cs="Times New Roman"/>
          <w:sz w:val="24"/>
          <w:szCs w:val="24"/>
        </w:rPr>
        <w:t>ассигнования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Согласно статье 81 Бюджетного кодекса Российской Федерации </w:t>
      </w:r>
      <w:bookmarkStart w:id="0" w:name="sub_812"/>
      <w:r w:rsidRPr="008B68CD">
        <w:rPr>
          <w:rFonts w:ascii="Times New Roman" w:eastAsia="Calibri" w:hAnsi="Times New Roman" w:cs="Times New Roman"/>
          <w:sz w:val="24"/>
          <w:szCs w:val="24"/>
        </w:rPr>
        <w:t>размер резервных фондов местных администраций  не может превышать 3 процента общего объема расходов бюджета.</w:t>
      </w:r>
      <w:bookmarkEnd w:id="0"/>
      <w:r w:rsidR="009F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В проекте решения на реализацию данной подпрограммы предусмотрены ассигнования на 2021 год в размере </w:t>
      </w:r>
      <w:r w:rsidR="009F632B">
        <w:rPr>
          <w:rFonts w:ascii="Times New Roman" w:eastAsia="Calibri" w:hAnsi="Times New Roman" w:cs="Times New Roman"/>
          <w:sz w:val="24"/>
          <w:szCs w:val="24"/>
        </w:rPr>
        <w:t>30</w:t>
      </w:r>
      <w:r w:rsidR="007B15C1">
        <w:rPr>
          <w:rFonts w:ascii="Times New Roman" w:eastAsia="Calibri" w:hAnsi="Times New Roman" w:cs="Times New Roman"/>
          <w:sz w:val="24"/>
          <w:szCs w:val="24"/>
        </w:rPr>
        <w:t>,0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B15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8CD" w:rsidRPr="008B68CD" w:rsidRDefault="007B15C1" w:rsidP="00D804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По подразделу</w:t>
      </w:r>
      <w:r w:rsidR="008B68CD" w:rsidRPr="008B68CD">
        <w:rPr>
          <w:rFonts w:ascii="Times New Roman" w:eastAsia="Calibri" w:hAnsi="Times New Roman" w:cs="Times New Roman"/>
          <w:b/>
          <w:sz w:val="24"/>
          <w:szCs w:val="24"/>
        </w:rPr>
        <w:t xml:space="preserve"> «Другие общегосударственные вопросы»</w:t>
      </w:r>
      <w:r w:rsidR="008B68CD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юджетные ас</w:t>
      </w:r>
      <w:r w:rsidR="008B68CD">
        <w:rPr>
          <w:rFonts w:ascii="Times New Roman" w:hAnsi="Times New Roman" w:cs="Times New Roman"/>
          <w:sz w:val="24"/>
          <w:szCs w:val="24"/>
        </w:rPr>
        <w:t xml:space="preserve">сигнования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предусмотрены на обеспечение реализации муниципальной программы  "Развитие потенциала муниципального управления" на содержание административно-хозяйственного персонала  на 2021 год в размере 2</w:t>
      </w:r>
      <w:r w:rsidR="009F632B">
        <w:rPr>
          <w:rFonts w:ascii="Times New Roman" w:eastAsia="Calibri" w:hAnsi="Times New Roman" w:cs="Times New Roman"/>
          <w:sz w:val="24"/>
          <w:szCs w:val="24"/>
        </w:rPr>
        <w:t>13,9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8B68CD">
        <w:rPr>
          <w:rFonts w:ascii="Times New Roman" w:hAnsi="Times New Roman" w:cs="Times New Roman"/>
          <w:sz w:val="24"/>
          <w:szCs w:val="24"/>
        </w:rPr>
        <w:t>,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9F632B">
        <w:rPr>
          <w:rFonts w:ascii="Times New Roman" w:eastAsia="Calibri" w:hAnsi="Times New Roman" w:cs="Times New Roman"/>
          <w:sz w:val="24"/>
          <w:szCs w:val="24"/>
        </w:rPr>
        <w:t>4,3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% от общей суммы прогнозируемых расходов</w:t>
      </w:r>
      <w:r w:rsidR="00115C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B68CD">
        <w:rPr>
          <w:rFonts w:ascii="Times New Roman" w:hAnsi="Times New Roman" w:cs="Times New Roman"/>
          <w:sz w:val="24"/>
          <w:szCs w:val="24"/>
        </w:rPr>
        <w:t>На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выполнение других обязательств муниципального образования </w:t>
      </w:r>
      <w:r w:rsidR="008B68CD">
        <w:rPr>
          <w:rFonts w:ascii="Times New Roman" w:hAnsi="Times New Roman" w:cs="Times New Roman"/>
          <w:sz w:val="24"/>
          <w:szCs w:val="24"/>
        </w:rPr>
        <w:t>(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оплату членского взноса в Совет муниципальных образований</w:t>
      </w:r>
      <w:r w:rsidR="008B68CD">
        <w:rPr>
          <w:rFonts w:ascii="Times New Roman" w:hAnsi="Times New Roman" w:cs="Times New Roman"/>
          <w:sz w:val="24"/>
          <w:szCs w:val="24"/>
        </w:rPr>
        <w:t>)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FE4FA6">
        <w:rPr>
          <w:rFonts w:ascii="Times New Roman" w:eastAsia="Calibri" w:hAnsi="Times New Roman" w:cs="Times New Roman"/>
          <w:sz w:val="24"/>
          <w:szCs w:val="24"/>
        </w:rPr>
        <w:t>-2023 годы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 xml:space="preserve">предусматриваются средства </w:t>
      </w:r>
      <w:r w:rsidR="00FE4FA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по 3,5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15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41AE" w:rsidRDefault="00BF3190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оборона»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"Управление общественными ф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инансами и муниципальным долгом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на финансовое обеспечение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делегированных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организации первичного воинского учета на территориях, где отсутствуют военные комиссариаты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сумме 103,6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B68CD">
        <w:rPr>
          <w:rFonts w:ascii="Times New Roman" w:hAnsi="Times New Roman" w:cs="Times New Roman"/>
          <w:sz w:val="24"/>
          <w:szCs w:val="24"/>
        </w:rPr>
        <w:t xml:space="preserve">.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г. составит </w:t>
      </w:r>
      <w:r w:rsidR="00115C3C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D80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1AE" w:rsidRDefault="00D441AE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расходы по разделу предусматриваются в сумме 105,7  тыс. рублей (102,0 % к 2021 году), на 2023 год – 110,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104,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предыдущему году.</w:t>
      </w:r>
    </w:p>
    <w:p w:rsidR="00F75E35" w:rsidRDefault="00F75E35" w:rsidP="00140681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0924A0" w:rsidRDefault="00D8044A" w:rsidP="00140681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="00BF3190" w:rsidRPr="0009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53D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расходы в рамках муниципальн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B353D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353D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56432" w:rsidRPr="000924A0">
        <w:rPr>
          <w:rFonts w:ascii="Times New Roman" w:eastAsia="Calibri" w:hAnsi="Times New Roman" w:cs="Times New Roman"/>
          <w:sz w:val="24"/>
          <w:szCs w:val="24"/>
        </w:rPr>
        <w:t>Безопасные и качественные автомобильные дороги" муниципальной программы "Развитие транспортной системы</w:t>
      </w:r>
      <w:r w:rsidR="000924A0" w:rsidRPr="000924A0">
        <w:rPr>
          <w:rFonts w:ascii="Times New Roman" w:eastAsia="Calibri" w:hAnsi="Times New Roman" w:cs="Times New Roman"/>
          <w:sz w:val="24"/>
          <w:szCs w:val="24"/>
        </w:rPr>
        <w:t>».</w:t>
      </w:r>
      <w:r w:rsidR="000924A0">
        <w:rPr>
          <w:rFonts w:ascii="Times New Roman" w:hAnsi="Times New Roman" w:cs="Times New Roman"/>
          <w:sz w:val="24"/>
          <w:szCs w:val="24"/>
        </w:rPr>
        <w:t xml:space="preserve">       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данному разделу в 2021 году составят 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2229,0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6,5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6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DA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на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4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2394,8</w:t>
      </w:r>
      <w:r w:rsidR="0034443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BF3190" w:rsidRDefault="00BF3190" w:rsidP="001406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по разделу предусматриваются в сумме 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2196,9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4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06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8,6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2021 году)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2281,3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1406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предыдущему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45,6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47,5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49,9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44437" w:rsidRDefault="00BF3190" w:rsidP="008E2A20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133,6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7,4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 уровню 202</w:t>
      </w:r>
      <w:r w:rsidR="00D441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1812,1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</w:t>
      </w:r>
    </w:p>
    <w:p w:rsidR="00BF3190" w:rsidRDefault="00344437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202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202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предусматриваются к выделению средства бюджета 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суммах 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133,6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129,2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соответственно.</w:t>
      </w:r>
    </w:p>
    <w:p w:rsidR="00BF3190" w:rsidRPr="00F11F4A" w:rsidRDefault="00136E68" w:rsidP="008E2A20">
      <w:pPr>
        <w:pBdr>
          <w:bottom w:val="single" w:sz="12" w:space="21" w:color="auto"/>
        </w:pBd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68">
        <w:rPr>
          <w:rFonts w:ascii="Times New Roman" w:hAnsi="Times New Roman" w:cs="Times New Roman"/>
          <w:sz w:val="24"/>
          <w:szCs w:val="24"/>
        </w:rPr>
        <w:t xml:space="preserve">Бюджетные ассигнования по данному подразделу предусмотрены на реализацию  муниципальной программы "Модернизация и развитие сферы жилищно-коммунального </w:t>
      </w:r>
      <w:r w:rsidR="00BA0E35">
        <w:rPr>
          <w:rFonts w:ascii="Times New Roman" w:hAnsi="Times New Roman" w:cs="Times New Roman"/>
          <w:sz w:val="24"/>
          <w:szCs w:val="24"/>
        </w:rPr>
        <w:t xml:space="preserve">хозяйства.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</w:t>
      </w:r>
      <w:r w:rsidR="00D4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FE4FA6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0561B" w:rsidRDefault="00BF3190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40561B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п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редусмот</w:t>
      </w:r>
      <w:r w:rsidR="0040561B">
        <w:rPr>
          <w:rFonts w:ascii="Times New Roman" w:hAnsi="Times New Roman" w:cs="Times New Roman"/>
          <w:sz w:val="24"/>
          <w:szCs w:val="24"/>
        </w:rPr>
        <w:t>-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рены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на  реализацию подпрограммы "Развитие культуры" муниципальной программы "Развитие культуры и туризма"</w:t>
      </w:r>
      <w:r w:rsidR="00FE4FA6">
        <w:rPr>
          <w:rFonts w:ascii="Times New Roman" w:hAnsi="Times New Roman" w:cs="Times New Roman"/>
          <w:sz w:val="24"/>
          <w:szCs w:val="24"/>
        </w:rPr>
        <w:t xml:space="preserve"> и муниципальной программы "  Повышение безопасности жизнедеятельности </w:t>
      </w:r>
      <w:r w:rsidR="00194A9E">
        <w:rPr>
          <w:rFonts w:ascii="Times New Roman" w:hAnsi="Times New Roman" w:cs="Times New Roman"/>
          <w:sz w:val="24"/>
          <w:szCs w:val="24"/>
        </w:rPr>
        <w:t xml:space="preserve"> населения."</w:t>
      </w:r>
      <w:r w:rsidR="00A175B4">
        <w:rPr>
          <w:rFonts w:ascii="Times New Roman" w:hAnsi="Times New Roman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На </w:t>
      </w:r>
      <w:r w:rsidR="00194A9E">
        <w:rPr>
          <w:rFonts w:ascii="Times New Roman" w:hAnsi="Times New Roman" w:cs="Times New Roman"/>
          <w:sz w:val="24"/>
          <w:szCs w:val="24"/>
        </w:rPr>
        <w:t xml:space="preserve">реализацию программ  и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учреждений в сфере культурно - </w:t>
      </w:r>
      <w:proofErr w:type="spellStart"/>
      <w:r w:rsidR="0040561B" w:rsidRPr="00D441AE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="00A175B4" w:rsidRPr="00D441AE">
        <w:rPr>
          <w:rFonts w:ascii="Calibri" w:eastAsia="Calibri" w:hAnsi="Calibri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>на 202</w:t>
      </w:r>
      <w:r w:rsidR="00A175B4" w:rsidRPr="00D441AE">
        <w:rPr>
          <w:rFonts w:ascii="Times New Roman" w:hAnsi="Times New Roman" w:cs="Times New Roman"/>
          <w:sz w:val="24"/>
          <w:szCs w:val="24"/>
        </w:rPr>
        <w:t>1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год предусмотрены  ассигнования в сумме </w:t>
      </w:r>
      <w:r w:rsidR="00194A9E">
        <w:rPr>
          <w:rFonts w:ascii="Times New Roman" w:hAnsi="Times New Roman" w:cs="Times New Roman"/>
          <w:sz w:val="24"/>
          <w:szCs w:val="24"/>
        </w:rPr>
        <w:t>1225,5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тыс.  рублей.</w:t>
      </w:r>
      <w:r w:rsidR="00BA0E35">
        <w:rPr>
          <w:rFonts w:ascii="Times New Roman" w:hAnsi="Times New Roman" w:cs="Times New Roman"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sz w:val="24"/>
          <w:szCs w:val="24"/>
        </w:rPr>
        <w:t>По сравнению с предшествующим годом (</w:t>
      </w:r>
      <w:r w:rsidR="00194A9E">
        <w:rPr>
          <w:rFonts w:ascii="Times New Roman" w:hAnsi="Times New Roman" w:cs="Times New Roman"/>
          <w:sz w:val="24"/>
          <w:szCs w:val="24"/>
        </w:rPr>
        <w:t>2254,0</w:t>
      </w:r>
      <w:r w:rsidR="0040561B">
        <w:rPr>
          <w:rFonts w:ascii="Times New Roman" w:hAnsi="Times New Roman" w:cs="Times New Roman"/>
          <w:sz w:val="24"/>
          <w:szCs w:val="24"/>
        </w:rPr>
        <w:t xml:space="preserve"> тыс. руб.) расходы  202</w:t>
      </w:r>
      <w:r w:rsidR="00A175B4">
        <w:rPr>
          <w:rFonts w:ascii="Times New Roman" w:hAnsi="Times New Roman" w:cs="Times New Roman"/>
          <w:sz w:val="24"/>
          <w:szCs w:val="24"/>
        </w:rPr>
        <w:t>1</w:t>
      </w:r>
      <w:r w:rsidR="0040561B">
        <w:rPr>
          <w:rFonts w:ascii="Times New Roman" w:hAnsi="Times New Roman" w:cs="Times New Roman"/>
          <w:sz w:val="24"/>
          <w:szCs w:val="24"/>
        </w:rPr>
        <w:t xml:space="preserve"> года запланированы с</w:t>
      </w:r>
      <w:r w:rsidR="00D441AE">
        <w:rPr>
          <w:rFonts w:ascii="Times New Roman" w:hAnsi="Times New Roman" w:cs="Times New Roman"/>
          <w:sz w:val="24"/>
          <w:szCs w:val="24"/>
        </w:rPr>
        <w:t xml:space="preserve">о снижением </w:t>
      </w:r>
      <w:r w:rsidR="0040561B">
        <w:rPr>
          <w:rFonts w:ascii="Times New Roman" w:hAnsi="Times New Roman" w:cs="Times New Roman"/>
          <w:sz w:val="24"/>
          <w:szCs w:val="24"/>
        </w:rPr>
        <w:t xml:space="preserve">на </w:t>
      </w:r>
      <w:r w:rsidR="00D441AE">
        <w:rPr>
          <w:rFonts w:ascii="Times New Roman" w:hAnsi="Times New Roman" w:cs="Times New Roman"/>
          <w:sz w:val="24"/>
          <w:szCs w:val="24"/>
        </w:rPr>
        <w:t>45,</w:t>
      </w:r>
      <w:r w:rsidR="00194A9E">
        <w:rPr>
          <w:rFonts w:ascii="Times New Roman" w:hAnsi="Times New Roman" w:cs="Times New Roman"/>
          <w:sz w:val="24"/>
          <w:szCs w:val="24"/>
        </w:rPr>
        <w:t>6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A175B4">
        <w:rPr>
          <w:rFonts w:ascii="Times New Roman" w:hAnsi="Times New Roman" w:cs="Times New Roman"/>
          <w:sz w:val="24"/>
          <w:szCs w:val="24"/>
        </w:rPr>
        <w:t>%.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B" w:rsidRDefault="0040561B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A175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сумма выделяемых средств  состав</w:t>
      </w:r>
      <w:r w:rsidR="00194A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194A9E">
        <w:rPr>
          <w:rFonts w:ascii="Times New Roman" w:hAnsi="Times New Roman" w:cs="Times New Roman"/>
          <w:sz w:val="24"/>
          <w:szCs w:val="24"/>
        </w:rPr>
        <w:t>901,3</w:t>
      </w:r>
      <w:r w:rsidRPr="0040561B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A175B4">
        <w:rPr>
          <w:rFonts w:ascii="Times New Roman" w:hAnsi="Times New Roman" w:cs="Times New Roman"/>
          <w:sz w:val="24"/>
          <w:szCs w:val="24"/>
        </w:rPr>
        <w:t>3</w:t>
      </w:r>
      <w:r w:rsidRPr="0040561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94A9E">
        <w:rPr>
          <w:rFonts w:ascii="Times New Roman" w:hAnsi="Times New Roman" w:cs="Times New Roman"/>
          <w:sz w:val="24"/>
          <w:szCs w:val="24"/>
        </w:rPr>
        <w:t>669,5</w:t>
      </w:r>
      <w:r w:rsidRPr="004056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AE" w:rsidRDefault="0040561B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разделу в общем объеме расходов на 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94A9E">
        <w:rPr>
          <w:rFonts w:ascii="Times New Roman" w:hAnsi="Times New Roman" w:cs="Times New Roman"/>
          <w:sz w:val="24"/>
          <w:szCs w:val="24"/>
        </w:rPr>
        <w:t>25,1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 w:rsidR="00D441A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</w:p>
    <w:p w:rsidR="0078713E" w:rsidRDefault="00511C71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</w:t>
      </w:r>
      <w:r w:rsidR="00BF3190" w:rsidRPr="0051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утверждаемых расходов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в сумме 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>92,8</w:t>
      </w:r>
      <w:r w:rsidR="000565CF" w:rsidRPr="00B57FE9">
        <w:rPr>
          <w:sz w:val="24"/>
          <w:szCs w:val="24"/>
        </w:rPr>
        <w:t xml:space="preserve">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целевое назначение), на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>182,6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07985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объема расходов бюджета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96" w:rsidRP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объемы  условно утверждаемых расходов соответствуют требованиям ст.184.1 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(без учета расходов бюджета, предусмотренных за счет межбюджетных трансфертов из других бюджетов бюджетной системы,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B7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B6A2D" w:rsidRDefault="0078713E" w:rsidP="00EB6A2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решения бюджета </w:t>
      </w:r>
      <w:r w:rsidR="00B7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13E" w:rsidRPr="00EB6A2D" w:rsidRDefault="0078713E" w:rsidP="00EB6A2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6A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BF3190" w:rsidRPr="00EB6A2D">
        <w:rPr>
          <w:rFonts w:ascii="Times New Roman" w:hAnsi="Times New Roman" w:cs="Times New Roman"/>
          <w:b/>
          <w:sz w:val="24"/>
          <w:szCs w:val="24"/>
          <w:lang w:eastAsia="ru-RU"/>
        </w:rPr>
        <w:t>Выводы и предложения</w:t>
      </w:r>
    </w:p>
    <w:p w:rsidR="0078713E" w:rsidRPr="00EB6A2D" w:rsidRDefault="00EB6A2D" w:rsidP="00EB6A2D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2D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1.</w:t>
      </w:r>
      <w:r w:rsidR="0078713E" w:rsidRPr="00EB6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B73202" w:rsidRPr="00EB6A2D">
        <w:rPr>
          <w:rFonts w:ascii="Times New Roman" w:hAnsi="Times New Roman"/>
          <w:sz w:val="24"/>
          <w:szCs w:val="24"/>
          <w:lang w:eastAsia="ru-RU"/>
        </w:rPr>
        <w:t>Большеабакасинского</w:t>
      </w:r>
      <w:r w:rsidR="00264EEE" w:rsidRPr="00EB6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0C6D" w:rsidRPr="00EB6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F53694" w:rsidRPr="00EB6A2D"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  </w:t>
      </w:r>
      <w:r w:rsidR="00F75E35" w:rsidRPr="00EB6A2D">
        <w:rPr>
          <w:rFonts w:ascii="Times New Roman" w:hAnsi="Times New Roman"/>
          <w:sz w:val="24"/>
          <w:szCs w:val="24"/>
          <w:lang w:eastAsia="ru-RU"/>
        </w:rPr>
        <w:t xml:space="preserve">в целом,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>соответствует требованиям статьи 3</w:t>
      </w:r>
      <w:r w:rsidR="009A1C28" w:rsidRPr="00EB6A2D">
        <w:rPr>
          <w:rFonts w:ascii="Times New Roman" w:hAnsi="Times New Roman"/>
          <w:sz w:val="24"/>
          <w:szCs w:val="24"/>
          <w:lang w:eastAsia="ru-RU"/>
        </w:rPr>
        <w:t>4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B73202" w:rsidRPr="00EB6A2D">
        <w:rPr>
          <w:rFonts w:ascii="Times New Roman" w:hAnsi="Times New Roman"/>
          <w:sz w:val="24"/>
          <w:szCs w:val="24"/>
          <w:lang w:eastAsia="ru-RU"/>
        </w:rPr>
        <w:t>Большеабакасинском</w:t>
      </w:r>
      <w:proofErr w:type="spellEnd"/>
      <w:r w:rsidR="00264EEE" w:rsidRPr="00EB6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0C6D" w:rsidRPr="00EB6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сельском поселении </w:t>
      </w:r>
      <w:r w:rsidR="00F53694" w:rsidRPr="00EB6A2D"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Республики».</w:t>
      </w:r>
      <w:r w:rsidR="00F75E35" w:rsidRPr="00EB6A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B6A2D" w:rsidRPr="00EB6A2D" w:rsidRDefault="00EB6A2D" w:rsidP="00EB6A2D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2.</w:t>
      </w:r>
      <w:r w:rsidR="0078713E" w:rsidRPr="00EB6A2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Состав показателей, представленных для рассмотрения  и утверждения  в проекте решения </w:t>
      </w:r>
      <w:r w:rsidR="00A175B4" w:rsidRPr="00EB6A2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>соответствует требованиям статьи 3</w:t>
      </w:r>
      <w:r w:rsidR="009A1C28" w:rsidRPr="00EB6A2D">
        <w:rPr>
          <w:rFonts w:ascii="Times New Roman" w:hAnsi="Times New Roman"/>
          <w:sz w:val="24"/>
          <w:szCs w:val="24"/>
          <w:lang w:eastAsia="ru-RU"/>
        </w:rPr>
        <w:t>3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B73202" w:rsidRPr="00EB6A2D">
        <w:rPr>
          <w:rFonts w:ascii="Times New Roman" w:hAnsi="Times New Roman"/>
          <w:sz w:val="24"/>
          <w:szCs w:val="24"/>
          <w:lang w:eastAsia="ru-RU"/>
        </w:rPr>
        <w:t>Большеабакасинском</w:t>
      </w:r>
      <w:proofErr w:type="spellEnd"/>
      <w:r w:rsidR="00264EEE" w:rsidRPr="00EB6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</w:t>
      </w:r>
      <w:r w:rsidR="00F53694" w:rsidRPr="00EB6A2D"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Республики».  </w:t>
      </w:r>
    </w:p>
    <w:p w:rsidR="00EB6A2D" w:rsidRPr="00EB6A2D" w:rsidRDefault="00EB6A2D" w:rsidP="00EB6A2D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78713E" w:rsidRPr="00EB6A2D">
        <w:rPr>
          <w:rFonts w:ascii="Times New Roman" w:hAnsi="Times New Roman"/>
          <w:sz w:val="24"/>
          <w:szCs w:val="24"/>
          <w:lang w:eastAsia="ru-RU"/>
        </w:rPr>
        <w:t>3. Проектом решения предлагается утвердить:</w:t>
      </w:r>
    </w:p>
    <w:p w:rsidR="00EB6A2D" w:rsidRPr="00EB6A2D" w:rsidRDefault="00EB6A2D" w:rsidP="00EB6A2D">
      <w:pPr>
        <w:pStyle w:val="ac"/>
        <w:spacing w:before="2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-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доходы бюджета </w:t>
      </w:r>
      <w:r w:rsidR="00B73202" w:rsidRPr="00EB6A2D">
        <w:rPr>
          <w:rFonts w:ascii="Times New Roman" w:hAnsi="Times New Roman"/>
          <w:sz w:val="24"/>
          <w:szCs w:val="24"/>
          <w:lang w:eastAsia="ru-RU"/>
        </w:rPr>
        <w:t>Большеабакасинского</w:t>
      </w:r>
      <w:r w:rsidR="00264EEE" w:rsidRPr="00EB6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0C6D" w:rsidRPr="00EB6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F53694" w:rsidRPr="00EB6A2D"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на </w:t>
      </w:r>
      <w:r w:rsidR="00F922DD" w:rsidRPr="00EB6A2D">
        <w:rPr>
          <w:rFonts w:ascii="Times New Roman" w:hAnsi="Times New Roman"/>
          <w:sz w:val="24"/>
          <w:szCs w:val="24"/>
          <w:lang w:eastAsia="ru-RU"/>
        </w:rPr>
        <w:t>202</w:t>
      </w:r>
      <w:r w:rsidR="00615956" w:rsidRPr="00EB6A2D">
        <w:rPr>
          <w:rFonts w:ascii="Times New Roman" w:hAnsi="Times New Roman"/>
          <w:sz w:val="24"/>
          <w:szCs w:val="24"/>
          <w:lang w:eastAsia="ru-RU"/>
        </w:rPr>
        <w:t>1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год сумме </w:t>
      </w:r>
      <w:r w:rsidR="00023A9C" w:rsidRPr="00EB6A2D">
        <w:rPr>
          <w:rFonts w:ascii="Times New Roman" w:hAnsi="Times New Roman"/>
          <w:sz w:val="24"/>
          <w:szCs w:val="24"/>
          <w:lang w:eastAsia="ru-RU"/>
        </w:rPr>
        <w:t xml:space="preserve"> 4889,5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B357C3" w:rsidRPr="00EB6A2D">
        <w:rPr>
          <w:rFonts w:ascii="Times New Roman" w:hAnsi="Times New Roman"/>
          <w:sz w:val="24"/>
          <w:szCs w:val="24"/>
          <w:lang w:eastAsia="ru-RU"/>
        </w:rPr>
        <w:t xml:space="preserve">, на </w:t>
      </w:r>
      <w:r w:rsidR="00F922DD" w:rsidRPr="00EB6A2D">
        <w:rPr>
          <w:rFonts w:ascii="Times New Roman" w:hAnsi="Times New Roman"/>
          <w:sz w:val="24"/>
          <w:szCs w:val="24"/>
          <w:lang w:eastAsia="ru-RU"/>
        </w:rPr>
        <w:t>202</w:t>
      </w:r>
      <w:r w:rsidR="00615956" w:rsidRPr="00EB6A2D">
        <w:rPr>
          <w:rFonts w:ascii="Times New Roman" w:hAnsi="Times New Roman"/>
          <w:sz w:val="24"/>
          <w:szCs w:val="24"/>
          <w:lang w:eastAsia="ru-RU"/>
        </w:rPr>
        <w:t>2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год –</w:t>
      </w:r>
      <w:r w:rsidR="00023A9C" w:rsidRPr="00EB6A2D">
        <w:rPr>
          <w:rFonts w:ascii="Times New Roman" w:hAnsi="Times New Roman"/>
          <w:sz w:val="24"/>
          <w:szCs w:val="24"/>
          <w:lang w:eastAsia="ru-RU"/>
        </w:rPr>
        <w:t>4628,1</w:t>
      </w:r>
      <w:r w:rsidR="00B357C3" w:rsidRPr="00EB6A2D">
        <w:rPr>
          <w:rFonts w:ascii="Times New Roman" w:hAnsi="Times New Roman"/>
          <w:sz w:val="24"/>
          <w:szCs w:val="24"/>
          <w:lang w:eastAsia="ru-RU"/>
        </w:rPr>
        <w:t xml:space="preserve"> тыс. рублей, на </w:t>
      </w:r>
      <w:r w:rsidR="00F922DD" w:rsidRPr="00EB6A2D">
        <w:rPr>
          <w:rFonts w:ascii="Times New Roman" w:hAnsi="Times New Roman"/>
          <w:sz w:val="24"/>
          <w:szCs w:val="24"/>
          <w:lang w:eastAsia="ru-RU"/>
        </w:rPr>
        <w:t>202</w:t>
      </w:r>
      <w:r w:rsidR="00615956" w:rsidRPr="00EB6A2D">
        <w:rPr>
          <w:rFonts w:ascii="Times New Roman" w:hAnsi="Times New Roman"/>
          <w:sz w:val="24"/>
          <w:szCs w:val="24"/>
          <w:lang w:eastAsia="ru-RU"/>
        </w:rPr>
        <w:t>3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год –</w:t>
      </w:r>
      <w:r w:rsidR="00023A9C" w:rsidRPr="00EB6A2D">
        <w:rPr>
          <w:rFonts w:ascii="Times New Roman" w:hAnsi="Times New Roman"/>
          <w:sz w:val="24"/>
          <w:szCs w:val="24"/>
          <w:lang w:eastAsia="ru-RU"/>
        </w:rPr>
        <w:t xml:space="preserve">4570,8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тыс. рублей; </w:t>
      </w:r>
    </w:p>
    <w:p w:rsidR="00EB6A2D" w:rsidRPr="00EB6A2D" w:rsidRDefault="00BF3190" w:rsidP="00EB6A2D">
      <w:pPr>
        <w:pStyle w:val="ac"/>
        <w:spacing w:befor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6A2D">
        <w:rPr>
          <w:rFonts w:ascii="Times New Roman" w:hAnsi="Times New Roman"/>
          <w:sz w:val="24"/>
          <w:szCs w:val="24"/>
          <w:lang w:eastAsia="ru-RU"/>
        </w:rPr>
        <w:t xml:space="preserve">        - </w:t>
      </w:r>
      <w:r w:rsidRPr="00EB6A2D">
        <w:rPr>
          <w:rFonts w:ascii="Times New Roman" w:hAnsi="Times New Roman"/>
          <w:sz w:val="24"/>
          <w:szCs w:val="24"/>
          <w:lang w:eastAsia="ru-RU"/>
        </w:rPr>
        <w:t xml:space="preserve">расходы бюджета </w:t>
      </w:r>
      <w:r w:rsidR="00023A9C" w:rsidRPr="00EB6A2D">
        <w:rPr>
          <w:rFonts w:ascii="Times New Roman" w:hAnsi="Times New Roman"/>
          <w:sz w:val="24"/>
          <w:szCs w:val="24"/>
          <w:lang w:eastAsia="ru-RU"/>
        </w:rPr>
        <w:t>на 2021 год сумме  4889,5тыс. рублей, на 2022 год –4628,1 тыс. рублей, на 2023 год –4570,8 тыс. рублей</w:t>
      </w:r>
      <w:r w:rsidR="004219FB" w:rsidRPr="00EB6A2D">
        <w:rPr>
          <w:rFonts w:ascii="Times New Roman" w:hAnsi="Times New Roman"/>
          <w:sz w:val="24"/>
          <w:szCs w:val="24"/>
          <w:lang w:eastAsia="ru-RU"/>
        </w:rPr>
        <w:t>;</w:t>
      </w:r>
    </w:p>
    <w:p w:rsidR="00EB6A2D" w:rsidRPr="00EB6A2D" w:rsidRDefault="00EB6A2D" w:rsidP="00EB6A2D">
      <w:pPr>
        <w:pStyle w:val="ac"/>
        <w:spacing w:befor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-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>усл</w:t>
      </w:r>
      <w:r w:rsidR="00B357C3" w:rsidRPr="00EB6A2D">
        <w:rPr>
          <w:rFonts w:ascii="Times New Roman" w:hAnsi="Times New Roman"/>
          <w:sz w:val="24"/>
          <w:szCs w:val="24"/>
          <w:lang w:eastAsia="ru-RU"/>
        </w:rPr>
        <w:t xml:space="preserve">овно утвержденные расходы на </w:t>
      </w:r>
      <w:r w:rsidR="00F922DD" w:rsidRPr="00EB6A2D">
        <w:rPr>
          <w:rFonts w:ascii="Times New Roman" w:hAnsi="Times New Roman"/>
          <w:sz w:val="24"/>
          <w:szCs w:val="24"/>
          <w:lang w:eastAsia="ru-RU"/>
        </w:rPr>
        <w:t>202</w:t>
      </w:r>
      <w:r w:rsidR="00615956" w:rsidRPr="00EB6A2D">
        <w:rPr>
          <w:rFonts w:ascii="Times New Roman" w:hAnsi="Times New Roman"/>
          <w:sz w:val="24"/>
          <w:szCs w:val="24"/>
          <w:lang w:eastAsia="ru-RU"/>
        </w:rPr>
        <w:t>2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023A9C" w:rsidRPr="00EB6A2D">
        <w:rPr>
          <w:rFonts w:ascii="Times New Roman" w:hAnsi="Times New Roman"/>
          <w:sz w:val="24"/>
          <w:szCs w:val="24"/>
          <w:lang w:eastAsia="ru-RU"/>
        </w:rPr>
        <w:t>92,8</w:t>
      </w:r>
      <w:r w:rsidR="00615956" w:rsidRPr="00EB6A2D">
        <w:rPr>
          <w:rFonts w:ascii="Times New Roman" w:hAnsi="Times New Roman"/>
          <w:sz w:val="24"/>
          <w:szCs w:val="24"/>
        </w:rPr>
        <w:t xml:space="preserve">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тыс. рублей, </w:t>
      </w:r>
      <w:r w:rsidR="00B357C3" w:rsidRPr="00EB6A2D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922DD" w:rsidRPr="00EB6A2D">
        <w:rPr>
          <w:rFonts w:ascii="Times New Roman" w:hAnsi="Times New Roman"/>
          <w:sz w:val="24"/>
          <w:szCs w:val="24"/>
          <w:lang w:eastAsia="ru-RU"/>
        </w:rPr>
        <w:t>202</w:t>
      </w:r>
      <w:r w:rsidR="00615956" w:rsidRPr="00EB6A2D">
        <w:rPr>
          <w:rFonts w:ascii="Times New Roman" w:hAnsi="Times New Roman"/>
          <w:sz w:val="24"/>
          <w:szCs w:val="24"/>
          <w:lang w:eastAsia="ru-RU"/>
        </w:rPr>
        <w:t>3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023A9C" w:rsidRPr="00EB6A2D">
        <w:rPr>
          <w:rFonts w:ascii="Times New Roman" w:hAnsi="Times New Roman"/>
          <w:sz w:val="24"/>
          <w:szCs w:val="24"/>
          <w:lang w:eastAsia="ru-RU"/>
        </w:rPr>
        <w:t>182,6</w:t>
      </w:r>
      <w:r w:rsidR="00615956" w:rsidRPr="00EB6A2D">
        <w:rPr>
          <w:rFonts w:ascii="Times New Roman" w:hAnsi="Times New Roman"/>
          <w:sz w:val="24"/>
          <w:szCs w:val="24"/>
        </w:rPr>
        <w:t xml:space="preserve">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EB6A2D" w:rsidRPr="00EB6A2D" w:rsidRDefault="00EB6A2D" w:rsidP="00EB6A2D">
      <w:pPr>
        <w:pStyle w:val="ac"/>
        <w:spacing w:befor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-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дефицит бюджета на </w:t>
      </w:r>
      <w:r w:rsidR="00F922DD" w:rsidRPr="00EB6A2D">
        <w:rPr>
          <w:rFonts w:ascii="Times New Roman" w:hAnsi="Times New Roman"/>
          <w:sz w:val="24"/>
          <w:szCs w:val="24"/>
          <w:lang w:eastAsia="ru-RU"/>
        </w:rPr>
        <w:t>202</w:t>
      </w:r>
      <w:r w:rsidR="00615956" w:rsidRPr="00EB6A2D">
        <w:rPr>
          <w:rFonts w:ascii="Times New Roman" w:hAnsi="Times New Roman"/>
          <w:sz w:val="24"/>
          <w:szCs w:val="24"/>
          <w:lang w:eastAsia="ru-RU"/>
        </w:rPr>
        <w:t>1</w:t>
      </w:r>
      <w:r w:rsidR="00B357C3" w:rsidRPr="00EB6A2D">
        <w:rPr>
          <w:rFonts w:ascii="Times New Roman" w:hAnsi="Times New Roman"/>
          <w:sz w:val="24"/>
          <w:szCs w:val="24"/>
          <w:lang w:eastAsia="ru-RU"/>
        </w:rPr>
        <w:t>-</w:t>
      </w:r>
      <w:r w:rsidR="00F922DD" w:rsidRPr="00EB6A2D">
        <w:rPr>
          <w:rFonts w:ascii="Times New Roman" w:hAnsi="Times New Roman"/>
          <w:sz w:val="24"/>
          <w:szCs w:val="24"/>
          <w:lang w:eastAsia="ru-RU"/>
        </w:rPr>
        <w:t>202</w:t>
      </w:r>
      <w:r w:rsidR="00615956" w:rsidRPr="00EB6A2D">
        <w:rPr>
          <w:rFonts w:ascii="Times New Roman" w:hAnsi="Times New Roman"/>
          <w:sz w:val="24"/>
          <w:szCs w:val="24"/>
          <w:lang w:eastAsia="ru-RU"/>
        </w:rPr>
        <w:t>3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годы  составит  – 0,0 тыс. рублей.</w:t>
      </w:r>
    </w:p>
    <w:p w:rsidR="00EB6A2D" w:rsidRPr="00EB6A2D" w:rsidRDefault="00EB6A2D" w:rsidP="00EB6A2D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Контрольно-счетный орган </w:t>
      </w:r>
      <w:r w:rsidR="00F53694" w:rsidRPr="00EB6A2D"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D63A98" w:rsidRPr="00EB6A2D">
        <w:rPr>
          <w:rFonts w:ascii="Times New Roman" w:hAnsi="Times New Roman"/>
          <w:sz w:val="24"/>
          <w:szCs w:val="24"/>
          <w:lang w:eastAsia="ru-RU"/>
        </w:rPr>
        <w:t>считает, что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проект бюджета </w:t>
      </w:r>
      <w:r w:rsidR="00B73202" w:rsidRPr="00EB6A2D">
        <w:rPr>
          <w:rFonts w:ascii="Times New Roman" w:hAnsi="Times New Roman"/>
          <w:sz w:val="24"/>
          <w:szCs w:val="24"/>
          <w:lang w:eastAsia="ru-RU"/>
        </w:rPr>
        <w:t>Большеабакасинского</w:t>
      </w:r>
      <w:r w:rsidR="00264EEE" w:rsidRPr="00EB6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0C6D" w:rsidRPr="00EB6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F53694" w:rsidRPr="00EB6A2D"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района на </w:t>
      </w:r>
      <w:r w:rsidR="004C39AC" w:rsidRPr="00EB6A2D">
        <w:rPr>
          <w:rFonts w:ascii="Times New Roman" w:hAnsi="Times New Roman"/>
          <w:sz w:val="24"/>
          <w:szCs w:val="24"/>
          <w:lang w:eastAsia="ru-RU"/>
        </w:rPr>
        <w:t>2021 год и на плановый период 2022 и 2023 годов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может быть рассмотрен </w:t>
      </w:r>
      <w:r w:rsidR="00BF3190" w:rsidRPr="00EB6A2D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="00BF3190" w:rsidRPr="00EB6A2D">
        <w:rPr>
          <w:rFonts w:ascii="Times New Roman" w:hAnsi="Times New Roman"/>
          <w:sz w:val="24"/>
          <w:szCs w:val="24"/>
          <w:lang w:eastAsia="ru-RU"/>
        </w:rPr>
        <w:t>обранием</w:t>
      </w:r>
      <w:proofErr w:type="spellEnd"/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 депутатов </w:t>
      </w:r>
      <w:r w:rsidR="00B73202" w:rsidRPr="00EB6A2D">
        <w:rPr>
          <w:rFonts w:ascii="Times New Roman" w:hAnsi="Times New Roman"/>
          <w:sz w:val="24"/>
          <w:szCs w:val="24"/>
          <w:lang w:eastAsia="ru-RU"/>
        </w:rPr>
        <w:t>Большеабакасинского</w:t>
      </w:r>
      <w:r w:rsidR="00264EEE" w:rsidRPr="00EB6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0C6D" w:rsidRPr="00EB6A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F53694" w:rsidRPr="00EB6A2D"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D63A98" w:rsidRPr="00EB6A2D">
        <w:rPr>
          <w:rFonts w:ascii="Times New Roman" w:hAnsi="Times New Roman"/>
          <w:sz w:val="24"/>
          <w:szCs w:val="24"/>
          <w:lang w:eastAsia="ru-RU"/>
        </w:rPr>
        <w:t xml:space="preserve"> и принят </w:t>
      </w:r>
      <w:r w:rsidR="00BF3190" w:rsidRPr="00EB6A2D">
        <w:rPr>
          <w:rFonts w:ascii="Times New Roman" w:hAnsi="Times New Roman"/>
          <w:sz w:val="24"/>
          <w:szCs w:val="24"/>
          <w:lang w:eastAsia="ru-RU"/>
        </w:rPr>
        <w:t xml:space="preserve"> в установленном порядке.  </w:t>
      </w:r>
    </w:p>
    <w:p w:rsidR="00BF3190" w:rsidRDefault="00BF3190" w:rsidP="00EB6A2D">
      <w:pPr>
        <w:pStyle w:val="ac"/>
        <w:spacing w:before="240"/>
        <w:rPr>
          <w:rFonts w:ascii="Times New Roman" w:hAnsi="Times New Roman"/>
          <w:sz w:val="24"/>
          <w:szCs w:val="24"/>
          <w:lang w:eastAsia="ru-RU"/>
        </w:rPr>
      </w:pPr>
      <w:r w:rsidRPr="00EB6A2D"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Pr="00EB6A2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</w:t>
      </w:r>
      <w:r w:rsidR="00EB6A2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EB6A2D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B357C3" w:rsidRPr="00EB6A2D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D63A98" w:rsidRPr="00EB6A2D">
        <w:rPr>
          <w:rFonts w:ascii="Times New Roman" w:hAnsi="Times New Roman"/>
          <w:sz w:val="24"/>
          <w:szCs w:val="24"/>
          <w:lang w:eastAsia="ru-RU"/>
        </w:rPr>
        <w:t>Ф.В.Тимофеев</w:t>
      </w:r>
    </w:p>
    <w:p w:rsidR="00EB6A2D" w:rsidRPr="00EB6A2D" w:rsidRDefault="00EB6A2D" w:rsidP="00EB6A2D">
      <w:pPr>
        <w:pStyle w:val="ac"/>
        <w:spacing w:before="2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24.11.2020</w:t>
      </w:r>
    </w:p>
    <w:sectPr w:rsidR="00EB6A2D" w:rsidRPr="00EB6A2D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D4" w:rsidRDefault="009E4ED4" w:rsidP="00B1668B">
      <w:pPr>
        <w:spacing w:after="0" w:line="240" w:lineRule="auto"/>
      </w:pPr>
      <w:r>
        <w:separator/>
      </w:r>
    </w:p>
  </w:endnote>
  <w:endnote w:type="continuationSeparator" w:id="0">
    <w:p w:rsidR="009E4ED4" w:rsidRDefault="009E4ED4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D4" w:rsidRDefault="009E4ED4" w:rsidP="00B1668B">
      <w:pPr>
        <w:spacing w:after="0" w:line="240" w:lineRule="auto"/>
      </w:pPr>
      <w:r>
        <w:separator/>
      </w:r>
    </w:p>
  </w:footnote>
  <w:footnote w:type="continuationSeparator" w:id="0">
    <w:p w:rsidR="009E4ED4" w:rsidRDefault="009E4ED4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28CE"/>
    <w:rsid w:val="00007985"/>
    <w:rsid w:val="00023A9C"/>
    <w:rsid w:val="00036767"/>
    <w:rsid w:val="0004144C"/>
    <w:rsid w:val="00042891"/>
    <w:rsid w:val="00043B58"/>
    <w:rsid w:val="00055C89"/>
    <w:rsid w:val="000565CF"/>
    <w:rsid w:val="00063062"/>
    <w:rsid w:val="00070853"/>
    <w:rsid w:val="00070C59"/>
    <w:rsid w:val="00076064"/>
    <w:rsid w:val="00082CC8"/>
    <w:rsid w:val="00083983"/>
    <w:rsid w:val="000924A0"/>
    <w:rsid w:val="00093D75"/>
    <w:rsid w:val="000C1F1C"/>
    <w:rsid w:val="000C4EEB"/>
    <w:rsid w:val="000C773C"/>
    <w:rsid w:val="000D6F88"/>
    <w:rsid w:val="000E4AF7"/>
    <w:rsid w:val="00104BC5"/>
    <w:rsid w:val="00115C3C"/>
    <w:rsid w:val="00123F68"/>
    <w:rsid w:val="00136E68"/>
    <w:rsid w:val="00140681"/>
    <w:rsid w:val="00140F45"/>
    <w:rsid w:val="001510D3"/>
    <w:rsid w:val="0015765C"/>
    <w:rsid w:val="00162E87"/>
    <w:rsid w:val="001816CA"/>
    <w:rsid w:val="001842CA"/>
    <w:rsid w:val="001860B2"/>
    <w:rsid w:val="00194A9E"/>
    <w:rsid w:val="001A0E23"/>
    <w:rsid w:val="001A2095"/>
    <w:rsid w:val="001B66D2"/>
    <w:rsid w:val="001D05CC"/>
    <w:rsid w:val="00200405"/>
    <w:rsid w:val="00204BDB"/>
    <w:rsid w:val="00223448"/>
    <w:rsid w:val="0023175C"/>
    <w:rsid w:val="00264EEE"/>
    <w:rsid w:val="002654BF"/>
    <w:rsid w:val="00274939"/>
    <w:rsid w:val="00291152"/>
    <w:rsid w:val="00294399"/>
    <w:rsid w:val="002A0CF7"/>
    <w:rsid w:val="002B41C3"/>
    <w:rsid w:val="002B4369"/>
    <w:rsid w:val="002B4D95"/>
    <w:rsid w:val="002C0229"/>
    <w:rsid w:val="002C5B93"/>
    <w:rsid w:val="002C7A96"/>
    <w:rsid w:val="002D7C4B"/>
    <w:rsid w:val="002F6DC9"/>
    <w:rsid w:val="002F7421"/>
    <w:rsid w:val="00321189"/>
    <w:rsid w:val="0032598E"/>
    <w:rsid w:val="0032605B"/>
    <w:rsid w:val="00337962"/>
    <w:rsid w:val="00344437"/>
    <w:rsid w:val="003561FB"/>
    <w:rsid w:val="0035748D"/>
    <w:rsid w:val="00360E0D"/>
    <w:rsid w:val="0037526F"/>
    <w:rsid w:val="0037772C"/>
    <w:rsid w:val="003804B9"/>
    <w:rsid w:val="00381A08"/>
    <w:rsid w:val="00391901"/>
    <w:rsid w:val="003979FD"/>
    <w:rsid w:val="003A037C"/>
    <w:rsid w:val="003A70FD"/>
    <w:rsid w:val="003C29F6"/>
    <w:rsid w:val="003C2E26"/>
    <w:rsid w:val="003C6EC6"/>
    <w:rsid w:val="003D6647"/>
    <w:rsid w:val="003E3B2D"/>
    <w:rsid w:val="003F0895"/>
    <w:rsid w:val="0040561B"/>
    <w:rsid w:val="00416004"/>
    <w:rsid w:val="004219FB"/>
    <w:rsid w:val="00422E59"/>
    <w:rsid w:val="00426DA9"/>
    <w:rsid w:val="00427294"/>
    <w:rsid w:val="00431153"/>
    <w:rsid w:val="00441CAB"/>
    <w:rsid w:val="00445191"/>
    <w:rsid w:val="004527FD"/>
    <w:rsid w:val="00467B69"/>
    <w:rsid w:val="004767A0"/>
    <w:rsid w:val="00483522"/>
    <w:rsid w:val="00484C36"/>
    <w:rsid w:val="00497C3A"/>
    <w:rsid w:val="004B13AD"/>
    <w:rsid w:val="004B6BAB"/>
    <w:rsid w:val="004C39AC"/>
    <w:rsid w:val="004D26BF"/>
    <w:rsid w:val="004D42CF"/>
    <w:rsid w:val="004E5AAC"/>
    <w:rsid w:val="004E5E15"/>
    <w:rsid w:val="004E7214"/>
    <w:rsid w:val="0050100A"/>
    <w:rsid w:val="00511C71"/>
    <w:rsid w:val="00515ACA"/>
    <w:rsid w:val="00516353"/>
    <w:rsid w:val="00527566"/>
    <w:rsid w:val="00540DA7"/>
    <w:rsid w:val="00541875"/>
    <w:rsid w:val="00564C6F"/>
    <w:rsid w:val="0056759C"/>
    <w:rsid w:val="005706E6"/>
    <w:rsid w:val="00574AF1"/>
    <w:rsid w:val="0057598C"/>
    <w:rsid w:val="00581EFB"/>
    <w:rsid w:val="005A25BE"/>
    <w:rsid w:val="005B47AF"/>
    <w:rsid w:val="005C08DF"/>
    <w:rsid w:val="005C23E6"/>
    <w:rsid w:val="005C3245"/>
    <w:rsid w:val="005C6270"/>
    <w:rsid w:val="005D2674"/>
    <w:rsid w:val="005E1E5C"/>
    <w:rsid w:val="005E39AC"/>
    <w:rsid w:val="00611401"/>
    <w:rsid w:val="00615956"/>
    <w:rsid w:val="00630C6D"/>
    <w:rsid w:val="00634331"/>
    <w:rsid w:val="00635885"/>
    <w:rsid w:val="00636616"/>
    <w:rsid w:val="00654E10"/>
    <w:rsid w:val="00655474"/>
    <w:rsid w:val="00655DFD"/>
    <w:rsid w:val="0066250E"/>
    <w:rsid w:val="0066359D"/>
    <w:rsid w:val="00666B58"/>
    <w:rsid w:val="00681006"/>
    <w:rsid w:val="00691CFC"/>
    <w:rsid w:val="00692FE0"/>
    <w:rsid w:val="006A6478"/>
    <w:rsid w:val="006C0A64"/>
    <w:rsid w:val="006C1974"/>
    <w:rsid w:val="006D21E0"/>
    <w:rsid w:val="006E100B"/>
    <w:rsid w:val="006E2AA9"/>
    <w:rsid w:val="006E2AFA"/>
    <w:rsid w:val="007046A9"/>
    <w:rsid w:val="00711386"/>
    <w:rsid w:val="007139F1"/>
    <w:rsid w:val="007150BE"/>
    <w:rsid w:val="0072039F"/>
    <w:rsid w:val="0072217C"/>
    <w:rsid w:val="00722BB5"/>
    <w:rsid w:val="007336DB"/>
    <w:rsid w:val="0074252B"/>
    <w:rsid w:val="007563E3"/>
    <w:rsid w:val="007613AC"/>
    <w:rsid w:val="00763880"/>
    <w:rsid w:val="007662BA"/>
    <w:rsid w:val="00774997"/>
    <w:rsid w:val="0078570D"/>
    <w:rsid w:val="0078596C"/>
    <w:rsid w:val="0078713E"/>
    <w:rsid w:val="007A40C5"/>
    <w:rsid w:val="007B15C1"/>
    <w:rsid w:val="007B6FDC"/>
    <w:rsid w:val="007C0ADF"/>
    <w:rsid w:val="007C6219"/>
    <w:rsid w:val="007E4C78"/>
    <w:rsid w:val="007E5A2D"/>
    <w:rsid w:val="00801008"/>
    <w:rsid w:val="00817E68"/>
    <w:rsid w:val="00821923"/>
    <w:rsid w:val="00822823"/>
    <w:rsid w:val="00845D4A"/>
    <w:rsid w:val="00850A9B"/>
    <w:rsid w:val="00856432"/>
    <w:rsid w:val="00865A7D"/>
    <w:rsid w:val="00866E6F"/>
    <w:rsid w:val="00870D48"/>
    <w:rsid w:val="0088098D"/>
    <w:rsid w:val="008A77E8"/>
    <w:rsid w:val="008B07F6"/>
    <w:rsid w:val="008B68CD"/>
    <w:rsid w:val="008B7DB3"/>
    <w:rsid w:val="008E2A20"/>
    <w:rsid w:val="008E7A75"/>
    <w:rsid w:val="0090775D"/>
    <w:rsid w:val="00931E42"/>
    <w:rsid w:val="00931F48"/>
    <w:rsid w:val="00942B4C"/>
    <w:rsid w:val="00943DBA"/>
    <w:rsid w:val="00951B74"/>
    <w:rsid w:val="00951D39"/>
    <w:rsid w:val="00960813"/>
    <w:rsid w:val="009618D3"/>
    <w:rsid w:val="0096786B"/>
    <w:rsid w:val="00970E23"/>
    <w:rsid w:val="00972069"/>
    <w:rsid w:val="009744DC"/>
    <w:rsid w:val="00977F28"/>
    <w:rsid w:val="009A1C28"/>
    <w:rsid w:val="009A37FF"/>
    <w:rsid w:val="009B52E0"/>
    <w:rsid w:val="009C1BCC"/>
    <w:rsid w:val="009C2909"/>
    <w:rsid w:val="009E4ED4"/>
    <w:rsid w:val="009F632B"/>
    <w:rsid w:val="00A03BE3"/>
    <w:rsid w:val="00A057DF"/>
    <w:rsid w:val="00A175B4"/>
    <w:rsid w:val="00A21A82"/>
    <w:rsid w:val="00A2545E"/>
    <w:rsid w:val="00A37E9F"/>
    <w:rsid w:val="00A724EA"/>
    <w:rsid w:val="00A7669F"/>
    <w:rsid w:val="00A76A58"/>
    <w:rsid w:val="00A927AD"/>
    <w:rsid w:val="00A94595"/>
    <w:rsid w:val="00AB31CF"/>
    <w:rsid w:val="00AC14C3"/>
    <w:rsid w:val="00AC7A02"/>
    <w:rsid w:val="00AE25DC"/>
    <w:rsid w:val="00AF42CD"/>
    <w:rsid w:val="00AF6677"/>
    <w:rsid w:val="00B00383"/>
    <w:rsid w:val="00B01C52"/>
    <w:rsid w:val="00B06073"/>
    <w:rsid w:val="00B0689B"/>
    <w:rsid w:val="00B07C1F"/>
    <w:rsid w:val="00B1668B"/>
    <w:rsid w:val="00B232C0"/>
    <w:rsid w:val="00B353D7"/>
    <w:rsid w:val="00B357C3"/>
    <w:rsid w:val="00B43D19"/>
    <w:rsid w:val="00B73202"/>
    <w:rsid w:val="00B7334C"/>
    <w:rsid w:val="00B76DE9"/>
    <w:rsid w:val="00B853CD"/>
    <w:rsid w:val="00BA0E35"/>
    <w:rsid w:val="00BA6727"/>
    <w:rsid w:val="00BB3DF8"/>
    <w:rsid w:val="00BC7E0F"/>
    <w:rsid w:val="00BF3190"/>
    <w:rsid w:val="00C21EA4"/>
    <w:rsid w:val="00C22157"/>
    <w:rsid w:val="00C474FB"/>
    <w:rsid w:val="00C543B0"/>
    <w:rsid w:val="00C56C50"/>
    <w:rsid w:val="00C641CF"/>
    <w:rsid w:val="00C67806"/>
    <w:rsid w:val="00C72587"/>
    <w:rsid w:val="00C80A3B"/>
    <w:rsid w:val="00C822B0"/>
    <w:rsid w:val="00C971C9"/>
    <w:rsid w:val="00CA70EC"/>
    <w:rsid w:val="00CC5CA0"/>
    <w:rsid w:val="00CC795E"/>
    <w:rsid w:val="00CC7AB5"/>
    <w:rsid w:val="00CE1096"/>
    <w:rsid w:val="00CE3499"/>
    <w:rsid w:val="00CE4FC0"/>
    <w:rsid w:val="00D07636"/>
    <w:rsid w:val="00D118EA"/>
    <w:rsid w:val="00D137F0"/>
    <w:rsid w:val="00D15021"/>
    <w:rsid w:val="00D170C1"/>
    <w:rsid w:val="00D174B9"/>
    <w:rsid w:val="00D2127C"/>
    <w:rsid w:val="00D417B1"/>
    <w:rsid w:val="00D42DD7"/>
    <w:rsid w:val="00D43508"/>
    <w:rsid w:val="00D441AE"/>
    <w:rsid w:val="00D5479C"/>
    <w:rsid w:val="00D54B45"/>
    <w:rsid w:val="00D63A98"/>
    <w:rsid w:val="00D76A4C"/>
    <w:rsid w:val="00D778E7"/>
    <w:rsid w:val="00D8044A"/>
    <w:rsid w:val="00D83FE8"/>
    <w:rsid w:val="00D844CF"/>
    <w:rsid w:val="00DA730C"/>
    <w:rsid w:val="00DD3C67"/>
    <w:rsid w:val="00DE14CC"/>
    <w:rsid w:val="00E00749"/>
    <w:rsid w:val="00E02E32"/>
    <w:rsid w:val="00E07A83"/>
    <w:rsid w:val="00E10833"/>
    <w:rsid w:val="00E13A6A"/>
    <w:rsid w:val="00E14A0A"/>
    <w:rsid w:val="00E33644"/>
    <w:rsid w:val="00E34EAE"/>
    <w:rsid w:val="00E47499"/>
    <w:rsid w:val="00E62C64"/>
    <w:rsid w:val="00E70FCC"/>
    <w:rsid w:val="00E76557"/>
    <w:rsid w:val="00E82256"/>
    <w:rsid w:val="00E96867"/>
    <w:rsid w:val="00EB6A2D"/>
    <w:rsid w:val="00EB7DCC"/>
    <w:rsid w:val="00EC4E41"/>
    <w:rsid w:val="00EE5D07"/>
    <w:rsid w:val="00EF2D4C"/>
    <w:rsid w:val="00EF5A01"/>
    <w:rsid w:val="00F13994"/>
    <w:rsid w:val="00F1775F"/>
    <w:rsid w:val="00F27429"/>
    <w:rsid w:val="00F521EE"/>
    <w:rsid w:val="00F53694"/>
    <w:rsid w:val="00F543F4"/>
    <w:rsid w:val="00F63343"/>
    <w:rsid w:val="00F656FC"/>
    <w:rsid w:val="00F67F03"/>
    <w:rsid w:val="00F70B0A"/>
    <w:rsid w:val="00F70E47"/>
    <w:rsid w:val="00F75E35"/>
    <w:rsid w:val="00F76924"/>
    <w:rsid w:val="00F8591E"/>
    <w:rsid w:val="00F922DD"/>
    <w:rsid w:val="00F93FE6"/>
    <w:rsid w:val="00F948EB"/>
    <w:rsid w:val="00F96A6D"/>
    <w:rsid w:val="00FA6DE8"/>
    <w:rsid w:val="00FB34BA"/>
    <w:rsid w:val="00FD4981"/>
    <w:rsid w:val="00FE04AE"/>
    <w:rsid w:val="00FE4FA6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FB298-6F4C-4E6D-9B25-3CE9B5E2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3</cp:revision>
  <cp:lastPrinted>2020-11-25T13:20:00Z</cp:lastPrinted>
  <dcterms:created xsi:type="dcterms:W3CDTF">2020-11-25T13:45:00Z</dcterms:created>
  <dcterms:modified xsi:type="dcterms:W3CDTF">2020-12-07T12:38:00Z</dcterms:modified>
</cp:coreProperties>
</file>