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81608E">
        <w:trPr>
          <w:trHeight w:val="1418"/>
        </w:trPr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72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</w:t>
      </w:r>
      <w:r w:rsidR="00BB0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r w:rsidR="00C20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58255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D" w:rsidRPr="009A1C28" w:rsidRDefault="0058255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37982,3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26418,9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26954,2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27510,8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102,1</w:t>
            </w:r>
          </w:p>
        </w:tc>
      </w:tr>
      <w:tr w:rsidR="0058255D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D" w:rsidRPr="009A1C28" w:rsidRDefault="0058255D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41799,4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26418,9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26954,2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27510,8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102,1</w:t>
            </w:r>
          </w:p>
        </w:tc>
      </w:tr>
      <w:tr w:rsidR="0058255D" w:rsidRPr="00070853" w:rsidTr="00B76DE9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D" w:rsidRPr="009A1C28" w:rsidRDefault="0058255D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-3817,1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5D" w:rsidRPr="0058255D" w:rsidRDefault="0058255D" w:rsidP="0058255D">
            <w:pPr>
              <w:pStyle w:val="ac"/>
              <w:jc w:val="right"/>
              <w:rPr>
                <w:rFonts w:ascii="Times New Roman" w:hAnsi="Times New Roman"/>
              </w:rPr>
            </w:pPr>
            <w:r w:rsidRPr="0058255D">
              <w:rPr>
                <w:rFonts w:ascii="Times New Roman" w:hAnsi="Times New Roman"/>
              </w:rP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5030,5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5964,9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6210,5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8255D">
        <w:rPr>
          <w:rFonts w:ascii="Times New Roman" w:eastAsia="Times New Roman" w:hAnsi="Times New Roman" w:cs="Times New Roman"/>
          <w:sz w:val="24"/>
          <w:szCs w:val="24"/>
          <w:lang w:eastAsia="ru-RU"/>
        </w:rPr>
        <w:t>439,6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58255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907,1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58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90,0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581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Ибресинского городского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581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Ибресинского городского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581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Ибресинского городского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56D9D" w:rsidRDefault="00656D9D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656D9D" w:rsidRPr="002C0229" w:rsidTr="00A71BC0">
        <w:tc>
          <w:tcPr>
            <w:tcW w:w="1985" w:type="dxa"/>
            <w:vMerge w:val="restart"/>
            <w:shd w:val="clear" w:color="auto" w:fill="auto"/>
          </w:tcPr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6D9D" w:rsidRPr="002C0229" w:rsidRDefault="00656D9D" w:rsidP="00A71BC0">
            <w:pPr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год (решение о бюджете) сумма </w:t>
            </w:r>
          </w:p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56D9D" w:rsidRPr="002C0229" w:rsidTr="00A71BC0">
        <w:tc>
          <w:tcPr>
            <w:tcW w:w="1985" w:type="dxa"/>
            <w:vMerge/>
            <w:shd w:val="clear" w:color="auto" w:fill="auto"/>
          </w:tcPr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D9D" w:rsidRPr="002C0229" w:rsidRDefault="00656D9D" w:rsidP="00A71BC0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656D9D" w:rsidRPr="002C0229" w:rsidRDefault="00656D9D" w:rsidP="00A71BC0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656D9D" w:rsidRPr="00656D9D" w:rsidTr="00A71BC0">
        <w:trPr>
          <w:trHeight w:val="471"/>
        </w:trPr>
        <w:tc>
          <w:tcPr>
            <w:tcW w:w="1985" w:type="dxa"/>
            <w:shd w:val="clear" w:color="auto" w:fill="auto"/>
          </w:tcPr>
          <w:p w:rsidR="00656D9D" w:rsidRPr="00B76DE9" w:rsidRDefault="00656D9D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37982,3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26418,9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69,6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26954,2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102,0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27510,8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656D9D" w:rsidRPr="00656D9D" w:rsidRDefault="00656D9D" w:rsidP="00A71BC0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 w:rsidRPr="00656D9D">
              <w:rPr>
                <w:rFonts w:ascii="Times New Roman" w:hAnsi="Times New Roman"/>
                <w:b/>
              </w:rPr>
              <w:t>102,1</w:t>
            </w:r>
          </w:p>
        </w:tc>
      </w:tr>
      <w:tr w:rsidR="00656D9D" w:rsidTr="00A71BC0">
        <w:trPr>
          <w:trHeight w:val="291"/>
        </w:trPr>
        <w:tc>
          <w:tcPr>
            <w:tcW w:w="1985" w:type="dxa"/>
            <w:shd w:val="clear" w:color="auto" w:fill="auto"/>
          </w:tcPr>
          <w:p w:rsidR="00656D9D" w:rsidRPr="007C0ADF" w:rsidRDefault="00656D9D" w:rsidP="00A71BC0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24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8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656D9D" w:rsidTr="00A71BC0">
        <w:trPr>
          <w:trHeight w:val="557"/>
        </w:trPr>
        <w:tc>
          <w:tcPr>
            <w:tcW w:w="1985" w:type="dxa"/>
            <w:shd w:val="clear" w:color="auto" w:fill="auto"/>
          </w:tcPr>
          <w:p w:rsidR="00656D9D" w:rsidRPr="00B76DE9" w:rsidRDefault="00656D9D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17979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18060,3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17584,5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97,4</w:t>
            </w:r>
          </w:p>
        </w:tc>
        <w:tc>
          <w:tcPr>
            <w:tcW w:w="1124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18141,1</w:t>
            </w:r>
          </w:p>
        </w:tc>
        <w:tc>
          <w:tcPr>
            <w:tcW w:w="968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-103,2</w:t>
            </w:r>
          </w:p>
        </w:tc>
      </w:tr>
      <w:tr w:rsidR="00656D9D" w:rsidTr="00A71BC0">
        <w:trPr>
          <w:trHeight w:val="580"/>
        </w:trPr>
        <w:tc>
          <w:tcPr>
            <w:tcW w:w="1985" w:type="dxa"/>
            <w:shd w:val="clear" w:color="auto" w:fill="auto"/>
          </w:tcPr>
          <w:p w:rsidR="00656D9D" w:rsidRPr="00B76DE9" w:rsidRDefault="00656D9D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47,3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65,2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65,9</w:t>
            </w:r>
          </w:p>
        </w:tc>
        <w:tc>
          <w:tcPr>
            <w:tcW w:w="968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</w:tr>
      <w:tr w:rsidR="00656D9D" w:rsidTr="00A71BC0">
        <w:tc>
          <w:tcPr>
            <w:tcW w:w="1985" w:type="dxa"/>
            <w:shd w:val="clear" w:color="auto" w:fill="auto"/>
          </w:tcPr>
          <w:p w:rsidR="00656D9D" w:rsidRPr="00B76DE9" w:rsidRDefault="00656D9D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20003,3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8358,6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9369,7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112,1</w:t>
            </w:r>
          </w:p>
        </w:tc>
        <w:tc>
          <w:tcPr>
            <w:tcW w:w="1124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9369,7</w:t>
            </w:r>
          </w:p>
        </w:tc>
        <w:tc>
          <w:tcPr>
            <w:tcW w:w="968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-100,0</w:t>
            </w:r>
          </w:p>
        </w:tc>
      </w:tr>
      <w:tr w:rsidR="00656D9D" w:rsidTr="00A71BC0">
        <w:trPr>
          <w:trHeight w:val="604"/>
        </w:trPr>
        <w:tc>
          <w:tcPr>
            <w:tcW w:w="1985" w:type="dxa"/>
            <w:shd w:val="clear" w:color="auto" w:fill="auto"/>
          </w:tcPr>
          <w:p w:rsidR="00656D9D" w:rsidRPr="00B76DE9" w:rsidRDefault="00656D9D" w:rsidP="00A71B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</w:pPr>
            <w:r>
              <w:t>31,6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</w:pPr>
            <w:r>
              <w:t>34,8</w:t>
            </w:r>
          </w:p>
        </w:tc>
        <w:tc>
          <w:tcPr>
            <w:tcW w:w="1276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</w:pPr>
            <w:r>
              <w:t>34,1</w:t>
            </w:r>
          </w:p>
        </w:tc>
        <w:tc>
          <w:tcPr>
            <w:tcW w:w="968" w:type="dxa"/>
            <w:shd w:val="clear" w:color="auto" w:fill="auto"/>
          </w:tcPr>
          <w:p w:rsidR="00656D9D" w:rsidRDefault="00656D9D" w:rsidP="00A71BC0">
            <w:pPr>
              <w:pStyle w:val="ac"/>
              <w:jc w:val="right"/>
              <w:rPr>
                <w:rFonts w:ascii="TimesET" w:hAnsi="TimesET"/>
                <w:sz w:val="20"/>
                <w:szCs w:val="20"/>
              </w:rPr>
            </w:pPr>
            <w:proofErr w:type="spellStart"/>
            <w:r>
              <w:rPr>
                <w:rFonts w:ascii="TimesET" w:hAnsi="TimesET"/>
                <w:sz w:val="20"/>
                <w:szCs w:val="20"/>
              </w:rPr>
              <w:t>х</w:t>
            </w:r>
            <w:proofErr w:type="spellEnd"/>
          </w:p>
        </w:tc>
      </w:tr>
    </w:tbl>
    <w:p w:rsidR="00656D9D" w:rsidRDefault="00656D9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581FA1">
        <w:rPr>
          <w:rFonts w:ascii="Times New Roman" w:hAnsi="Times New Roman" w:cs="Times New Roman"/>
          <w:sz w:val="24"/>
          <w:szCs w:val="24"/>
        </w:rPr>
        <w:t xml:space="preserve">Ибресинского городского </w:t>
      </w:r>
      <w:r w:rsidRPr="00B76DE9">
        <w:rPr>
          <w:rFonts w:ascii="Times New Roman" w:hAnsi="Times New Roman" w:cs="Times New Roman"/>
          <w:sz w:val="24"/>
          <w:szCs w:val="24"/>
        </w:rPr>
        <w:t xml:space="preserve">поселения на 2021 год планируется в размере </w:t>
      </w:r>
      <w:r w:rsidR="00656D9D">
        <w:rPr>
          <w:rFonts w:ascii="Times New Roman" w:hAnsi="Times New Roman" w:cs="Times New Roman"/>
          <w:sz w:val="24"/>
          <w:szCs w:val="24"/>
        </w:rPr>
        <w:t>26418,9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</w:t>
      </w:r>
      <w:r w:rsidR="00656D9D">
        <w:rPr>
          <w:rFonts w:ascii="Times New Roman" w:hAnsi="Times New Roman" w:cs="Times New Roman"/>
          <w:sz w:val="24"/>
          <w:szCs w:val="24"/>
        </w:rPr>
        <w:t xml:space="preserve"> в 2021году</w:t>
      </w:r>
      <w:r w:rsidR="004E0DDC">
        <w:rPr>
          <w:rFonts w:ascii="Times New Roman" w:hAnsi="Times New Roman" w:cs="Times New Roman"/>
          <w:sz w:val="24"/>
          <w:szCs w:val="24"/>
        </w:rPr>
        <w:t xml:space="preserve">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D87DF5">
        <w:rPr>
          <w:rFonts w:ascii="Times New Roman" w:hAnsi="Times New Roman" w:cs="Times New Roman"/>
          <w:sz w:val="24"/>
          <w:szCs w:val="24"/>
        </w:rPr>
        <w:t>3</w:t>
      </w:r>
      <w:r w:rsidR="00656D9D">
        <w:rPr>
          <w:rFonts w:ascii="Times New Roman" w:hAnsi="Times New Roman" w:cs="Times New Roman"/>
          <w:sz w:val="24"/>
          <w:szCs w:val="24"/>
        </w:rPr>
        <w:t>0,4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656D9D">
        <w:rPr>
          <w:rFonts w:ascii="Times New Roman" w:hAnsi="Times New Roman" w:cs="Times New Roman"/>
          <w:sz w:val="24"/>
          <w:szCs w:val="24"/>
        </w:rPr>
        <w:t>26954,2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656D9D">
        <w:rPr>
          <w:rFonts w:ascii="Times New Roman" w:hAnsi="Times New Roman" w:cs="Times New Roman"/>
          <w:sz w:val="24"/>
          <w:szCs w:val="24"/>
        </w:rPr>
        <w:t>27510,8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proofErr w:type="spellStart"/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spellEnd"/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656D9D">
        <w:rPr>
          <w:rFonts w:ascii="Times New Roman" w:hAnsi="Times New Roman" w:cs="Times New Roman"/>
          <w:sz w:val="24"/>
          <w:szCs w:val="24"/>
        </w:rPr>
        <w:t xml:space="preserve">18060,3 </w:t>
      </w:r>
      <w:r w:rsidRPr="003A70FD">
        <w:rPr>
          <w:rFonts w:ascii="Times New Roman" w:hAnsi="Times New Roman" w:cs="Times New Roman"/>
          <w:sz w:val="24"/>
          <w:szCs w:val="24"/>
        </w:rPr>
        <w:t>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56D9D">
        <w:rPr>
          <w:rFonts w:ascii="Times New Roman" w:hAnsi="Times New Roman" w:cs="Times New Roman"/>
          <w:sz w:val="24"/>
          <w:szCs w:val="24"/>
        </w:rPr>
        <w:t>100,5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</w:t>
      </w:r>
      <w:r w:rsidR="00656D9D">
        <w:rPr>
          <w:rFonts w:ascii="Times New Roman" w:hAnsi="Times New Roman" w:cs="Times New Roman"/>
          <w:sz w:val="24"/>
          <w:szCs w:val="24"/>
        </w:rPr>
        <w:t xml:space="preserve"> </w:t>
      </w:r>
      <w:r w:rsidR="0066250E">
        <w:rPr>
          <w:rFonts w:ascii="Times New Roman" w:hAnsi="Times New Roman" w:cs="Times New Roman"/>
          <w:sz w:val="24"/>
          <w:szCs w:val="24"/>
        </w:rPr>
        <w:t xml:space="preserve"> 2020 году. Их удельный вес в доходах поселения составит </w:t>
      </w:r>
      <w:r w:rsidR="00656D9D">
        <w:rPr>
          <w:rFonts w:ascii="Times New Roman" w:hAnsi="Times New Roman" w:cs="Times New Roman"/>
          <w:sz w:val="24"/>
          <w:szCs w:val="24"/>
        </w:rPr>
        <w:t>68,4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656D9D">
        <w:rPr>
          <w:rFonts w:ascii="Times New Roman" w:hAnsi="Times New Roman" w:cs="Times New Roman"/>
          <w:sz w:val="24"/>
          <w:szCs w:val="24"/>
        </w:rPr>
        <w:t>21,1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656D9D">
        <w:rPr>
          <w:rFonts w:ascii="Times New Roman" w:hAnsi="Times New Roman" w:cs="Times New Roman"/>
          <w:sz w:val="24"/>
          <w:szCs w:val="24"/>
        </w:rPr>
        <w:t xml:space="preserve"> 17584,5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A2030D">
        <w:rPr>
          <w:rFonts w:ascii="Times New Roman" w:hAnsi="Times New Roman" w:cs="Times New Roman"/>
          <w:sz w:val="24"/>
          <w:szCs w:val="24"/>
        </w:rPr>
        <w:t>1</w:t>
      </w:r>
      <w:r w:rsidR="00656D9D">
        <w:rPr>
          <w:rFonts w:ascii="Times New Roman" w:hAnsi="Times New Roman" w:cs="Times New Roman"/>
          <w:sz w:val="24"/>
          <w:szCs w:val="24"/>
        </w:rPr>
        <w:t>8141,1</w:t>
      </w:r>
      <w:r w:rsidR="00A2030D">
        <w:rPr>
          <w:rFonts w:ascii="Times New Roman" w:hAnsi="Times New Roman" w:cs="Times New Roman"/>
          <w:sz w:val="24"/>
          <w:szCs w:val="24"/>
        </w:rPr>
        <w:t xml:space="preserve"> 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656D9D">
        <w:rPr>
          <w:rFonts w:ascii="Times New Roman" w:eastAsia="Times New Roman" w:hAnsi="Times New Roman" w:cs="Times New Roman"/>
          <w:sz w:val="24"/>
          <w:szCs w:val="24"/>
          <w:lang w:eastAsia="ru-RU"/>
        </w:rPr>
        <w:t>8358,6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56D9D">
        <w:rPr>
          <w:rFonts w:ascii="Times New Roman" w:eastAsia="Times New Roman" w:hAnsi="Times New Roman" w:cs="Times New Roman"/>
          <w:sz w:val="24"/>
          <w:szCs w:val="24"/>
          <w:lang w:eastAsia="ru-RU"/>
        </w:rPr>
        <w:t>58,2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656D9D">
        <w:rPr>
          <w:rFonts w:ascii="Times New Roman" w:eastAsia="Times New Roman" w:hAnsi="Times New Roman" w:cs="Times New Roman"/>
          <w:sz w:val="24"/>
          <w:szCs w:val="24"/>
          <w:lang w:eastAsia="ru-RU"/>
        </w:rPr>
        <w:t>9369,7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9D">
        <w:rPr>
          <w:rFonts w:ascii="Times New Roman" w:eastAsia="Times New Roman" w:hAnsi="Times New Roman" w:cs="Times New Roman"/>
          <w:sz w:val="24"/>
          <w:szCs w:val="24"/>
          <w:lang w:eastAsia="ru-RU"/>
        </w:rPr>
        <w:t>9369,7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402"/>
        <w:gridCol w:w="1276"/>
        <w:gridCol w:w="1134"/>
        <w:gridCol w:w="851"/>
        <w:gridCol w:w="850"/>
        <w:gridCol w:w="1134"/>
        <w:gridCol w:w="1099"/>
      </w:tblGrid>
      <w:tr w:rsidR="0066250E" w:rsidRPr="00B20B85" w:rsidTr="0002451D">
        <w:trPr>
          <w:trHeight w:val="2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02451D">
        <w:trPr>
          <w:trHeight w:val="2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Pr="00931F48" w:rsidRDefault="00A71BC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17979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18060,3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17584,5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b/>
              </w:rPr>
            </w:pPr>
            <w:r w:rsidRPr="00A71BC0">
              <w:rPr>
                <w:rFonts w:ascii="Times New Roman" w:hAnsi="Times New Roman"/>
                <w:b/>
              </w:rPr>
              <w:t>18141,1</w:t>
            </w: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Default="00A71B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 </w:t>
            </w: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Pr="004D42CF" w:rsidRDefault="00A71BC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13413,3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15390,3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15895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16531</w:t>
            </w: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Default="00A71B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90,4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91,1</w:t>
            </w: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Default="00A71BC0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4565,7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-1896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1690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71BC0">
              <w:rPr>
                <w:rFonts w:ascii="Times New Roman" w:hAnsi="Times New Roman"/>
              </w:rPr>
              <w:t>1610</w:t>
            </w:r>
          </w:p>
        </w:tc>
      </w:tr>
      <w:tr w:rsidR="00A71BC0" w:rsidRPr="00B20B85" w:rsidTr="000245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C0" w:rsidRDefault="00A71B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0" w:rsidRPr="00A71BC0" w:rsidRDefault="00A71BC0" w:rsidP="00A71BC0">
            <w:pPr>
              <w:pStyle w:val="ac"/>
              <w:rPr>
                <w:rFonts w:ascii="Times New Roman" w:hAnsi="Times New Roman"/>
                <w:i/>
                <w:iCs/>
              </w:rPr>
            </w:pPr>
            <w:r w:rsidRPr="00A71BC0">
              <w:rPr>
                <w:rFonts w:ascii="Times New Roman" w:hAnsi="Times New Roman"/>
                <w:i/>
                <w:iCs/>
              </w:rPr>
              <w:t>8,9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85,2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10,6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выше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15390,3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14,7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13413,3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670,0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58,5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565,7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14,8 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соответственно ниже показателя 2020 года на </w:t>
      </w:r>
      <w:r w:rsidR="0017386E">
        <w:rPr>
          <w:rFonts w:ascii="Times New Roman" w:eastAsia="Times New Roman" w:hAnsi="Times New Roman" w:cs="Times New Roman"/>
          <w:sz w:val="24"/>
          <w:szCs w:val="24"/>
          <w:lang w:eastAsia="ru-RU"/>
        </w:rPr>
        <w:t>10,6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1B66D2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817F4C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У</w:t>
            </w:r>
            <w:r w:rsidR="003C6EC6" w:rsidRPr="00A46CF8">
              <w:rPr>
                <w:rFonts w:ascii="Times New Roman" w:hAnsi="Times New Roman"/>
                <w:lang w:eastAsia="ru-RU"/>
              </w:rPr>
              <w:t>твержден</w:t>
            </w:r>
            <w:r w:rsidRPr="00A46CF8">
              <w:rPr>
                <w:rFonts w:ascii="Times New Roman" w:hAnsi="Times New Roman"/>
                <w:lang w:eastAsia="ru-RU"/>
              </w:rPr>
              <w:t>.</w:t>
            </w:r>
            <w:r w:rsidR="003C6EC6" w:rsidRPr="00A46CF8">
              <w:rPr>
                <w:rFonts w:ascii="Times New Roman" w:hAnsi="Times New Roman"/>
                <w:lang w:eastAsia="ru-RU"/>
              </w:rPr>
              <w:t>бюджет</w:t>
            </w:r>
            <w:r w:rsidRPr="00A46CF8">
              <w:rPr>
                <w:rFonts w:ascii="Times New Roman" w:hAnsi="Times New Roman"/>
                <w:lang w:eastAsia="ru-RU"/>
              </w:rPr>
              <w:t xml:space="preserve"> назначения 2020 г</w:t>
            </w:r>
            <w:r w:rsidR="003C6EC6" w:rsidRPr="00A46CF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46CF8" w:rsidRDefault="001B66D2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1B66D2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(тыс. </w:t>
            </w:r>
            <w:proofErr w:type="spellStart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46CF8" w:rsidRDefault="00817F4C" w:rsidP="00A46CF8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6CF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A46CF8" w:rsidRPr="001B66D2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13413,3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15390,3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</w:rPr>
            </w:pPr>
            <w:r w:rsidRPr="00A46CF8">
              <w:rPr>
                <w:rFonts w:ascii="Times New Roman" w:hAnsi="Times New Roman"/>
                <w:b/>
              </w:rPr>
              <w:t>114,7</w:t>
            </w:r>
          </w:p>
        </w:tc>
      </w:tr>
      <w:tr w:rsidR="00A46CF8" w:rsidRPr="001B66D2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A46CF8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 </w:t>
            </w:r>
          </w:p>
        </w:tc>
      </w:tr>
      <w:tr w:rsidR="00A46CF8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6650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104,5</w:t>
            </w:r>
          </w:p>
        </w:tc>
      </w:tr>
      <w:tr w:rsidR="00A46CF8" w:rsidRPr="00817F4C" w:rsidTr="00817F4C">
        <w:trPr>
          <w:trHeight w:val="479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111,2</w:t>
            </w:r>
          </w:p>
        </w:tc>
      </w:tr>
      <w:tr w:rsidR="00A46CF8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A46CF8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A46CF8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66,7</w:t>
            </w:r>
          </w:p>
        </w:tc>
      </w:tr>
      <w:tr w:rsidR="00A46CF8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A46CF8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A46CF8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234,8</w:t>
            </w:r>
          </w:p>
        </w:tc>
      </w:tr>
      <w:tr w:rsidR="00A46CF8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100,0</w:t>
            </w:r>
          </w:p>
        </w:tc>
      </w:tr>
      <w:tr w:rsidR="00A46CF8" w:rsidRPr="00817F4C" w:rsidTr="00817F4C">
        <w:trPr>
          <w:trHeight w:val="54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100,0</w:t>
            </w:r>
          </w:p>
        </w:tc>
      </w:tr>
      <w:tr w:rsidR="00A46CF8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46CF8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CF8" w:rsidRPr="00A46CF8" w:rsidRDefault="00A46CF8" w:rsidP="00A46CF8">
            <w:pPr>
              <w:pStyle w:val="ac"/>
              <w:rPr>
                <w:rFonts w:ascii="Times New Roman" w:hAnsi="Times New Roman"/>
              </w:rPr>
            </w:pPr>
            <w:r w:rsidRPr="00A46CF8">
              <w:rPr>
                <w:rFonts w:ascii="Times New Roman" w:hAnsi="Times New Roman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F50B1">
        <w:rPr>
          <w:rFonts w:ascii="Times New Roman" w:hAnsi="Times New Roman" w:cs="Times New Roman"/>
          <w:sz w:val="24"/>
          <w:szCs w:val="24"/>
        </w:rPr>
        <w:t xml:space="preserve">6950,0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Прирост к 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 сумме </w:t>
      </w:r>
      <w:r w:rsidR="00931F4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>300,0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A46CF8">
        <w:rPr>
          <w:rFonts w:ascii="Times New Roman" w:hAnsi="Times New Roman" w:cs="Times New Roman"/>
          <w:sz w:val="24"/>
          <w:szCs w:val="24"/>
        </w:rPr>
        <w:t>4,</w:t>
      </w:r>
      <w:r w:rsidR="00DF50B1">
        <w:rPr>
          <w:rFonts w:ascii="Times New Roman" w:hAnsi="Times New Roman" w:cs="Times New Roman"/>
          <w:sz w:val="24"/>
          <w:szCs w:val="24"/>
        </w:rPr>
        <w:t>5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DF50B1">
        <w:rPr>
          <w:rFonts w:ascii="Times New Roman" w:hAnsi="Times New Roman" w:cs="Times New Roman"/>
          <w:sz w:val="24"/>
          <w:szCs w:val="24"/>
        </w:rPr>
        <w:t xml:space="preserve">45,2 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>1330,3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>8,6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DF50B1">
        <w:rPr>
          <w:rFonts w:ascii="Times New Roman" w:hAnsi="Times New Roman" w:cs="Times New Roman"/>
          <w:sz w:val="24"/>
          <w:szCs w:val="24"/>
        </w:rPr>
        <w:t>1196,3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DF50B1">
        <w:rPr>
          <w:rFonts w:ascii="Times New Roman" w:hAnsi="Times New Roman" w:cs="Times New Roman"/>
          <w:sz w:val="24"/>
          <w:szCs w:val="24"/>
        </w:rPr>
        <w:t>134,0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1,</w:t>
      </w:r>
      <w:r w:rsidR="00DF5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>10,0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F5815">
        <w:rPr>
          <w:rFonts w:ascii="Times New Roman" w:hAnsi="Times New Roman" w:cs="Times New Roman"/>
          <w:sz w:val="24"/>
          <w:szCs w:val="24"/>
        </w:rPr>
        <w:t>0</w:t>
      </w:r>
      <w:r w:rsidR="00ED12D4">
        <w:rPr>
          <w:rFonts w:ascii="Times New Roman" w:hAnsi="Times New Roman" w:cs="Times New Roman"/>
          <w:sz w:val="24"/>
          <w:szCs w:val="24"/>
        </w:rPr>
        <w:t>,</w:t>
      </w:r>
      <w:r w:rsidR="00DF50B1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Снижение   запланированной сумме  2020 года( </w:t>
      </w:r>
      <w:r w:rsidR="00DF50B1">
        <w:rPr>
          <w:rFonts w:ascii="Times New Roman" w:hAnsi="Times New Roman" w:cs="Times New Roman"/>
          <w:sz w:val="24"/>
          <w:szCs w:val="24"/>
        </w:rPr>
        <w:t>15,0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DF50B1">
        <w:rPr>
          <w:rFonts w:ascii="Times New Roman" w:hAnsi="Times New Roman" w:cs="Times New Roman"/>
          <w:sz w:val="24"/>
          <w:szCs w:val="24"/>
        </w:rPr>
        <w:t>5,0</w:t>
      </w:r>
      <w:r w:rsidR="00FF5815">
        <w:rPr>
          <w:rFonts w:ascii="Times New Roman" w:hAnsi="Times New Roman" w:cs="Times New Roman"/>
          <w:sz w:val="24"/>
          <w:szCs w:val="24"/>
        </w:rPr>
        <w:t xml:space="preserve"> 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DF50B1">
        <w:rPr>
          <w:rFonts w:ascii="Times New Roman" w:hAnsi="Times New Roman" w:cs="Times New Roman"/>
          <w:sz w:val="24"/>
          <w:szCs w:val="24"/>
        </w:rPr>
        <w:t>33,3</w:t>
      </w:r>
      <w:r w:rsidR="00ED12D4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 xml:space="preserve">2700,0 </w:t>
      </w:r>
      <w:r w:rsidR="00F70E47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F50B1">
        <w:rPr>
          <w:rFonts w:ascii="Times New Roman" w:hAnsi="Times New Roman" w:cs="Times New Roman"/>
          <w:sz w:val="24"/>
          <w:szCs w:val="24"/>
        </w:rPr>
        <w:t>что в 2,3 раза превышает утвержденную на 2020 год сумму налогового поступления.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>17,5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F70E47">
        <w:rPr>
          <w:rFonts w:ascii="Times New Roman" w:hAnsi="Times New Roman" w:cs="Times New Roman"/>
          <w:sz w:val="24"/>
          <w:szCs w:val="24"/>
        </w:rPr>
        <w:t xml:space="preserve">, 2022 и 2023 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 по </w:t>
      </w:r>
      <w:r w:rsidR="00DF50B1">
        <w:rPr>
          <w:rFonts w:ascii="Times New Roman" w:hAnsi="Times New Roman" w:cs="Times New Roman"/>
          <w:sz w:val="24"/>
          <w:szCs w:val="24"/>
        </w:rPr>
        <w:t>2700,0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F70E47">
        <w:rPr>
          <w:rFonts w:ascii="Times New Roman" w:hAnsi="Times New Roman" w:cs="Times New Roman"/>
          <w:sz w:val="24"/>
          <w:szCs w:val="24"/>
        </w:rPr>
        <w:t xml:space="preserve"> на каждый год.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F5815">
        <w:rPr>
          <w:rFonts w:ascii="Times New Roman" w:hAnsi="Times New Roman" w:cs="Times New Roman"/>
          <w:sz w:val="24"/>
          <w:szCs w:val="24"/>
        </w:rPr>
        <w:t>1</w:t>
      </w:r>
      <w:r w:rsidR="00DF50B1">
        <w:rPr>
          <w:rFonts w:ascii="Times New Roman" w:hAnsi="Times New Roman" w:cs="Times New Roman"/>
          <w:sz w:val="24"/>
          <w:szCs w:val="24"/>
        </w:rPr>
        <w:t>7,5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DF50B1">
        <w:rPr>
          <w:rFonts w:ascii="Times New Roman" w:hAnsi="Times New Roman" w:cs="Times New Roman"/>
          <w:sz w:val="24"/>
          <w:szCs w:val="24"/>
        </w:rPr>
        <w:t xml:space="preserve"> на уровне 2020 года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50B1">
        <w:rPr>
          <w:rFonts w:ascii="Times New Roman" w:hAnsi="Times New Roman" w:cs="Times New Roman"/>
          <w:sz w:val="24"/>
          <w:szCs w:val="24"/>
        </w:rPr>
        <w:t>1700,0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CF64A0">
        <w:rPr>
          <w:rFonts w:ascii="Times New Roman" w:hAnsi="Times New Roman" w:cs="Times New Roman"/>
          <w:sz w:val="24"/>
          <w:szCs w:val="24"/>
        </w:rPr>
        <w:t xml:space="preserve">, что составит  </w:t>
      </w:r>
      <w:r w:rsidR="00DF50B1">
        <w:rPr>
          <w:rFonts w:ascii="Times New Roman" w:hAnsi="Times New Roman" w:cs="Times New Roman"/>
          <w:sz w:val="24"/>
          <w:szCs w:val="24"/>
        </w:rPr>
        <w:t>11,0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>.  Удельный вес налога составит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>11,0</w:t>
      </w:r>
      <w:r w:rsidR="00CF64A0" w:rsidRPr="00063062">
        <w:rPr>
          <w:rFonts w:ascii="Times New Roman" w:hAnsi="Times New Roman" w:cs="Times New Roman"/>
          <w:sz w:val="24"/>
          <w:szCs w:val="24"/>
        </w:rPr>
        <w:t>% от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CF64A0">
        <w:rPr>
          <w:rFonts w:ascii="Times New Roman" w:hAnsi="Times New Roman" w:cs="Times New Roman"/>
          <w:sz w:val="24"/>
          <w:szCs w:val="24"/>
        </w:rPr>
        <w:t>налоговых до</w:t>
      </w:r>
      <w:r w:rsidR="00CF64A0" w:rsidRPr="00063062">
        <w:rPr>
          <w:rFonts w:ascii="Times New Roman" w:hAnsi="Times New Roman" w:cs="Times New Roman"/>
          <w:sz w:val="24"/>
          <w:szCs w:val="24"/>
        </w:rPr>
        <w:t>ходов</w:t>
      </w:r>
      <w:r w:rsidR="00CF64A0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B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A502E8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0B1">
        <w:rPr>
          <w:rFonts w:ascii="Times New Roman" w:eastAsia="Times New Roman" w:hAnsi="Times New Roman" w:cs="Times New Roman"/>
          <w:sz w:val="24"/>
          <w:szCs w:val="24"/>
          <w:lang w:eastAsia="ru-RU"/>
        </w:rPr>
        <w:t>670,0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50B1">
        <w:rPr>
          <w:rFonts w:ascii="Times New Roman" w:eastAsia="Times New Roman" w:hAnsi="Times New Roman" w:cs="Times New Roman"/>
          <w:sz w:val="24"/>
          <w:szCs w:val="24"/>
          <w:lang w:eastAsia="ru-RU"/>
        </w:rPr>
        <w:t>1896,0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50B1">
        <w:rPr>
          <w:rFonts w:ascii="Times New Roman" w:eastAsia="Times New Roman" w:hAnsi="Times New Roman" w:cs="Times New Roman"/>
          <w:sz w:val="24"/>
          <w:szCs w:val="24"/>
          <w:lang w:eastAsia="ru-RU"/>
        </w:rPr>
        <w:t>41,5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A6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08E" w:rsidRDefault="0081608E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8E" w:rsidRDefault="0081608E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0"/>
        <w:gridCol w:w="992"/>
        <w:gridCol w:w="1134"/>
        <w:gridCol w:w="851"/>
        <w:gridCol w:w="1134"/>
        <w:gridCol w:w="992"/>
        <w:gridCol w:w="850"/>
      </w:tblGrid>
      <w:tr w:rsidR="00A502E8" w:rsidRPr="00A502E8" w:rsidTr="00A502E8">
        <w:trPr>
          <w:trHeight w:val="315"/>
        </w:trPr>
        <w:tc>
          <w:tcPr>
            <w:tcW w:w="3700" w:type="dxa"/>
            <w:vMerge w:val="restart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У</w:t>
            </w:r>
            <w:r w:rsidRPr="00A502E8">
              <w:rPr>
                <w:rFonts w:ascii="Times New Roman" w:hAnsi="Times New Roman"/>
                <w:szCs w:val="20"/>
              </w:rPr>
              <w:t>твержд</w:t>
            </w:r>
            <w:r w:rsidRPr="00A502E8">
              <w:rPr>
                <w:rFonts w:ascii="Times New Roman" w:hAnsi="Times New Roman"/>
              </w:rPr>
              <w:t xml:space="preserve">енная </w:t>
            </w:r>
            <w:r w:rsidRPr="00A502E8">
              <w:rPr>
                <w:rFonts w:ascii="Times New Roman" w:hAnsi="Times New Roman"/>
                <w:szCs w:val="20"/>
              </w:rPr>
              <w:t xml:space="preserve"> на 2020 г.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Проект на  2021 год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Динамика</w:t>
            </w:r>
          </w:p>
        </w:tc>
      </w:tr>
      <w:tr w:rsidR="00A502E8" w:rsidRPr="00A502E8" w:rsidTr="00A502E8">
        <w:trPr>
          <w:trHeight w:val="525"/>
        </w:trPr>
        <w:tc>
          <w:tcPr>
            <w:tcW w:w="3700" w:type="dxa"/>
            <w:vMerge/>
            <w:vAlign w:val="center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сумма</w:t>
            </w:r>
          </w:p>
        </w:tc>
        <w:tc>
          <w:tcPr>
            <w:tcW w:w="1134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удельный вес, %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сумма</w:t>
            </w:r>
          </w:p>
        </w:tc>
        <w:tc>
          <w:tcPr>
            <w:tcW w:w="1134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удельный вес, %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(+ ; -)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%</w:t>
            </w:r>
          </w:p>
        </w:tc>
      </w:tr>
      <w:tr w:rsidR="00A502E8" w:rsidRPr="00A502E8" w:rsidTr="00A502E8">
        <w:trPr>
          <w:trHeight w:val="375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 xml:space="preserve">Неналоговые доходы,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4565,7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2670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-1895,7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58,5</w:t>
            </w:r>
          </w:p>
        </w:tc>
      </w:tr>
      <w:tr w:rsidR="00A502E8" w:rsidRPr="00A502E8" w:rsidTr="00A502E8">
        <w:trPr>
          <w:trHeight w:val="315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</w:tr>
      <w:tr w:rsidR="00A502E8" w:rsidRPr="00A502E8" w:rsidTr="00A502E8">
        <w:trPr>
          <w:trHeight w:val="457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арендной платы за земли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6,6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200,0</w:t>
            </w:r>
          </w:p>
        </w:tc>
      </w:tr>
      <w:tr w:rsidR="00A502E8" w:rsidRPr="00A502E8" w:rsidTr="00A502E8">
        <w:trPr>
          <w:trHeight w:val="540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6,8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-10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96,8</w:t>
            </w:r>
          </w:p>
        </w:tc>
      </w:tr>
      <w:tr w:rsidR="00A502E8" w:rsidRPr="00A502E8" w:rsidTr="00A502E8">
        <w:trPr>
          <w:trHeight w:val="571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прибыли унитарных предприятий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-600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A502E8" w:rsidRPr="00A502E8" w:rsidTr="00A502E8">
        <w:trPr>
          <w:trHeight w:val="551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использования имущества ( плата за наем)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570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21,3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-30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95,0</w:t>
            </w:r>
          </w:p>
        </w:tc>
      </w:tr>
      <w:tr w:rsidR="00A502E8" w:rsidRPr="00A502E8" w:rsidTr="00A502E8">
        <w:trPr>
          <w:trHeight w:val="701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Административные платежи и сборы, штрафы, санкции, возмещение ущерба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-1,8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A502E8" w:rsidRPr="00A502E8" w:rsidTr="00A502E8">
        <w:trPr>
          <w:trHeight w:val="457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платных услуг, компенсация затрат государства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3,7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111,1</w:t>
            </w:r>
          </w:p>
        </w:tc>
      </w:tr>
      <w:tr w:rsidR="00A502E8" w:rsidRPr="00A502E8" w:rsidTr="00A502E8">
        <w:trPr>
          <w:trHeight w:val="465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Доходы от продажи материальных активов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2663,9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58,3</w:t>
            </w:r>
          </w:p>
        </w:tc>
        <w:tc>
          <w:tcPr>
            <w:tcW w:w="851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-1563,9</w:t>
            </w:r>
          </w:p>
        </w:tc>
        <w:tc>
          <w:tcPr>
            <w:tcW w:w="850" w:type="dxa"/>
            <w:shd w:val="clear" w:color="auto" w:fill="auto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  <w:szCs w:val="20"/>
              </w:rPr>
              <w:t>41,3</w:t>
            </w:r>
          </w:p>
        </w:tc>
      </w:tr>
      <w:tr w:rsidR="00A502E8" w:rsidRPr="00A502E8" w:rsidTr="00A502E8">
        <w:trPr>
          <w:trHeight w:val="203"/>
        </w:trPr>
        <w:tc>
          <w:tcPr>
            <w:tcW w:w="3700" w:type="dxa"/>
            <w:shd w:val="clear" w:color="auto" w:fill="auto"/>
            <w:vAlign w:val="bottom"/>
            <w:hideMark/>
          </w:tcPr>
          <w:p w:rsidR="00A502E8" w:rsidRPr="00A502E8" w:rsidRDefault="00A502E8" w:rsidP="00A502E8">
            <w:pPr>
              <w:pStyle w:val="ac"/>
              <w:rPr>
                <w:rFonts w:ascii="Times New Roman" w:hAnsi="Times New Roman"/>
                <w:b/>
                <w:szCs w:val="20"/>
              </w:rPr>
            </w:pPr>
            <w:r w:rsidRPr="00A502E8">
              <w:rPr>
                <w:rFonts w:ascii="Times New Roman" w:hAnsi="Times New Roman"/>
                <w:b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502E8" w:rsidRPr="00A502E8" w:rsidRDefault="00A502E8" w:rsidP="00A502E8">
            <w:pPr>
              <w:pStyle w:val="ac"/>
              <w:jc w:val="right"/>
              <w:rPr>
                <w:rFonts w:ascii="Times New Roman" w:hAnsi="Times New Roman"/>
                <w:szCs w:val="20"/>
              </w:rPr>
            </w:pPr>
            <w:r w:rsidRPr="00A502E8">
              <w:rPr>
                <w:rFonts w:ascii="Times New Roman" w:hAnsi="Times New Roman"/>
              </w:rPr>
              <w:t> </w:t>
            </w:r>
          </w:p>
        </w:tc>
      </w:tr>
    </w:tbl>
    <w:p w:rsidR="00A502E8" w:rsidRDefault="00A502E8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земли- 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600,0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A502E8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300,0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502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BFF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использования имущества ( плата за наем)- 570,0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платных услуг и компенсация затрат -100,0 тыс. руб.,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 активов- 1100,0 тыс. руб.</w:t>
      </w:r>
    </w:p>
    <w:p w:rsidR="00570B73" w:rsidRDefault="00570B73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неналоговых доходов не  включены доходы от перечисления части прибыли  </w:t>
      </w:r>
      <w:proofErr w:type="spellStart"/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МУПа</w:t>
      </w:r>
      <w:proofErr w:type="spellEnd"/>
      <w:r w:rsidRPr="0057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Доля неналоговых доходов в доходах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>14,8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10,6 %-</w:t>
      </w:r>
      <w:proofErr w:type="spellStart"/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57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ниже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2020 года.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8358,6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58,2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9369,7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112,1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9369,7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21,1 %-</w:t>
      </w:r>
      <w:proofErr w:type="spellStart"/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9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514641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581FA1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F53694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51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9744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15380,5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36,8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26418,9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ра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сходов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26954,2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планируется увеличение  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 27510,8 тыс. руб. , или на  0,2</w:t>
      </w:r>
      <w:r w:rsidR="0082282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</w:t>
      </w:r>
    </w:p>
    <w:p w:rsidR="0074252B" w:rsidRDefault="0081608E" w:rsidP="0081608E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243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руктура</w:t>
      </w:r>
      <w:proofErr w:type="spellEnd"/>
      <w:r w:rsidR="0064243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1019"/>
        <w:gridCol w:w="709"/>
        <w:gridCol w:w="1231"/>
        <w:gridCol w:w="754"/>
        <w:gridCol w:w="992"/>
        <w:gridCol w:w="850"/>
      </w:tblGrid>
      <w:tr w:rsidR="00763880" w:rsidRPr="00763880" w:rsidTr="00E0393A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763880" w:rsidRPr="00763880" w:rsidTr="00884F0E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81608E" w:rsidRDefault="009F632B" w:rsidP="00E42A93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608E">
              <w:rPr>
                <w:rFonts w:ascii="Times New Roman" w:hAnsi="Times New Roman"/>
                <w:b/>
                <w:sz w:val="18"/>
                <w:szCs w:val="18"/>
              </w:rPr>
              <w:t>уд. вес (%)</w:t>
            </w:r>
          </w:p>
        </w:tc>
      </w:tr>
      <w:tr w:rsidR="00884F0E" w:rsidRPr="00763880" w:rsidTr="00884F0E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41799,4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26418,9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26954,2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27510,8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84F0E" w:rsidRPr="00763880" w:rsidTr="00884F0E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5694,9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5340,4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4764,4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4759,2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89,2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4F0E" w:rsidRPr="00763880" w:rsidTr="00884F0E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130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4F0E" w:rsidRPr="00763880" w:rsidTr="00884F0E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6042,8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5365,7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6050,1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6295,7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884F0E" w:rsidRPr="00763880" w:rsidTr="00884F0E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112,8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27969,8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14186,1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14325,1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14182,1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776,3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773,7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773,7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773,7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1608E">
        <w:trPr>
          <w:trHeight w:val="37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88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781,9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683,0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583,0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85,4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07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07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403,6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18,2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07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07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5B2284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5B2284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0,3</w:t>
            </w:r>
            <w:r w:rsidR="00884F0E"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5B2284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26,0</w:t>
            </w:r>
            <w:r w:rsidR="00884F0E"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5B2284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884F0E" w:rsidRPr="00884F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5B2284" w:rsidP="005B2284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F0E" w:rsidRPr="00763880" w:rsidTr="00884F0E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63880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439,6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F0E">
              <w:rPr>
                <w:rFonts w:ascii="Times New Roman" w:hAnsi="Times New Roman"/>
              </w:rPr>
              <w:t>907,1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F0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884F0E" w:rsidRPr="00763880" w:rsidTr="00884F0E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711386" w:rsidRDefault="00884F0E" w:rsidP="00711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113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9F632B" w:rsidRDefault="00884F0E" w:rsidP="00711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6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84F0E">
              <w:rPr>
                <w:rFonts w:ascii="Times New Roman" w:hAnsi="Times New Roman"/>
                <w:i/>
                <w:iCs/>
                <w:sz w:val="18"/>
                <w:szCs w:val="18"/>
              </w:rPr>
              <w:t>206,3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F0E" w:rsidRPr="00884F0E" w:rsidRDefault="00884F0E" w:rsidP="00884F0E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84F0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BF319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меньшится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>5340,4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планируется с уменьшением на 10,8 %  и составят 4764,4 тыс. руб.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уменьшением на 0,1 % до 4759,2 тыс. руб. 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20,2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-2023 годы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r w:rsidR="00E03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565">
        <w:rPr>
          <w:rFonts w:ascii="Times New Roman" w:eastAsia="Calibri" w:hAnsi="Times New Roman" w:cs="Times New Roman"/>
          <w:sz w:val="24"/>
          <w:szCs w:val="24"/>
        </w:rPr>
        <w:t>3373,0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166">
        <w:rPr>
          <w:rFonts w:ascii="Times New Roman" w:hAnsi="Times New Roman" w:cs="Times New Roman"/>
          <w:b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D35565">
        <w:rPr>
          <w:rFonts w:ascii="Times New Roman" w:eastAsia="Calibri" w:hAnsi="Times New Roman" w:cs="Times New Roman"/>
          <w:sz w:val="24"/>
          <w:szCs w:val="24"/>
        </w:rPr>
        <w:t>90,0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Default="007B15C1" w:rsidP="00D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</w:t>
      </w:r>
      <w:r w:rsidR="00D35565">
        <w:rPr>
          <w:rFonts w:ascii="Times New Roman" w:eastAsia="Calibri" w:hAnsi="Times New Roman" w:cs="Times New Roman"/>
          <w:sz w:val="24"/>
          <w:szCs w:val="24"/>
        </w:rPr>
        <w:t>и " Развитие имущественных и земельных отношений". Н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а содержание административно-хозяйственного персонала  на 2021 год </w:t>
      </w:r>
      <w:r w:rsidR="00D35565">
        <w:rPr>
          <w:rFonts w:ascii="Times New Roman" w:eastAsia="Calibri" w:hAnsi="Times New Roman" w:cs="Times New Roman"/>
          <w:sz w:val="24"/>
          <w:szCs w:val="24"/>
        </w:rPr>
        <w:t>предусматривается ассигнования в сумме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565">
        <w:rPr>
          <w:rFonts w:ascii="Times New Roman" w:eastAsia="Calibri" w:hAnsi="Times New Roman" w:cs="Times New Roman"/>
          <w:sz w:val="24"/>
          <w:szCs w:val="24"/>
        </w:rPr>
        <w:t>855,9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предусматриваются средства</w:t>
      </w:r>
      <w:r w:rsidR="00FE4FA6">
        <w:rPr>
          <w:rFonts w:ascii="Times New Roman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35565">
        <w:rPr>
          <w:rFonts w:ascii="Times New Roman" w:eastAsia="Calibri" w:hAnsi="Times New Roman" w:cs="Times New Roman"/>
          <w:sz w:val="24"/>
          <w:szCs w:val="24"/>
        </w:rPr>
        <w:t>21,0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565" w:rsidRDefault="00D35565" w:rsidP="00D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Расходы на проведение кадастровых работ составят 300,0 тыс. руб. На выполнение полномочий  по техническом учету, инвентаризации и   определение кадастровой стоимости  объектов предусматриваются 200,0 тыс. руб. На вовлечение в хозяйственный оборот  объектов муниципальной казны </w:t>
      </w:r>
      <w:r w:rsidR="008D51B7">
        <w:rPr>
          <w:rFonts w:ascii="Times New Roman" w:eastAsia="Calibri" w:hAnsi="Times New Roman" w:cs="Times New Roman"/>
          <w:sz w:val="24"/>
          <w:szCs w:val="24"/>
        </w:rPr>
        <w:t xml:space="preserve"> на 2021 год выделяются 475,0 тыс. руб. </w:t>
      </w:r>
    </w:p>
    <w:p w:rsidR="00E671BB" w:rsidRDefault="00E671BB" w:rsidP="00AA32E3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Расходы бюджета по  разделу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2021 год  планируются с уменьшением к утвержденной  на 2020 год  величине расходов на 11,2 %  и составят 45365,7 тыс. руб. На 2022 год прогнозируются  с приростом на 12,8 % в сумме 6050,1 тыс. руб.  В 2023 году расходы увеличатся еще на 4,12 % и составят 6295,7 тыс. руб. </w:t>
      </w:r>
    </w:p>
    <w:p w:rsidR="00E671BB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Удельный вес расходов  по разделу в 2021 году составят 20,3 % .</w:t>
      </w:r>
    </w:p>
    <w:p w:rsidR="00E671BB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B7" w:rsidRDefault="00E671BB" w:rsidP="00E671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3D7"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"</w:t>
      </w:r>
      <w:r w:rsidR="00856432"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</w:t>
      </w:r>
      <w:r w:rsidR="000924A0" w:rsidRPr="000924A0">
        <w:rPr>
          <w:rFonts w:ascii="Times New Roman" w:eastAsia="Calibri" w:hAnsi="Times New Roman" w:cs="Times New Roman"/>
          <w:sz w:val="24"/>
          <w:szCs w:val="24"/>
        </w:rPr>
        <w:t>»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составят </w:t>
      </w:r>
      <w:r w:rsidR="008D51B7">
        <w:rPr>
          <w:rFonts w:ascii="Times New Roman" w:eastAsia="Times New Roman" w:hAnsi="Times New Roman" w:cs="Times New Roman"/>
          <w:sz w:val="24"/>
          <w:szCs w:val="24"/>
          <w:lang w:eastAsia="ru-RU"/>
        </w:rPr>
        <w:t>5030,5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Default="008D51B7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программе " Содействие занятости населения"  в планируемом году составят 250,0 тыс. руб.</w:t>
      </w:r>
    </w:p>
    <w:p w:rsidR="008D51B7" w:rsidRDefault="008D51B7" w:rsidP="00140681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программе " Развитие сельского хозяйства" в 2021 году составят 85,2 тыс. руб. </w:t>
      </w:r>
    </w:p>
    <w:p w:rsidR="00AA32E3" w:rsidRDefault="00BF3190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D4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14186,1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 уровню 202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27969,8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AA32E3" w:rsidRDefault="00344437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678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14325,1</w:t>
      </w:r>
      <w:r w:rsidR="00D4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14182,1 тыс. руб. соответственно.</w:t>
      </w:r>
    </w:p>
    <w:p w:rsidR="00AA32E3" w:rsidRDefault="00136E68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 w:rsidR="00AA32E3"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 w:rsidR="00BA0E35">
        <w:rPr>
          <w:rFonts w:ascii="Times New Roman" w:hAnsi="Times New Roman" w:cs="Times New Roman"/>
          <w:sz w:val="24"/>
          <w:szCs w:val="24"/>
        </w:rPr>
        <w:t>хозяйства</w:t>
      </w:r>
      <w:r w:rsidR="00AA32E3">
        <w:rPr>
          <w:rFonts w:ascii="Times New Roman" w:hAnsi="Times New Roman" w:cs="Times New Roman"/>
          <w:sz w:val="24"/>
          <w:szCs w:val="24"/>
        </w:rPr>
        <w:t>" и " Формирование современной городской среды"</w:t>
      </w:r>
      <w:r w:rsidR="00BA0E35">
        <w:rPr>
          <w:rFonts w:ascii="Times New Roman" w:hAnsi="Times New Roman" w:cs="Times New Roman"/>
          <w:sz w:val="24"/>
          <w:szCs w:val="24"/>
        </w:rPr>
        <w:t>.</w:t>
      </w:r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90" w:rsidRPr="00F11F4A" w:rsidRDefault="00BA0E35" w:rsidP="00AA32E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AA32E3">
        <w:rPr>
          <w:rFonts w:ascii="Times New Roman" w:eastAsia="Times New Roman" w:hAnsi="Times New Roman" w:cs="Times New Roman"/>
          <w:sz w:val="24"/>
          <w:szCs w:val="24"/>
          <w:lang w:eastAsia="ru-RU"/>
        </w:rPr>
        <w:t>53,7 %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61B" w:rsidRDefault="00BF3190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194A9E">
        <w:rPr>
          <w:rFonts w:ascii="Times New Roman" w:hAnsi="Times New Roman" w:cs="Times New Roman"/>
          <w:sz w:val="24"/>
          <w:szCs w:val="24"/>
        </w:rPr>
        <w:t>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AA32E3">
        <w:rPr>
          <w:rFonts w:ascii="Times New Roman" w:hAnsi="Times New Roman" w:cs="Times New Roman"/>
          <w:sz w:val="24"/>
          <w:szCs w:val="24"/>
        </w:rPr>
        <w:t>773,7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AA32E3">
        <w:rPr>
          <w:rFonts w:ascii="Times New Roman" w:hAnsi="Times New Roman" w:cs="Times New Roman"/>
          <w:sz w:val="24"/>
          <w:szCs w:val="24"/>
        </w:rPr>
        <w:t>776,3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с</w:t>
      </w:r>
      <w:r w:rsidR="00AA32E3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  <w:r w:rsidR="00D44556">
        <w:rPr>
          <w:rFonts w:ascii="Times New Roman" w:hAnsi="Times New Roman" w:cs="Times New Roman"/>
          <w:sz w:val="24"/>
          <w:szCs w:val="24"/>
        </w:rPr>
        <w:t xml:space="preserve"> на 0,</w:t>
      </w:r>
      <w:r w:rsidR="00AA32E3">
        <w:rPr>
          <w:rFonts w:ascii="Times New Roman" w:hAnsi="Times New Roman" w:cs="Times New Roman"/>
          <w:sz w:val="24"/>
          <w:szCs w:val="24"/>
        </w:rPr>
        <w:t>3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</w:t>
      </w:r>
      <w:r w:rsidR="00AA32E3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C5F85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4102BF">
        <w:rPr>
          <w:rFonts w:ascii="Times New Roman" w:hAnsi="Times New Roman" w:cs="Times New Roman"/>
          <w:sz w:val="24"/>
          <w:szCs w:val="24"/>
        </w:rPr>
        <w:t>773,7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BF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102BF">
        <w:rPr>
          <w:rFonts w:ascii="Times New Roman" w:hAnsi="Times New Roman" w:cs="Times New Roman"/>
          <w:sz w:val="24"/>
          <w:szCs w:val="24"/>
        </w:rPr>
        <w:t>2,9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2BF" w:rsidRDefault="00D441AE" w:rsidP="0081608E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2BF" w:rsidRPr="00775C47">
        <w:rPr>
          <w:rFonts w:ascii="Times New Roman" w:hAnsi="Times New Roman" w:cs="Times New Roman"/>
          <w:sz w:val="24"/>
          <w:szCs w:val="24"/>
        </w:rPr>
        <w:t xml:space="preserve">Бюджетные ассигнования по </w:t>
      </w:r>
      <w:r w:rsidR="004102BF" w:rsidRPr="00362D4D">
        <w:rPr>
          <w:rFonts w:ascii="Times New Roman" w:hAnsi="Times New Roman" w:cs="Times New Roman"/>
          <w:b/>
          <w:sz w:val="24"/>
          <w:szCs w:val="24"/>
        </w:rPr>
        <w:t>разделу</w:t>
      </w:r>
      <w:r w:rsidR="004102BF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4102BF" w:rsidRPr="00775C47">
        <w:rPr>
          <w:rFonts w:ascii="Times New Roman" w:hAnsi="Times New Roman" w:cs="Times New Roman"/>
          <w:b/>
          <w:sz w:val="24"/>
          <w:szCs w:val="24"/>
        </w:rPr>
        <w:t xml:space="preserve"> «Социальная политика»</w:t>
      </w:r>
      <w:r w:rsidR="00410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BF" w:rsidRPr="00775C47">
        <w:rPr>
          <w:rFonts w:ascii="Times New Roman" w:hAnsi="Times New Roman" w:cs="Times New Roman"/>
          <w:sz w:val="24"/>
          <w:szCs w:val="24"/>
        </w:rPr>
        <w:t xml:space="preserve">предусмотрены на реализацию </w:t>
      </w:r>
      <w:r w:rsidR="004102BF">
        <w:rPr>
          <w:rFonts w:ascii="Times New Roman" w:hAnsi="Times New Roman" w:cs="Times New Roman"/>
          <w:sz w:val="24"/>
          <w:szCs w:val="24"/>
        </w:rPr>
        <w:t>следующих программ:</w:t>
      </w:r>
    </w:p>
    <w:p w:rsidR="004102BF" w:rsidRPr="00775C47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75C47">
        <w:rPr>
          <w:rFonts w:ascii="Times New Roman" w:hAnsi="Times New Roman" w:cs="Times New Roman"/>
          <w:sz w:val="24"/>
          <w:szCs w:val="24"/>
        </w:rPr>
        <w:t>муниципальной программы "Социальная поддержка граждан" на выплату муниципальной пенсии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775C4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C4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83,0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8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775C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02BF" w:rsidRPr="002C4FC1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75C47">
        <w:rPr>
          <w:rFonts w:ascii="Times New Roman" w:hAnsi="Times New Roman" w:cs="Times New Roman"/>
          <w:sz w:val="24"/>
          <w:szCs w:val="24"/>
        </w:rPr>
        <w:t>муниципальной программы "Обеспечение граждан в Чувашской Республике доступным и комфортным жильем" на обеспечение жильем молодых семей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предусматриваются бюджетные ассигнования в сумме </w:t>
      </w:r>
      <w:r w:rsidRPr="0077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C4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5C4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C47">
        <w:rPr>
          <w:rFonts w:ascii="Times New Roman" w:hAnsi="Times New Roman" w:cs="Times New Roman"/>
          <w:sz w:val="24"/>
          <w:szCs w:val="24"/>
        </w:rPr>
        <w:t>00,0 тыс. рублей</w:t>
      </w:r>
      <w:r w:rsidRPr="002C4FC1">
        <w:t>.</w:t>
      </w:r>
    </w:p>
    <w:p w:rsidR="004102BF" w:rsidRPr="00302AEE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выделяемых бюджетных ассигнований по разделу "Социальная политика"  на 2021 год составит 683,0 тыс. руб. , что составляет 87,4 % к запланированному уровню 2020 года . 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 2022 и  2023 годов   предусматривается выделение средств  по 583,0 тыс. руб. ежегодно.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2021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2,6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61B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2,2%,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561B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2,1 %.</w:t>
      </w:r>
    </w:p>
    <w:p w:rsidR="004102BF" w:rsidRDefault="004102BF" w:rsidP="004102BF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D4D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2268FC">
        <w:rPr>
          <w:rFonts w:ascii="Times New Roman" w:hAnsi="Times New Roman" w:cs="Times New Roman"/>
          <w:b/>
          <w:sz w:val="24"/>
          <w:szCs w:val="24"/>
        </w:rPr>
        <w:t>11 «Физическая культура и спорт»</w:t>
      </w:r>
      <w:r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Pr="00362D4D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муниципальной программы "Развитие физической культуры и спорта" на проведение спортивных мероприятий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4D">
        <w:rPr>
          <w:rFonts w:ascii="Times New Roman" w:hAnsi="Times New Roman" w:cs="Times New Roman"/>
          <w:sz w:val="24"/>
          <w:szCs w:val="24"/>
        </w:rPr>
        <w:t>70,0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 утвержденным бюджетным назначением  20</w:t>
      </w:r>
      <w:r w:rsidR="005B22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 </w:t>
      </w:r>
      <w:r w:rsidR="005B2284">
        <w:rPr>
          <w:rFonts w:ascii="Times New Roman" w:hAnsi="Times New Roman" w:cs="Times New Roman"/>
          <w:sz w:val="24"/>
          <w:szCs w:val="24"/>
        </w:rPr>
        <w:t>403,6</w:t>
      </w:r>
      <w:r>
        <w:rPr>
          <w:rFonts w:ascii="Times New Roman" w:hAnsi="Times New Roman" w:cs="Times New Roman"/>
          <w:sz w:val="24"/>
          <w:szCs w:val="24"/>
        </w:rPr>
        <w:t xml:space="preserve"> тыс. руб.) расходы в  202</w:t>
      </w:r>
      <w:r w:rsidR="005B22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  уменьшатся в </w:t>
      </w:r>
      <w:r w:rsidR="005B2284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4102BF" w:rsidRDefault="004102BF" w:rsidP="004102BF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0,3</w:t>
      </w:r>
      <w:r w:rsidRPr="004056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D441A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439,6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907,1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581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Ибресинском</w:t>
      </w:r>
      <w:proofErr w:type="spellEnd"/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26418,9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26954,2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5B2284">
        <w:rPr>
          <w:rFonts w:ascii="Times New Roman" w:eastAsia="Times New Roman" w:hAnsi="Times New Roman" w:cs="Times New Roman"/>
          <w:sz w:val="24"/>
          <w:szCs w:val="24"/>
          <w:lang w:eastAsia="ru-RU"/>
        </w:rPr>
        <w:t>27510,8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33057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26418,9 </w:t>
      </w:r>
      <w:r w:rsidR="00171414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–26954,2 тыс. рублей, на 2023 год –27510,8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439,6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>9369,7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3A2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городского</w:t>
      </w:r>
      <w:r w:rsidR="0017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58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городского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61" w:rsidRDefault="00D36D61" w:rsidP="00B1668B">
      <w:pPr>
        <w:spacing w:after="0" w:line="240" w:lineRule="auto"/>
      </w:pPr>
      <w:r>
        <w:separator/>
      </w:r>
    </w:p>
  </w:endnote>
  <w:endnote w:type="continuationSeparator" w:id="0">
    <w:p w:rsidR="00D36D61" w:rsidRDefault="00D36D61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61" w:rsidRDefault="00D36D61" w:rsidP="00B1668B">
      <w:pPr>
        <w:spacing w:after="0" w:line="240" w:lineRule="auto"/>
      </w:pPr>
      <w:r>
        <w:separator/>
      </w:r>
    </w:p>
  </w:footnote>
  <w:footnote w:type="continuationSeparator" w:id="0">
    <w:p w:rsidR="00D36D61" w:rsidRDefault="00D36D61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23A9C"/>
    <w:rsid w:val="0002451D"/>
    <w:rsid w:val="00032AAB"/>
    <w:rsid w:val="000335E2"/>
    <w:rsid w:val="00036767"/>
    <w:rsid w:val="0004144C"/>
    <w:rsid w:val="00042891"/>
    <w:rsid w:val="00042F22"/>
    <w:rsid w:val="00043B58"/>
    <w:rsid w:val="00055C89"/>
    <w:rsid w:val="000565CF"/>
    <w:rsid w:val="00063062"/>
    <w:rsid w:val="00070853"/>
    <w:rsid w:val="00070C59"/>
    <w:rsid w:val="00076064"/>
    <w:rsid w:val="00082CC8"/>
    <w:rsid w:val="00083983"/>
    <w:rsid w:val="000924A0"/>
    <w:rsid w:val="00093D75"/>
    <w:rsid w:val="000C1F1C"/>
    <w:rsid w:val="000C4EEB"/>
    <w:rsid w:val="000C773C"/>
    <w:rsid w:val="000D6F88"/>
    <w:rsid w:val="000E4AF7"/>
    <w:rsid w:val="00104BC5"/>
    <w:rsid w:val="00115C3C"/>
    <w:rsid w:val="00123F68"/>
    <w:rsid w:val="00136E68"/>
    <w:rsid w:val="00140681"/>
    <w:rsid w:val="00140F45"/>
    <w:rsid w:val="001510D3"/>
    <w:rsid w:val="0015765C"/>
    <w:rsid w:val="00162E87"/>
    <w:rsid w:val="00171414"/>
    <w:rsid w:val="0017386E"/>
    <w:rsid w:val="001816CA"/>
    <w:rsid w:val="001842CA"/>
    <w:rsid w:val="001860B2"/>
    <w:rsid w:val="00194A9E"/>
    <w:rsid w:val="001A0E23"/>
    <w:rsid w:val="001A2095"/>
    <w:rsid w:val="001B66D2"/>
    <w:rsid w:val="001D05CC"/>
    <w:rsid w:val="00200405"/>
    <w:rsid w:val="00204BDB"/>
    <w:rsid w:val="00223448"/>
    <w:rsid w:val="0023175C"/>
    <w:rsid w:val="00242130"/>
    <w:rsid w:val="00264233"/>
    <w:rsid w:val="00264EEE"/>
    <w:rsid w:val="002654BF"/>
    <w:rsid w:val="002749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6DC9"/>
    <w:rsid w:val="002F7421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42BF"/>
    <w:rsid w:val="0037526F"/>
    <w:rsid w:val="00376983"/>
    <w:rsid w:val="0037772C"/>
    <w:rsid w:val="003804B9"/>
    <w:rsid w:val="00381A08"/>
    <w:rsid w:val="00391901"/>
    <w:rsid w:val="003979FD"/>
    <w:rsid w:val="003A037C"/>
    <w:rsid w:val="003A282E"/>
    <w:rsid w:val="003A70FD"/>
    <w:rsid w:val="003C29F6"/>
    <w:rsid w:val="003C2E26"/>
    <w:rsid w:val="003C5F85"/>
    <w:rsid w:val="003C6EC6"/>
    <w:rsid w:val="003D6647"/>
    <w:rsid w:val="003E3B2D"/>
    <w:rsid w:val="003F0895"/>
    <w:rsid w:val="0040561B"/>
    <w:rsid w:val="004102BF"/>
    <w:rsid w:val="00416004"/>
    <w:rsid w:val="004219FB"/>
    <w:rsid w:val="00422E59"/>
    <w:rsid w:val="00426DA9"/>
    <w:rsid w:val="00427294"/>
    <w:rsid w:val="00431153"/>
    <w:rsid w:val="00441CAB"/>
    <w:rsid w:val="004527FD"/>
    <w:rsid w:val="00460203"/>
    <w:rsid w:val="004626D9"/>
    <w:rsid w:val="00467B69"/>
    <w:rsid w:val="004767A0"/>
    <w:rsid w:val="00483522"/>
    <w:rsid w:val="00484C36"/>
    <w:rsid w:val="00497C3A"/>
    <w:rsid w:val="004B13AD"/>
    <w:rsid w:val="004B6BAB"/>
    <w:rsid w:val="004C2BAB"/>
    <w:rsid w:val="004C39AC"/>
    <w:rsid w:val="004D26BF"/>
    <w:rsid w:val="004D42CF"/>
    <w:rsid w:val="004E0DDC"/>
    <w:rsid w:val="004E369C"/>
    <w:rsid w:val="004E5AAC"/>
    <w:rsid w:val="004E5E15"/>
    <w:rsid w:val="004E7214"/>
    <w:rsid w:val="004F04C9"/>
    <w:rsid w:val="004F4F3F"/>
    <w:rsid w:val="0050100A"/>
    <w:rsid w:val="00511C71"/>
    <w:rsid w:val="00514641"/>
    <w:rsid w:val="00515ACA"/>
    <w:rsid w:val="00516353"/>
    <w:rsid w:val="00527566"/>
    <w:rsid w:val="00540DA7"/>
    <w:rsid w:val="00541875"/>
    <w:rsid w:val="00552389"/>
    <w:rsid w:val="005616B8"/>
    <w:rsid w:val="00561F32"/>
    <w:rsid w:val="00564C6F"/>
    <w:rsid w:val="0056759C"/>
    <w:rsid w:val="005706E6"/>
    <w:rsid w:val="00570B73"/>
    <w:rsid w:val="00574AF1"/>
    <w:rsid w:val="0057598C"/>
    <w:rsid w:val="00581EFB"/>
    <w:rsid w:val="00581FA1"/>
    <w:rsid w:val="0058255D"/>
    <w:rsid w:val="005A25BE"/>
    <w:rsid w:val="005A6013"/>
    <w:rsid w:val="005B2284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6D9D"/>
    <w:rsid w:val="0066250E"/>
    <w:rsid w:val="0066359D"/>
    <w:rsid w:val="00666B58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46A9"/>
    <w:rsid w:val="00710704"/>
    <w:rsid w:val="00711386"/>
    <w:rsid w:val="007139F1"/>
    <w:rsid w:val="007150BE"/>
    <w:rsid w:val="0072039F"/>
    <w:rsid w:val="0072217C"/>
    <w:rsid w:val="00722BB5"/>
    <w:rsid w:val="007269CC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A14C0"/>
    <w:rsid w:val="007A25F0"/>
    <w:rsid w:val="007A40C5"/>
    <w:rsid w:val="007B15C1"/>
    <w:rsid w:val="007B6FDC"/>
    <w:rsid w:val="007C0ADF"/>
    <w:rsid w:val="007C6219"/>
    <w:rsid w:val="007D18B1"/>
    <w:rsid w:val="007D45BD"/>
    <w:rsid w:val="007E4C78"/>
    <w:rsid w:val="007E5A2D"/>
    <w:rsid w:val="00801008"/>
    <w:rsid w:val="008073F4"/>
    <w:rsid w:val="0081608E"/>
    <w:rsid w:val="00817E68"/>
    <w:rsid w:val="00817F4C"/>
    <w:rsid w:val="00821923"/>
    <w:rsid w:val="00822823"/>
    <w:rsid w:val="00823A96"/>
    <w:rsid w:val="0082558C"/>
    <w:rsid w:val="00830982"/>
    <w:rsid w:val="00845D4A"/>
    <w:rsid w:val="00850A9B"/>
    <w:rsid w:val="00856432"/>
    <w:rsid w:val="00865A7D"/>
    <w:rsid w:val="00866E6F"/>
    <w:rsid w:val="00870D48"/>
    <w:rsid w:val="0088098D"/>
    <w:rsid w:val="00884F0E"/>
    <w:rsid w:val="008943FC"/>
    <w:rsid w:val="008A77E8"/>
    <w:rsid w:val="008B07F6"/>
    <w:rsid w:val="008B68CD"/>
    <w:rsid w:val="008B7DB3"/>
    <w:rsid w:val="008D51B7"/>
    <w:rsid w:val="008E2A20"/>
    <w:rsid w:val="008E4478"/>
    <w:rsid w:val="008E68E8"/>
    <w:rsid w:val="008E7A75"/>
    <w:rsid w:val="0090775D"/>
    <w:rsid w:val="00923EB8"/>
    <w:rsid w:val="00931E42"/>
    <w:rsid w:val="00931F48"/>
    <w:rsid w:val="00942B4C"/>
    <w:rsid w:val="00943DBA"/>
    <w:rsid w:val="00951B74"/>
    <w:rsid w:val="00951D39"/>
    <w:rsid w:val="00960813"/>
    <w:rsid w:val="009618D3"/>
    <w:rsid w:val="0096786B"/>
    <w:rsid w:val="00970E23"/>
    <w:rsid w:val="00972069"/>
    <w:rsid w:val="009744DC"/>
    <w:rsid w:val="00977F28"/>
    <w:rsid w:val="009A1C28"/>
    <w:rsid w:val="009A37FF"/>
    <w:rsid w:val="009A6166"/>
    <w:rsid w:val="009B52E0"/>
    <w:rsid w:val="009C1BCC"/>
    <w:rsid w:val="009C2909"/>
    <w:rsid w:val="009C31B1"/>
    <w:rsid w:val="009F632B"/>
    <w:rsid w:val="00A03BE3"/>
    <w:rsid w:val="00A057DF"/>
    <w:rsid w:val="00A175B4"/>
    <w:rsid w:val="00A2030D"/>
    <w:rsid w:val="00A21A82"/>
    <w:rsid w:val="00A2545E"/>
    <w:rsid w:val="00A37E9F"/>
    <w:rsid w:val="00A46CF8"/>
    <w:rsid w:val="00A502E8"/>
    <w:rsid w:val="00A71BC0"/>
    <w:rsid w:val="00A724EA"/>
    <w:rsid w:val="00A7669F"/>
    <w:rsid w:val="00A76A58"/>
    <w:rsid w:val="00A81767"/>
    <w:rsid w:val="00A927AD"/>
    <w:rsid w:val="00A94595"/>
    <w:rsid w:val="00AA32E3"/>
    <w:rsid w:val="00AB0938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0153"/>
    <w:rsid w:val="00B43D19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20DC6"/>
    <w:rsid w:val="00C21EA4"/>
    <w:rsid w:val="00C22157"/>
    <w:rsid w:val="00C474FB"/>
    <w:rsid w:val="00C543B0"/>
    <w:rsid w:val="00C56C50"/>
    <w:rsid w:val="00C641CF"/>
    <w:rsid w:val="00C67806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35565"/>
    <w:rsid w:val="00D36D61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97B82"/>
    <w:rsid w:val="00DA730C"/>
    <w:rsid w:val="00DC41CB"/>
    <w:rsid w:val="00DD3C67"/>
    <w:rsid w:val="00DE14CC"/>
    <w:rsid w:val="00DF50B1"/>
    <w:rsid w:val="00E00749"/>
    <w:rsid w:val="00E02E32"/>
    <w:rsid w:val="00E0393A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671BB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6320"/>
    <w:rsid w:val="00F27429"/>
    <w:rsid w:val="00F2746C"/>
    <w:rsid w:val="00F33057"/>
    <w:rsid w:val="00F521EE"/>
    <w:rsid w:val="00F53694"/>
    <w:rsid w:val="00F543F4"/>
    <w:rsid w:val="00F63343"/>
    <w:rsid w:val="00F656FC"/>
    <w:rsid w:val="00F67F03"/>
    <w:rsid w:val="00F70B0A"/>
    <w:rsid w:val="00F70E47"/>
    <w:rsid w:val="00F75E35"/>
    <w:rsid w:val="00F76924"/>
    <w:rsid w:val="00F8591E"/>
    <w:rsid w:val="00F922DD"/>
    <w:rsid w:val="00F93FE6"/>
    <w:rsid w:val="00F948EB"/>
    <w:rsid w:val="00F96A6D"/>
    <w:rsid w:val="00FA6DE8"/>
    <w:rsid w:val="00FA722E"/>
    <w:rsid w:val="00FB34BA"/>
    <w:rsid w:val="00FD4981"/>
    <w:rsid w:val="00FE04AE"/>
    <w:rsid w:val="00FE4FA6"/>
    <w:rsid w:val="00FE6B44"/>
    <w:rsid w:val="00FF1BFF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C22EE-BBE2-4D16-B023-68DEB55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2020-12-07T10:06:00Z</cp:lastPrinted>
  <dcterms:created xsi:type="dcterms:W3CDTF">2020-12-07T13:29:00Z</dcterms:created>
  <dcterms:modified xsi:type="dcterms:W3CDTF">2020-12-07T13:29:00Z</dcterms:modified>
</cp:coreProperties>
</file>