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DF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DF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proofErr w:type="spellStart"/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26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D955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Основные характеристики проекта бюджета </w:t>
      </w:r>
      <w:r w:rsidR="00DF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D95576" w:rsidRDefault="00D95576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Таб. №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C037D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7D" w:rsidRPr="009A1C28" w:rsidRDefault="004C037D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9261,1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5407,3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4937,5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4866,9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98,6</w:t>
            </w:r>
          </w:p>
        </w:tc>
      </w:tr>
      <w:tr w:rsidR="004C037D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7D" w:rsidRPr="009A1C28" w:rsidRDefault="004C037D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10039,9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5407,3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4937,5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4866,9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98,6</w:t>
            </w:r>
          </w:p>
        </w:tc>
      </w:tr>
      <w:tr w:rsidR="004C037D" w:rsidRPr="00070853" w:rsidTr="003D705E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7D" w:rsidRPr="009A1C28" w:rsidRDefault="004C037D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7D" w:rsidRDefault="004C037D" w:rsidP="004C037D">
            <w:pPr>
              <w:pStyle w:val="ac"/>
              <w:jc w:val="right"/>
            </w:pPr>
            <w:r>
              <w:t>-778,8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7D" w:rsidRDefault="004C037D" w:rsidP="004C037D">
            <w:pPr>
              <w:pStyle w:val="ac"/>
              <w:jc w:val="right"/>
            </w:pPr>
            <w:r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77">
        <w:rPr>
          <w:rFonts w:ascii="Times New Roman" w:eastAsia="Times New Roman" w:hAnsi="Times New Roman" w:cs="Times New Roman"/>
          <w:sz w:val="24"/>
          <w:szCs w:val="24"/>
          <w:lang w:eastAsia="ru-RU"/>
        </w:rPr>
        <w:t>763,0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70077">
        <w:rPr>
          <w:rFonts w:ascii="Times New Roman" w:eastAsia="Times New Roman" w:hAnsi="Times New Roman" w:cs="Times New Roman"/>
          <w:sz w:val="24"/>
          <w:szCs w:val="24"/>
          <w:lang w:eastAsia="ru-RU"/>
        </w:rPr>
        <w:t>992,7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70077">
        <w:rPr>
          <w:rFonts w:ascii="Times New Roman" w:eastAsia="Times New Roman" w:hAnsi="Times New Roman" w:cs="Times New Roman"/>
          <w:sz w:val="24"/>
          <w:szCs w:val="24"/>
          <w:lang w:eastAsia="ru-RU"/>
        </w:rPr>
        <w:t>1054,5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70077">
        <w:rPr>
          <w:rFonts w:ascii="Times New Roman" w:eastAsia="Times New Roman" w:hAnsi="Times New Roman" w:cs="Times New Roman"/>
          <w:sz w:val="24"/>
          <w:szCs w:val="24"/>
          <w:lang w:eastAsia="ru-RU"/>
        </w:rPr>
        <w:t>105,2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87007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206,6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87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90,0т.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DF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DF7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DF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DF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Малокармалинском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DF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D95576" w:rsidRPr="00337962" w:rsidRDefault="00D95576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DF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D95576" w:rsidRDefault="00D95576" w:rsidP="00D9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70FD" w:rsidRPr="003A70FD" w:rsidRDefault="003A70FD" w:rsidP="00D9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DF75F0">
        <w:rPr>
          <w:rFonts w:ascii="Times New Roman" w:hAnsi="Times New Roman" w:cs="Times New Roman"/>
          <w:sz w:val="24"/>
          <w:szCs w:val="24"/>
        </w:rPr>
        <w:t>Малокармалинского</w:t>
      </w:r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943D59">
        <w:rPr>
          <w:rFonts w:ascii="Times New Roman" w:hAnsi="Times New Roman" w:cs="Times New Roman"/>
          <w:sz w:val="24"/>
          <w:szCs w:val="24"/>
        </w:rPr>
        <w:t>5407,3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67048B">
        <w:rPr>
          <w:rFonts w:ascii="Times New Roman" w:hAnsi="Times New Roman" w:cs="Times New Roman"/>
          <w:sz w:val="24"/>
          <w:szCs w:val="24"/>
        </w:rPr>
        <w:t>41,6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67048B">
        <w:rPr>
          <w:rFonts w:ascii="Times New Roman" w:hAnsi="Times New Roman" w:cs="Times New Roman"/>
          <w:sz w:val="24"/>
          <w:szCs w:val="24"/>
        </w:rPr>
        <w:t>4937,5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67048B">
        <w:rPr>
          <w:rFonts w:ascii="Times New Roman" w:hAnsi="Times New Roman" w:cs="Times New Roman"/>
          <w:sz w:val="24"/>
          <w:szCs w:val="24"/>
        </w:rPr>
        <w:t>4866,9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4C037D" w:rsidRDefault="008E2A20" w:rsidP="004C03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(решение о бюджете) сумма</w:t>
            </w:r>
          </w:p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proofErr w:type="spellEnd"/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преды-дущему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году(%)</w:t>
            </w:r>
          </w:p>
        </w:tc>
      </w:tr>
      <w:tr w:rsidR="0067048B" w:rsidRPr="002C0229" w:rsidTr="008B7DB3">
        <w:trPr>
          <w:trHeight w:val="471"/>
        </w:trPr>
        <w:tc>
          <w:tcPr>
            <w:tcW w:w="1985" w:type="dxa"/>
            <w:shd w:val="clear" w:color="auto" w:fill="auto"/>
          </w:tcPr>
          <w:p w:rsidR="0067048B" w:rsidRPr="00B76DE9" w:rsidRDefault="0067048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7048B">
              <w:rPr>
                <w:rFonts w:ascii="Times New Roman" w:hAnsi="Times New Roman"/>
                <w:b/>
              </w:rPr>
              <w:t>9261,1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7048B">
              <w:rPr>
                <w:rFonts w:ascii="Times New Roman" w:hAnsi="Times New Roman"/>
                <w:b/>
              </w:rPr>
              <w:t>5407,3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b/>
                <w:i/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7048B">
              <w:rPr>
                <w:rFonts w:ascii="Times New Roman" w:hAnsi="Times New Roman"/>
                <w:b/>
              </w:rPr>
              <w:t>4937,5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048B">
              <w:rPr>
                <w:rFonts w:ascii="Times New Roman" w:hAnsi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124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7048B">
              <w:rPr>
                <w:rFonts w:ascii="Times New Roman" w:hAnsi="Times New Roman"/>
                <w:b/>
              </w:rPr>
              <w:t>4866,9</w:t>
            </w:r>
          </w:p>
        </w:tc>
        <w:tc>
          <w:tcPr>
            <w:tcW w:w="968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048B">
              <w:rPr>
                <w:rFonts w:ascii="Times New Roman" w:hAnsi="Times New Roman"/>
                <w:b/>
                <w:sz w:val="20"/>
                <w:szCs w:val="20"/>
              </w:rPr>
              <w:t>-98,6</w:t>
            </w:r>
          </w:p>
        </w:tc>
      </w:tr>
      <w:tr w:rsidR="0067048B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67048B" w:rsidRPr="007C0ADF" w:rsidRDefault="0067048B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48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48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48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04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48B">
              <w:rPr>
                <w:rFonts w:ascii="Times New Roman" w:hAnsi="Times New Roman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04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048B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67048B" w:rsidRPr="00B76DE9" w:rsidRDefault="0067048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1000,7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927,2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969,7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048B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124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1046,9</w:t>
            </w:r>
          </w:p>
        </w:tc>
        <w:tc>
          <w:tcPr>
            <w:tcW w:w="968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048B">
              <w:rPr>
                <w:rFonts w:ascii="Times New Roman" w:hAnsi="Times New Roman"/>
                <w:sz w:val="20"/>
                <w:szCs w:val="20"/>
              </w:rPr>
              <w:t>-108,0</w:t>
            </w:r>
          </w:p>
        </w:tc>
      </w:tr>
      <w:tr w:rsidR="0067048B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67048B" w:rsidRPr="00B76DE9" w:rsidRDefault="0067048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19,6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21,5</w:t>
            </w:r>
          </w:p>
        </w:tc>
        <w:tc>
          <w:tcPr>
            <w:tcW w:w="968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</w:tr>
      <w:tr w:rsidR="0067048B" w:rsidRPr="002C0229" w:rsidTr="008E2A20">
        <w:tc>
          <w:tcPr>
            <w:tcW w:w="1985" w:type="dxa"/>
            <w:shd w:val="clear" w:color="auto" w:fill="auto"/>
          </w:tcPr>
          <w:p w:rsidR="0067048B" w:rsidRPr="00B76DE9" w:rsidRDefault="0067048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8260,4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4480,1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3967,8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048B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124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</w:rPr>
            </w:pPr>
            <w:r w:rsidRPr="0067048B">
              <w:rPr>
                <w:rFonts w:ascii="Times New Roman" w:hAnsi="Times New Roman"/>
              </w:rPr>
              <w:t>3820</w:t>
            </w:r>
          </w:p>
        </w:tc>
        <w:tc>
          <w:tcPr>
            <w:tcW w:w="968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048B">
              <w:rPr>
                <w:rFonts w:ascii="Times New Roman" w:hAnsi="Times New Roman"/>
                <w:sz w:val="20"/>
                <w:szCs w:val="20"/>
              </w:rPr>
              <w:t>-96,3</w:t>
            </w:r>
          </w:p>
        </w:tc>
      </w:tr>
      <w:tr w:rsidR="0067048B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67048B" w:rsidRPr="00B76DE9" w:rsidRDefault="0067048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89,2</w:t>
            </w:r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82,9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80,4</w:t>
            </w:r>
          </w:p>
        </w:tc>
        <w:tc>
          <w:tcPr>
            <w:tcW w:w="1276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78,5</w:t>
            </w:r>
          </w:p>
        </w:tc>
        <w:tc>
          <w:tcPr>
            <w:tcW w:w="968" w:type="dxa"/>
            <w:shd w:val="clear" w:color="auto" w:fill="auto"/>
          </w:tcPr>
          <w:p w:rsidR="0067048B" w:rsidRPr="0067048B" w:rsidRDefault="0067048B" w:rsidP="0067048B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7048B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="00943D59">
        <w:rPr>
          <w:rFonts w:ascii="Times New Roman" w:hAnsi="Times New Roman" w:cs="Times New Roman"/>
          <w:sz w:val="24"/>
          <w:szCs w:val="24"/>
        </w:rPr>
        <w:t>9</w:t>
      </w:r>
      <w:r w:rsidR="0067048B">
        <w:rPr>
          <w:rFonts w:ascii="Times New Roman" w:hAnsi="Times New Roman" w:cs="Times New Roman"/>
          <w:sz w:val="24"/>
          <w:szCs w:val="24"/>
        </w:rPr>
        <w:t>27,2</w:t>
      </w:r>
      <w:r w:rsidRPr="003A70FD">
        <w:rPr>
          <w:rFonts w:ascii="Times New Roman" w:hAnsi="Times New Roman" w:cs="Times New Roman"/>
          <w:sz w:val="24"/>
          <w:szCs w:val="24"/>
        </w:rPr>
        <w:t>тыс.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030D">
        <w:rPr>
          <w:rFonts w:ascii="Times New Roman" w:hAnsi="Times New Roman" w:cs="Times New Roman"/>
          <w:sz w:val="24"/>
          <w:szCs w:val="24"/>
        </w:rPr>
        <w:t>92,</w:t>
      </w:r>
      <w:r w:rsidR="0067048B">
        <w:rPr>
          <w:rFonts w:ascii="Times New Roman" w:hAnsi="Times New Roman" w:cs="Times New Roman"/>
          <w:sz w:val="24"/>
          <w:szCs w:val="24"/>
        </w:rPr>
        <w:t>7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67048B">
        <w:rPr>
          <w:rFonts w:ascii="Times New Roman" w:hAnsi="Times New Roman" w:cs="Times New Roman"/>
          <w:sz w:val="24"/>
          <w:szCs w:val="24"/>
        </w:rPr>
        <w:t>17,1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A2030D">
        <w:rPr>
          <w:rFonts w:ascii="Times New Roman" w:hAnsi="Times New Roman" w:cs="Times New Roman"/>
          <w:sz w:val="24"/>
          <w:szCs w:val="24"/>
        </w:rPr>
        <w:t>6,</w:t>
      </w:r>
      <w:r w:rsidR="0067048B">
        <w:rPr>
          <w:rFonts w:ascii="Times New Roman" w:hAnsi="Times New Roman" w:cs="Times New Roman"/>
          <w:sz w:val="24"/>
          <w:szCs w:val="24"/>
        </w:rPr>
        <w:t>3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67048B">
        <w:rPr>
          <w:rFonts w:ascii="Times New Roman" w:hAnsi="Times New Roman" w:cs="Times New Roman"/>
          <w:sz w:val="24"/>
          <w:szCs w:val="24"/>
        </w:rPr>
        <w:t>969,7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67048B">
        <w:rPr>
          <w:rFonts w:ascii="Times New Roman" w:hAnsi="Times New Roman" w:cs="Times New Roman"/>
          <w:sz w:val="24"/>
          <w:szCs w:val="24"/>
        </w:rPr>
        <w:t>1046,9</w:t>
      </w:r>
      <w:r w:rsidR="00A2030D">
        <w:rPr>
          <w:rFonts w:ascii="Times New Roman" w:hAnsi="Times New Roman" w:cs="Times New Roman"/>
          <w:sz w:val="24"/>
          <w:szCs w:val="24"/>
        </w:rPr>
        <w:t xml:space="preserve"> т.</w:t>
      </w:r>
      <w:r w:rsidR="003A70FD" w:rsidRPr="003A70FD">
        <w:rPr>
          <w:rFonts w:ascii="Times New Roman" w:hAnsi="Times New Roman" w:cs="Times New Roman"/>
          <w:sz w:val="24"/>
          <w:szCs w:val="24"/>
        </w:rPr>
        <w:t>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>4480,1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03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>3967,8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>20,0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402"/>
        <w:gridCol w:w="1276"/>
        <w:gridCol w:w="1134"/>
        <w:gridCol w:w="851"/>
        <w:gridCol w:w="992"/>
        <w:gridCol w:w="1134"/>
        <w:gridCol w:w="957"/>
      </w:tblGrid>
      <w:tr w:rsidR="0066250E" w:rsidRPr="00B20B85" w:rsidTr="00943D59">
        <w:trPr>
          <w:trHeight w:val="2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943D59">
        <w:trPr>
          <w:trHeight w:val="2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284139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39" w:rsidRPr="00931F48" w:rsidRDefault="002841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4139">
              <w:rPr>
                <w:rFonts w:ascii="Times New Roman" w:hAnsi="Times New Roman"/>
                <w:b/>
              </w:rPr>
              <w:t>100</w:t>
            </w:r>
            <w:r w:rsidR="00943D5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4139">
              <w:rPr>
                <w:rFonts w:ascii="Times New Roman" w:hAnsi="Times New Roman"/>
                <w:b/>
              </w:rPr>
              <w:t>927,2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4139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4139">
              <w:rPr>
                <w:rFonts w:ascii="Times New Roman" w:hAnsi="Times New Roman"/>
                <w:b/>
              </w:rPr>
              <w:t>-73,5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4139">
              <w:rPr>
                <w:rFonts w:ascii="Times New Roman" w:hAnsi="Times New Roman"/>
                <w:b/>
              </w:rPr>
              <w:t>969,7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4139">
              <w:rPr>
                <w:rFonts w:ascii="Times New Roman" w:hAnsi="Times New Roman"/>
                <w:b/>
              </w:rPr>
              <w:t>1046,9</w:t>
            </w:r>
          </w:p>
        </w:tc>
      </w:tr>
      <w:tr w:rsidR="00284139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39" w:rsidRDefault="0028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 </w:t>
            </w:r>
          </w:p>
        </w:tc>
      </w:tr>
      <w:tr w:rsidR="00284139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39" w:rsidRPr="004D42CF" w:rsidRDefault="002841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654,2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702,3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739,7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811,8</w:t>
            </w:r>
          </w:p>
        </w:tc>
      </w:tr>
      <w:tr w:rsidR="00284139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39" w:rsidRDefault="0028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76,3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77,5</w:t>
            </w:r>
          </w:p>
        </w:tc>
      </w:tr>
      <w:tr w:rsidR="00284139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39" w:rsidRDefault="00284139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-121,6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230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139">
              <w:rPr>
                <w:rFonts w:ascii="Times New Roman" w:hAnsi="Times New Roman"/>
              </w:rPr>
              <w:t>235,1</w:t>
            </w:r>
          </w:p>
        </w:tc>
      </w:tr>
      <w:tr w:rsidR="00284139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39" w:rsidRDefault="0028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23,7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9" w:rsidRPr="00284139" w:rsidRDefault="00284139" w:rsidP="00284139">
            <w:pPr>
              <w:pStyle w:val="ac"/>
              <w:jc w:val="right"/>
              <w:rPr>
                <w:rFonts w:ascii="Times New Roman" w:hAnsi="Times New Roman"/>
                <w:i/>
                <w:iCs/>
              </w:rPr>
            </w:pPr>
            <w:r w:rsidRPr="00284139">
              <w:rPr>
                <w:rFonts w:ascii="Times New Roman" w:hAnsi="Times New Roman"/>
                <w:i/>
                <w:iCs/>
              </w:rPr>
              <w:t>22,5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10,3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выше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702,3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654,2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346,5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соответственно ниже показателя 2020 года на 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10,3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-ных пункта.  </w:t>
      </w:r>
    </w:p>
    <w:p w:rsidR="00DC41CB" w:rsidRDefault="00DC41C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D2" w:rsidRDefault="00D95576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Таблица №4.</w:t>
      </w:r>
    </w:p>
    <w:tbl>
      <w:tblPr>
        <w:tblW w:w="9653" w:type="dxa"/>
        <w:tblInd w:w="94" w:type="dxa"/>
        <w:tblLayout w:type="fixed"/>
        <w:tblLook w:val="04A0"/>
      </w:tblPr>
      <w:tblGrid>
        <w:gridCol w:w="3416"/>
        <w:gridCol w:w="1276"/>
        <w:gridCol w:w="992"/>
        <w:gridCol w:w="1276"/>
        <w:gridCol w:w="992"/>
        <w:gridCol w:w="851"/>
        <w:gridCol w:w="850"/>
      </w:tblGrid>
      <w:tr w:rsidR="001B66D2" w:rsidRPr="001B66D2" w:rsidTr="00817F4C">
        <w:trPr>
          <w:trHeight w:val="31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817F4C" w:rsidRDefault="001B66D2" w:rsidP="00FF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817F4C" w:rsidP="008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817F4C" w:rsidRPr="001B66D2" w:rsidTr="00817F4C">
        <w:trPr>
          <w:trHeight w:val="525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1B66D2" w:rsidRDefault="00817F4C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1B66D2" w:rsidRDefault="00817F4C" w:rsidP="003C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(тыс.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1B66D2" w:rsidRDefault="00817F4C" w:rsidP="008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26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(тыс.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26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C12EA" w:rsidRPr="001B66D2" w:rsidTr="000803AE">
        <w:trPr>
          <w:trHeight w:val="44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817F4C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Налоговые доходы, 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C12EA">
              <w:rPr>
                <w:rFonts w:ascii="Times New Roman" w:hAnsi="Times New Roman"/>
                <w:b/>
              </w:rPr>
              <w:t>654,2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C12EA">
              <w:rPr>
                <w:rFonts w:ascii="Times New Roman" w:hAnsi="Times New Roman"/>
                <w:b/>
              </w:rPr>
              <w:t>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803AE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C12EA">
              <w:rPr>
                <w:rFonts w:ascii="Times New Roman" w:hAnsi="Times New Roman"/>
                <w:b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803AE">
              <w:rPr>
                <w:rFonts w:ascii="Times New Roman" w:hAnsi="Times New Roman"/>
                <w:b/>
                <w:sz w:val="18"/>
                <w:szCs w:val="18"/>
              </w:rPr>
              <w:t>107,4</w:t>
            </w:r>
          </w:p>
        </w:tc>
      </w:tr>
      <w:tr w:rsidR="007C12EA" w:rsidRPr="001B66D2" w:rsidTr="000803AE">
        <w:trPr>
          <w:trHeight w:val="173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C12EA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2EA" w:rsidRPr="00ED12D4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</w:tr>
      <w:tr w:rsidR="007C12EA" w:rsidRPr="00817F4C" w:rsidTr="000803AE">
        <w:trPr>
          <w:trHeight w:val="368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ED12D4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111,7</w:t>
            </w:r>
          </w:p>
        </w:tc>
      </w:tr>
      <w:tr w:rsidR="007C12EA" w:rsidRPr="00817F4C" w:rsidTr="000803AE">
        <w:trPr>
          <w:trHeight w:val="28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ED12D4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совокуп</w:t>
            </w:r>
            <w:proofErr w:type="spellEnd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475F17" w:rsidP="00475F17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3,0 раза</w:t>
            </w:r>
          </w:p>
        </w:tc>
      </w:tr>
      <w:tr w:rsidR="007C12EA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ED12D4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имущество </w:t>
            </w:r>
            <w:proofErr w:type="spellStart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101,9</w:t>
            </w:r>
          </w:p>
        </w:tc>
      </w:tr>
      <w:tr w:rsidR="007C12EA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ED12D4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-4,1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</w:tr>
      <w:tr w:rsidR="007C12EA" w:rsidRPr="00817F4C" w:rsidTr="000803AE">
        <w:trPr>
          <w:trHeight w:val="413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ED12D4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 физ.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102,5</w:t>
            </w:r>
          </w:p>
        </w:tc>
      </w:tr>
      <w:tr w:rsidR="007C12EA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ED12D4" w:rsidRDefault="007C12EA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803AE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7C12EA" w:rsidRDefault="007C12EA" w:rsidP="000803AE">
            <w:pPr>
              <w:pStyle w:val="ac"/>
              <w:jc w:val="right"/>
              <w:rPr>
                <w:rFonts w:ascii="Times New Roman" w:hAnsi="Times New Roman"/>
              </w:rPr>
            </w:pPr>
            <w:r w:rsidRPr="007C12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2EA" w:rsidRPr="000803AE" w:rsidRDefault="007C12EA" w:rsidP="000803A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3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75F17">
        <w:rPr>
          <w:rFonts w:ascii="Times New Roman" w:hAnsi="Times New Roman" w:cs="Times New Roman"/>
          <w:sz w:val="24"/>
          <w:szCs w:val="24"/>
        </w:rPr>
        <w:t>63,6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Прирост к 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 сумме </w:t>
      </w:r>
      <w:r w:rsidR="00931F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581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F17">
        <w:rPr>
          <w:rFonts w:ascii="Times New Roman" w:hAnsi="Times New Roman" w:cs="Times New Roman"/>
          <w:sz w:val="24"/>
          <w:szCs w:val="24"/>
        </w:rPr>
        <w:t>1,3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FF5815">
        <w:rPr>
          <w:rFonts w:ascii="Times New Roman" w:hAnsi="Times New Roman" w:cs="Times New Roman"/>
          <w:sz w:val="24"/>
          <w:szCs w:val="24"/>
        </w:rPr>
        <w:t>2,</w:t>
      </w:r>
      <w:r w:rsidR="00475F17">
        <w:rPr>
          <w:rFonts w:ascii="Times New Roman" w:hAnsi="Times New Roman" w:cs="Times New Roman"/>
          <w:sz w:val="24"/>
          <w:szCs w:val="24"/>
        </w:rPr>
        <w:t>1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="00475F17">
        <w:rPr>
          <w:rFonts w:ascii="Times New Roman" w:hAnsi="Times New Roman" w:cs="Times New Roman"/>
          <w:sz w:val="24"/>
          <w:szCs w:val="24"/>
        </w:rPr>
        <w:t>9,1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5F17">
        <w:rPr>
          <w:rFonts w:ascii="Times New Roman" w:hAnsi="Times New Roman" w:cs="Times New Roman"/>
          <w:sz w:val="24"/>
          <w:szCs w:val="24"/>
        </w:rPr>
        <w:t>334,7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15">
        <w:rPr>
          <w:rFonts w:ascii="Times New Roman" w:hAnsi="Times New Roman" w:cs="Times New Roman"/>
          <w:sz w:val="24"/>
          <w:szCs w:val="24"/>
        </w:rPr>
        <w:t>4</w:t>
      </w:r>
      <w:r w:rsidR="00475F17">
        <w:rPr>
          <w:rFonts w:ascii="Times New Roman" w:hAnsi="Times New Roman" w:cs="Times New Roman"/>
          <w:sz w:val="24"/>
          <w:szCs w:val="24"/>
        </w:rPr>
        <w:t>7,7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475F17">
        <w:rPr>
          <w:rFonts w:ascii="Times New Roman" w:hAnsi="Times New Roman" w:cs="Times New Roman"/>
          <w:sz w:val="24"/>
          <w:szCs w:val="24"/>
        </w:rPr>
        <w:t>299,7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475F17">
        <w:rPr>
          <w:rFonts w:ascii="Times New Roman" w:hAnsi="Times New Roman" w:cs="Times New Roman"/>
          <w:sz w:val="24"/>
          <w:szCs w:val="24"/>
        </w:rPr>
        <w:t>35,0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FF5815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ED12D4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5F17">
        <w:rPr>
          <w:rFonts w:ascii="Times New Roman" w:hAnsi="Times New Roman" w:cs="Times New Roman"/>
          <w:sz w:val="24"/>
          <w:szCs w:val="24"/>
        </w:rPr>
        <w:t xml:space="preserve">15,0 </w:t>
      </w:r>
      <w:r w:rsidR="00ED12D4"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75F17">
        <w:rPr>
          <w:rFonts w:ascii="Times New Roman" w:hAnsi="Times New Roman" w:cs="Times New Roman"/>
          <w:sz w:val="24"/>
          <w:szCs w:val="24"/>
        </w:rPr>
        <w:t xml:space="preserve">3,1%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</w:t>
      </w:r>
      <w:r w:rsidR="00475F1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475F17">
        <w:rPr>
          <w:rFonts w:ascii="Times New Roman" w:hAnsi="Times New Roman" w:cs="Times New Roman"/>
          <w:sz w:val="24"/>
          <w:szCs w:val="24"/>
        </w:rPr>
        <w:t>к запланиро</w:t>
      </w:r>
      <w:r w:rsidR="00ED12D4">
        <w:rPr>
          <w:rFonts w:ascii="Times New Roman" w:hAnsi="Times New Roman" w:cs="Times New Roman"/>
          <w:sz w:val="24"/>
          <w:szCs w:val="24"/>
        </w:rPr>
        <w:t>ванной сумме  2020 года</w:t>
      </w:r>
      <w:r w:rsidR="00475F17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 xml:space="preserve">( </w:t>
      </w:r>
      <w:r w:rsidR="00475F17">
        <w:rPr>
          <w:rFonts w:ascii="Times New Roman" w:hAnsi="Times New Roman" w:cs="Times New Roman"/>
          <w:sz w:val="24"/>
          <w:szCs w:val="24"/>
        </w:rPr>
        <w:t>5,0</w:t>
      </w:r>
      <w:r w:rsidR="00ED12D4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475F17">
        <w:rPr>
          <w:rFonts w:ascii="Times New Roman" w:hAnsi="Times New Roman" w:cs="Times New Roman"/>
          <w:sz w:val="24"/>
          <w:szCs w:val="24"/>
        </w:rPr>
        <w:t>10,0</w:t>
      </w:r>
      <w:r w:rsidR="00FF5815">
        <w:rPr>
          <w:rFonts w:ascii="Times New Roman" w:hAnsi="Times New Roman" w:cs="Times New Roman"/>
          <w:sz w:val="24"/>
          <w:szCs w:val="24"/>
        </w:rPr>
        <w:t xml:space="preserve"> т</w:t>
      </w:r>
      <w:r w:rsidR="00ED12D4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="00ED12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12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475F17">
        <w:rPr>
          <w:rFonts w:ascii="Times New Roman" w:hAnsi="Times New Roman" w:cs="Times New Roman"/>
          <w:sz w:val="24"/>
          <w:szCs w:val="24"/>
        </w:rPr>
        <w:t>в 3,0 раза.</w:t>
      </w:r>
      <w:r w:rsidR="00ED1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F5815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F5815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5F17">
        <w:rPr>
          <w:rFonts w:ascii="Times New Roman" w:hAnsi="Times New Roman" w:cs="Times New Roman"/>
          <w:sz w:val="24"/>
          <w:szCs w:val="24"/>
        </w:rPr>
        <w:t>54,0</w:t>
      </w:r>
      <w:r w:rsidR="00F70E4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75F17">
        <w:rPr>
          <w:rFonts w:ascii="Times New Roman" w:hAnsi="Times New Roman" w:cs="Times New Roman"/>
          <w:sz w:val="24"/>
          <w:szCs w:val="24"/>
        </w:rPr>
        <w:t>с ростом на 1,0 тыс. руб.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475F17">
        <w:rPr>
          <w:rFonts w:ascii="Times New Roman" w:hAnsi="Times New Roman" w:cs="Times New Roman"/>
          <w:sz w:val="24"/>
          <w:szCs w:val="24"/>
        </w:rPr>
        <w:t>7,7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>год</w:t>
      </w:r>
      <w:r w:rsidR="0046131D">
        <w:rPr>
          <w:rFonts w:ascii="Times New Roman" w:hAnsi="Times New Roman" w:cs="Times New Roman"/>
          <w:sz w:val="24"/>
          <w:szCs w:val="24"/>
        </w:rPr>
        <w:t xml:space="preserve"> </w:t>
      </w:r>
      <w:r w:rsidR="00B01C52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46131D">
        <w:rPr>
          <w:rFonts w:ascii="Times New Roman" w:hAnsi="Times New Roman" w:cs="Times New Roman"/>
          <w:sz w:val="24"/>
          <w:szCs w:val="24"/>
        </w:rPr>
        <w:t>а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>в сумме 30,0 тыс. руб. , что на 4,1 тыс. руб. меньше утвержденного показателя на 2020 год.</w:t>
      </w:r>
      <w:r w:rsidR="00F70E47">
        <w:rPr>
          <w:rFonts w:ascii="Times New Roman" w:hAnsi="Times New Roman" w:cs="Times New Roman"/>
          <w:sz w:val="24"/>
          <w:szCs w:val="24"/>
        </w:rPr>
        <w:t>.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>4,3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6131D">
        <w:rPr>
          <w:rFonts w:ascii="Times New Roman" w:hAnsi="Times New Roman" w:cs="Times New Roman"/>
          <w:sz w:val="24"/>
          <w:szCs w:val="24"/>
        </w:rPr>
        <w:t>205,0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F64A0">
        <w:rPr>
          <w:rFonts w:ascii="Times New Roman" w:hAnsi="Times New Roman" w:cs="Times New Roman"/>
          <w:sz w:val="24"/>
          <w:szCs w:val="24"/>
        </w:rPr>
        <w:t>, что составит  29,</w:t>
      </w:r>
      <w:r w:rsidR="0046131D">
        <w:rPr>
          <w:rFonts w:ascii="Times New Roman" w:hAnsi="Times New Roman" w:cs="Times New Roman"/>
          <w:sz w:val="24"/>
          <w:szCs w:val="24"/>
        </w:rPr>
        <w:t>2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>. Прирост к  запланированной сумме  2020 года( 2</w:t>
      </w:r>
      <w:r w:rsidR="0046131D">
        <w:rPr>
          <w:rFonts w:ascii="Times New Roman" w:hAnsi="Times New Roman" w:cs="Times New Roman"/>
          <w:sz w:val="24"/>
          <w:szCs w:val="24"/>
        </w:rPr>
        <w:t>0</w:t>
      </w:r>
      <w:r w:rsidR="00CF64A0">
        <w:rPr>
          <w:rFonts w:ascii="Times New Roman" w:hAnsi="Times New Roman" w:cs="Times New Roman"/>
          <w:sz w:val="24"/>
          <w:szCs w:val="24"/>
        </w:rPr>
        <w:t xml:space="preserve">0,0 тыс. руб.) составит </w:t>
      </w:r>
      <w:r w:rsidR="0046131D">
        <w:rPr>
          <w:rFonts w:ascii="Times New Roman" w:hAnsi="Times New Roman" w:cs="Times New Roman"/>
          <w:sz w:val="24"/>
          <w:szCs w:val="24"/>
        </w:rPr>
        <w:t>5,0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CF64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F64A0">
        <w:rPr>
          <w:rFonts w:ascii="Times New Roman" w:hAnsi="Times New Roman" w:cs="Times New Roman"/>
          <w:sz w:val="24"/>
          <w:szCs w:val="24"/>
        </w:rPr>
        <w:t xml:space="preserve">, или </w:t>
      </w:r>
      <w:r w:rsidR="0046131D">
        <w:rPr>
          <w:rFonts w:ascii="Times New Roman" w:hAnsi="Times New Roman" w:cs="Times New Roman"/>
          <w:sz w:val="24"/>
          <w:szCs w:val="24"/>
        </w:rPr>
        <w:t>2,5</w:t>
      </w:r>
      <w:r w:rsidR="00CF64A0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. </w:t>
      </w:r>
    </w:p>
    <w:p w:rsidR="00FF1BFF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224,9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121,6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A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230,0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235,1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земли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FF1BFF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неналоговых доходов в доходах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4,3%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4480,1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45,8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67,8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88,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на 2023 год - в сумме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96,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6,3 % - </w:t>
      </w:r>
      <w:proofErr w:type="spellStart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82,9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80,4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8,5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DF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="00264EEE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E0393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>4632,6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>46,1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,и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>5407,3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>4937,5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расходов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56759C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B2F84">
        <w:rPr>
          <w:rFonts w:ascii="Times New Roman" w:eastAsia="Times New Roman" w:hAnsi="Times New Roman" w:cs="Times New Roman"/>
          <w:sz w:val="24"/>
          <w:szCs w:val="24"/>
          <w:lang w:eastAsia="ru-RU"/>
        </w:rPr>
        <w:t>4866,9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D3C67" w:rsidRPr="00E0393A" w:rsidRDefault="00E0393A" w:rsidP="00E0393A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52B" w:rsidRDefault="0064243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0335E2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6" w:rsidRDefault="00D95576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6" w:rsidRDefault="00D95576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6" w:rsidRDefault="00D95576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6" w:rsidRDefault="00D95576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6" w:rsidRDefault="00D95576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D95576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Таб. № 5.</w:t>
      </w:r>
    </w:p>
    <w:tbl>
      <w:tblPr>
        <w:tblW w:w="9653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852"/>
        <w:gridCol w:w="1231"/>
        <w:gridCol w:w="754"/>
        <w:gridCol w:w="992"/>
        <w:gridCol w:w="850"/>
      </w:tblGrid>
      <w:tr w:rsidR="00763880" w:rsidRPr="00763880" w:rsidTr="00E0393A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5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763880" w:rsidRPr="00763880" w:rsidTr="00E0393A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</w:tr>
      <w:tr w:rsidR="00D33265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10039,9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33265" w:rsidRPr="00763880" w:rsidTr="00E0393A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D3326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D33265" w:rsidRPr="00763880" w:rsidTr="00E0393A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253C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D33265" w:rsidRPr="00763880" w:rsidTr="00E0393A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D33265" w:rsidRPr="00763880" w:rsidTr="00E0393A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D3326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D33265" w:rsidRPr="00D33265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3326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265" w:rsidRPr="00763880" w:rsidTr="00E0393A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63880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D3326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711386" w:rsidRDefault="00D33265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9F632B" w:rsidRDefault="00D33265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265" w:rsidRPr="00D33265" w:rsidRDefault="00D3326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32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величатся на 8,0 % и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1615,6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1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615,6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29,9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-2023 годы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r w:rsidR="00E03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93A" w:rsidRPr="00E0393A">
        <w:rPr>
          <w:rFonts w:ascii="Times New Roman" w:hAnsi="Times New Roman" w:cs="Times New Roman"/>
          <w:sz w:val="24"/>
          <w:szCs w:val="24"/>
        </w:rPr>
        <w:t>1</w:t>
      </w:r>
      <w:r w:rsidR="00C1442C">
        <w:rPr>
          <w:rFonts w:ascii="Times New Roman" w:hAnsi="Times New Roman" w:cs="Times New Roman"/>
          <w:sz w:val="24"/>
          <w:szCs w:val="24"/>
        </w:rPr>
        <w:t>241,8</w:t>
      </w:r>
      <w:r w:rsidR="00E0393A" w:rsidRPr="00E0393A">
        <w:rPr>
          <w:rFonts w:ascii="Times New Roman" w:hAnsi="Times New Roman" w:cs="Times New Roman"/>
          <w:sz w:val="24"/>
          <w:szCs w:val="24"/>
        </w:rPr>
        <w:t xml:space="preserve">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C1442C">
        <w:rPr>
          <w:rFonts w:ascii="Times New Roman" w:eastAsia="Calibri" w:hAnsi="Times New Roman" w:cs="Times New Roman"/>
          <w:sz w:val="24"/>
          <w:szCs w:val="24"/>
        </w:rPr>
        <w:t>9</w:t>
      </w:r>
      <w:r w:rsidR="00E0393A">
        <w:rPr>
          <w:rFonts w:ascii="Times New Roman" w:eastAsia="Calibri" w:hAnsi="Times New Roman" w:cs="Times New Roman"/>
          <w:sz w:val="24"/>
          <w:szCs w:val="24"/>
        </w:rPr>
        <w:t>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</w:t>
      </w:r>
      <w:r w:rsidR="00D44556">
        <w:rPr>
          <w:rFonts w:ascii="Times New Roman" w:eastAsia="Calibri" w:hAnsi="Times New Roman" w:cs="Times New Roman"/>
          <w:sz w:val="24"/>
          <w:szCs w:val="24"/>
        </w:rPr>
        <w:t>27</w:t>
      </w:r>
      <w:r w:rsidR="00C1442C">
        <w:rPr>
          <w:rFonts w:ascii="Times New Roman" w:eastAsia="Calibri" w:hAnsi="Times New Roman" w:cs="Times New Roman"/>
          <w:sz w:val="24"/>
          <w:szCs w:val="24"/>
        </w:rPr>
        <w:t>9,3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1442C">
        <w:rPr>
          <w:rFonts w:ascii="Times New Roman" w:eastAsia="Calibri" w:hAnsi="Times New Roman" w:cs="Times New Roman"/>
          <w:sz w:val="24"/>
          <w:szCs w:val="24"/>
        </w:rPr>
        <w:t>4,5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сумме 103,6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(102,0 % к 2021 году), на 2023 год – 1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04,5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104,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C1442C" w:rsidRDefault="00C1442C" w:rsidP="00C144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C" w:rsidRDefault="00C1442C" w:rsidP="0025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C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безопасность»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442C">
        <w:rPr>
          <w:rFonts w:ascii="Times New Roman" w:hAnsi="Times New Roman" w:cs="Times New Roman"/>
          <w:sz w:val="24"/>
          <w:szCs w:val="24"/>
        </w:rPr>
        <w:t xml:space="preserve"> на реализацию подпрограммы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территорий"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1442C">
        <w:rPr>
          <w:rFonts w:ascii="Times New Roman" w:hAnsi="Times New Roman" w:cs="Times New Roman"/>
          <w:sz w:val="24"/>
          <w:szCs w:val="24"/>
        </w:rPr>
        <w:t xml:space="preserve"> содержание пожарной охраны </w:t>
      </w:r>
      <w:r w:rsidR="00253CC4">
        <w:rPr>
          <w:rFonts w:ascii="Times New Roman" w:hAnsi="Times New Roman" w:cs="Times New Roman"/>
          <w:sz w:val="24"/>
          <w:szCs w:val="24"/>
        </w:rPr>
        <w:t>в 2021 году</w:t>
      </w:r>
      <w:r w:rsidRPr="00C1442C">
        <w:rPr>
          <w:rFonts w:ascii="Times New Roman" w:hAnsi="Times New Roman" w:cs="Times New Roman"/>
          <w:sz w:val="24"/>
          <w:szCs w:val="24"/>
        </w:rPr>
        <w:t xml:space="preserve"> </w:t>
      </w:r>
      <w:r w:rsidR="00253CC4">
        <w:rPr>
          <w:rFonts w:ascii="Times New Roman" w:hAnsi="Times New Roman" w:cs="Times New Roman"/>
          <w:sz w:val="24"/>
          <w:szCs w:val="24"/>
        </w:rPr>
        <w:t xml:space="preserve">предусматриваются бюджетные ассигнования в сумме </w:t>
      </w:r>
      <w:r w:rsidRPr="00C1442C">
        <w:rPr>
          <w:rFonts w:ascii="Times New Roman" w:hAnsi="Times New Roman" w:cs="Times New Roman"/>
          <w:sz w:val="24"/>
          <w:szCs w:val="24"/>
        </w:rPr>
        <w:t>172,2 тыс. рублей</w:t>
      </w:r>
      <w:r w:rsidR="00253CC4">
        <w:rPr>
          <w:rFonts w:ascii="Times New Roman" w:hAnsi="Times New Roman" w:cs="Times New Roman"/>
          <w:sz w:val="24"/>
          <w:szCs w:val="24"/>
        </w:rPr>
        <w:t>, или 3,2 % бюджета.</w:t>
      </w:r>
    </w:p>
    <w:p w:rsidR="00C1442C" w:rsidRDefault="00C1442C" w:rsidP="00C144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2023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расходы по разделу предусматриваются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105,7  тыс. рублей.</w:t>
      </w:r>
    </w:p>
    <w:p w:rsidR="00C1442C" w:rsidRDefault="00C1442C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924A0" w:rsidRDefault="00D8044A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BF3190"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56432"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</w:t>
      </w:r>
      <w:r w:rsidR="000924A0" w:rsidRPr="000924A0">
        <w:rPr>
          <w:rFonts w:ascii="Times New Roman" w:eastAsia="Calibri" w:hAnsi="Times New Roman" w:cs="Times New Roman"/>
          <w:sz w:val="24"/>
          <w:szCs w:val="24"/>
        </w:rPr>
        <w:t>».</w:t>
      </w:r>
      <w:r w:rsidR="000924A0">
        <w:rPr>
          <w:rFonts w:ascii="Times New Roman" w:hAnsi="Times New Roman" w:cs="Times New Roman"/>
          <w:sz w:val="24"/>
          <w:szCs w:val="24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1609,4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A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1499,3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BF3190" w:rsidRDefault="00BF3190" w:rsidP="001406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072,3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66,6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2021 году)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1054,5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98,3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29,8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21,7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21,7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437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на 2022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-2023 годы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180,0 тыс. руб.,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уровню 202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3CC4">
        <w:rPr>
          <w:rFonts w:ascii="Times New Roman" w:eastAsia="Times New Roman" w:hAnsi="Times New Roman" w:cs="Times New Roman"/>
          <w:sz w:val="24"/>
          <w:szCs w:val="24"/>
          <w:lang w:eastAsia="ru-RU"/>
        </w:rPr>
        <w:t>3983,8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BF3190" w:rsidRPr="00F11F4A" w:rsidRDefault="00136E68" w:rsidP="00D4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муниципальной программы "</w:t>
      </w:r>
      <w:r w:rsidR="003D705E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среды".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  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3D705E">
        <w:rPr>
          <w:rFonts w:ascii="Times New Roman" w:hAnsi="Times New Roman" w:cs="Times New Roman"/>
          <w:sz w:val="24"/>
          <w:szCs w:val="24"/>
        </w:rPr>
        <w:t>1726,5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3D705E">
        <w:rPr>
          <w:rFonts w:ascii="Times New Roman" w:hAnsi="Times New Roman" w:cs="Times New Roman"/>
          <w:sz w:val="24"/>
          <w:szCs w:val="24"/>
        </w:rPr>
        <w:t>2579,8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с</w:t>
      </w:r>
      <w:r w:rsidR="003D705E">
        <w:rPr>
          <w:rFonts w:ascii="Times New Roman" w:hAnsi="Times New Roman" w:cs="Times New Roman"/>
          <w:sz w:val="24"/>
          <w:szCs w:val="24"/>
        </w:rPr>
        <w:t>о-снижением</w:t>
      </w:r>
      <w:proofErr w:type="spellEnd"/>
      <w:r w:rsidR="003D705E">
        <w:rPr>
          <w:rFonts w:ascii="Times New Roman" w:hAnsi="Times New Roman" w:cs="Times New Roman"/>
          <w:sz w:val="24"/>
          <w:szCs w:val="24"/>
        </w:rPr>
        <w:t xml:space="preserve"> </w:t>
      </w:r>
      <w:r w:rsidR="00D44556">
        <w:rPr>
          <w:rFonts w:ascii="Times New Roman" w:hAnsi="Times New Roman" w:cs="Times New Roman"/>
          <w:sz w:val="24"/>
          <w:szCs w:val="24"/>
        </w:rPr>
        <w:t xml:space="preserve"> на </w:t>
      </w:r>
      <w:r w:rsidR="003D705E">
        <w:rPr>
          <w:rFonts w:ascii="Times New Roman" w:hAnsi="Times New Roman" w:cs="Times New Roman"/>
          <w:sz w:val="24"/>
          <w:szCs w:val="24"/>
        </w:rPr>
        <w:t>33,1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3D705E">
        <w:rPr>
          <w:rFonts w:ascii="Times New Roman" w:hAnsi="Times New Roman" w:cs="Times New Roman"/>
          <w:sz w:val="24"/>
          <w:szCs w:val="24"/>
        </w:rPr>
        <w:t xml:space="preserve">0 и 2023 годы </w:t>
      </w:r>
      <w:r>
        <w:rPr>
          <w:rFonts w:ascii="Times New Roman" w:hAnsi="Times New Roman" w:cs="Times New Roman"/>
          <w:sz w:val="24"/>
          <w:szCs w:val="24"/>
        </w:rPr>
        <w:t xml:space="preserve">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D705E">
        <w:rPr>
          <w:rFonts w:ascii="Times New Roman" w:hAnsi="Times New Roman" w:cs="Times New Roman"/>
          <w:sz w:val="24"/>
          <w:szCs w:val="24"/>
        </w:rPr>
        <w:t xml:space="preserve">1686,5 тыс. </w:t>
      </w:r>
      <w:proofErr w:type="spellStart"/>
      <w:r w:rsidR="003D705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D705E">
        <w:rPr>
          <w:rFonts w:ascii="Times New Roman" w:hAnsi="Times New Roman" w:cs="Times New Roman"/>
          <w:sz w:val="24"/>
          <w:szCs w:val="24"/>
        </w:rPr>
        <w:t xml:space="preserve"> . и 1527,5 тыс. руб. соответственно.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D705E">
        <w:rPr>
          <w:rFonts w:ascii="Times New Roman" w:hAnsi="Times New Roman" w:cs="Times New Roman"/>
          <w:sz w:val="24"/>
          <w:szCs w:val="24"/>
        </w:rPr>
        <w:t>31,9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206,6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DF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5407,3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4937,5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4866,9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D705E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5407,3 </w:t>
      </w:r>
      <w:r w:rsidR="003D705E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–4937,5 тыс. рублей, на 2023 год –4866,9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32A5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2A5">
        <w:rPr>
          <w:rFonts w:ascii="Times New Roman" w:eastAsia="Times New Roman" w:hAnsi="Times New Roman" w:cs="Times New Roman"/>
          <w:sz w:val="24"/>
          <w:szCs w:val="24"/>
          <w:lang w:eastAsia="ru-RU"/>
        </w:rPr>
        <w:t>06,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DF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B72ED" w:rsidRDefault="00615956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29" w:rsidRDefault="00D27C29" w:rsidP="00B1668B">
      <w:pPr>
        <w:spacing w:after="0" w:line="240" w:lineRule="auto"/>
      </w:pPr>
      <w:r>
        <w:separator/>
      </w:r>
    </w:p>
  </w:endnote>
  <w:endnote w:type="continuationSeparator" w:id="0">
    <w:p w:rsidR="00D27C29" w:rsidRDefault="00D27C29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29" w:rsidRDefault="00D27C29" w:rsidP="00B1668B">
      <w:pPr>
        <w:spacing w:after="0" w:line="240" w:lineRule="auto"/>
      </w:pPr>
      <w:r>
        <w:separator/>
      </w:r>
    </w:p>
  </w:footnote>
  <w:footnote w:type="continuationSeparator" w:id="0">
    <w:p w:rsidR="00D27C29" w:rsidRDefault="00D27C29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0BFF"/>
    <w:rsid w:val="0000150F"/>
    <w:rsid w:val="000028CE"/>
    <w:rsid w:val="00007985"/>
    <w:rsid w:val="00023A9C"/>
    <w:rsid w:val="0002451D"/>
    <w:rsid w:val="000335E2"/>
    <w:rsid w:val="00036767"/>
    <w:rsid w:val="0004144C"/>
    <w:rsid w:val="00042891"/>
    <w:rsid w:val="00043B58"/>
    <w:rsid w:val="00055C89"/>
    <w:rsid w:val="000565CF"/>
    <w:rsid w:val="00063062"/>
    <w:rsid w:val="00070853"/>
    <w:rsid w:val="00070C59"/>
    <w:rsid w:val="00076064"/>
    <w:rsid w:val="000803AE"/>
    <w:rsid w:val="00082CC8"/>
    <w:rsid w:val="00083983"/>
    <w:rsid w:val="000924A0"/>
    <w:rsid w:val="000927F2"/>
    <w:rsid w:val="00093D75"/>
    <w:rsid w:val="000B2F84"/>
    <w:rsid w:val="000C1F1C"/>
    <w:rsid w:val="000C4EEB"/>
    <w:rsid w:val="000C773C"/>
    <w:rsid w:val="000D6F88"/>
    <w:rsid w:val="000E4AF7"/>
    <w:rsid w:val="00104BC5"/>
    <w:rsid w:val="00105FFD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4A9E"/>
    <w:rsid w:val="001A0E23"/>
    <w:rsid w:val="001A2095"/>
    <w:rsid w:val="001B66D2"/>
    <w:rsid w:val="001D05CC"/>
    <w:rsid w:val="00200405"/>
    <w:rsid w:val="00204BDB"/>
    <w:rsid w:val="00223448"/>
    <w:rsid w:val="0023175C"/>
    <w:rsid w:val="00242130"/>
    <w:rsid w:val="00253CC4"/>
    <w:rsid w:val="00264233"/>
    <w:rsid w:val="00264EEE"/>
    <w:rsid w:val="002654BF"/>
    <w:rsid w:val="00274939"/>
    <w:rsid w:val="002841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6DC9"/>
    <w:rsid w:val="002F7421"/>
    <w:rsid w:val="0031438A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60E0D"/>
    <w:rsid w:val="0037526F"/>
    <w:rsid w:val="00376983"/>
    <w:rsid w:val="0037772C"/>
    <w:rsid w:val="003804B9"/>
    <w:rsid w:val="00381A08"/>
    <w:rsid w:val="00391901"/>
    <w:rsid w:val="003979FD"/>
    <w:rsid w:val="003A037C"/>
    <w:rsid w:val="003A70FD"/>
    <w:rsid w:val="003C29F6"/>
    <w:rsid w:val="003C2E26"/>
    <w:rsid w:val="003C5F85"/>
    <w:rsid w:val="003C6EC6"/>
    <w:rsid w:val="003D6647"/>
    <w:rsid w:val="003D705E"/>
    <w:rsid w:val="003E3B2D"/>
    <w:rsid w:val="003F0895"/>
    <w:rsid w:val="0040561B"/>
    <w:rsid w:val="00416004"/>
    <w:rsid w:val="004219FB"/>
    <w:rsid w:val="00422E59"/>
    <w:rsid w:val="00426DA9"/>
    <w:rsid w:val="00427294"/>
    <w:rsid w:val="00431153"/>
    <w:rsid w:val="00441CAB"/>
    <w:rsid w:val="004527FD"/>
    <w:rsid w:val="00460203"/>
    <w:rsid w:val="0046131D"/>
    <w:rsid w:val="00467B69"/>
    <w:rsid w:val="00475F17"/>
    <w:rsid w:val="004767A0"/>
    <w:rsid w:val="00483522"/>
    <w:rsid w:val="00484C36"/>
    <w:rsid w:val="00497C3A"/>
    <w:rsid w:val="004B13AD"/>
    <w:rsid w:val="004B6BAB"/>
    <w:rsid w:val="004C037D"/>
    <w:rsid w:val="004C39AC"/>
    <w:rsid w:val="004D1369"/>
    <w:rsid w:val="004D26BF"/>
    <w:rsid w:val="004D42CF"/>
    <w:rsid w:val="004E0DDC"/>
    <w:rsid w:val="004E369C"/>
    <w:rsid w:val="004E5AAC"/>
    <w:rsid w:val="004E5E15"/>
    <w:rsid w:val="004E7214"/>
    <w:rsid w:val="004F4F3F"/>
    <w:rsid w:val="0050100A"/>
    <w:rsid w:val="00511C71"/>
    <w:rsid w:val="00515ACA"/>
    <w:rsid w:val="00516353"/>
    <w:rsid w:val="00527566"/>
    <w:rsid w:val="00540DA7"/>
    <w:rsid w:val="00541875"/>
    <w:rsid w:val="005616B8"/>
    <w:rsid w:val="00561F32"/>
    <w:rsid w:val="00564C6F"/>
    <w:rsid w:val="0056759C"/>
    <w:rsid w:val="005706E6"/>
    <w:rsid w:val="00574AF1"/>
    <w:rsid w:val="0057598C"/>
    <w:rsid w:val="00581EFB"/>
    <w:rsid w:val="005A25BE"/>
    <w:rsid w:val="005A6013"/>
    <w:rsid w:val="005A702E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6250E"/>
    <w:rsid w:val="0066359D"/>
    <w:rsid w:val="00666B58"/>
    <w:rsid w:val="0067048B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46A9"/>
    <w:rsid w:val="00710704"/>
    <w:rsid w:val="00711386"/>
    <w:rsid w:val="007139F1"/>
    <w:rsid w:val="007150BE"/>
    <w:rsid w:val="0072039F"/>
    <w:rsid w:val="0072217C"/>
    <w:rsid w:val="00722BB5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A14C0"/>
    <w:rsid w:val="007A25F0"/>
    <w:rsid w:val="007A40C5"/>
    <w:rsid w:val="007A472A"/>
    <w:rsid w:val="007B15C1"/>
    <w:rsid w:val="007B6FDC"/>
    <w:rsid w:val="007C0ADF"/>
    <w:rsid w:val="007C12EA"/>
    <w:rsid w:val="007C6219"/>
    <w:rsid w:val="007D18B1"/>
    <w:rsid w:val="007D45BD"/>
    <w:rsid w:val="007E4C78"/>
    <w:rsid w:val="007E5A2D"/>
    <w:rsid w:val="00801008"/>
    <w:rsid w:val="008073F4"/>
    <w:rsid w:val="0081000B"/>
    <w:rsid w:val="00817E68"/>
    <w:rsid w:val="00817F4C"/>
    <w:rsid w:val="00821923"/>
    <w:rsid w:val="00822823"/>
    <w:rsid w:val="0082558C"/>
    <w:rsid w:val="00830982"/>
    <w:rsid w:val="00845D4A"/>
    <w:rsid w:val="00850A9B"/>
    <w:rsid w:val="00856432"/>
    <w:rsid w:val="00865A7D"/>
    <w:rsid w:val="00866E6F"/>
    <w:rsid w:val="00870077"/>
    <w:rsid w:val="00870D48"/>
    <w:rsid w:val="0088098D"/>
    <w:rsid w:val="008943FC"/>
    <w:rsid w:val="008967AF"/>
    <w:rsid w:val="008A77E8"/>
    <w:rsid w:val="008B07F6"/>
    <w:rsid w:val="008B68CD"/>
    <w:rsid w:val="008B7DB3"/>
    <w:rsid w:val="008E2A20"/>
    <w:rsid w:val="008E4478"/>
    <w:rsid w:val="008E7A75"/>
    <w:rsid w:val="0090775D"/>
    <w:rsid w:val="00923EB8"/>
    <w:rsid w:val="00931E42"/>
    <w:rsid w:val="00931F48"/>
    <w:rsid w:val="00942B4C"/>
    <w:rsid w:val="00943D59"/>
    <w:rsid w:val="00943DBA"/>
    <w:rsid w:val="00951B74"/>
    <w:rsid w:val="00951D39"/>
    <w:rsid w:val="00960813"/>
    <w:rsid w:val="009618D3"/>
    <w:rsid w:val="0096786B"/>
    <w:rsid w:val="00970E23"/>
    <w:rsid w:val="00972069"/>
    <w:rsid w:val="009744DC"/>
    <w:rsid w:val="00977F28"/>
    <w:rsid w:val="009A1C28"/>
    <w:rsid w:val="009A37FF"/>
    <w:rsid w:val="009B52E0"/>
    <w:rsid w:val="009C1BCC"/>
    <w:rsid w:val="009C2909"/>
    <w:rsid w:val="009F632B"/>
    <w:rsid w:val="00A03BE3"/>
    <w:rsid w:val="00A057DF"/>
    <w:rsid w:val="00A175B4"/>
    <w:rsid w:val="00A2030D"/>
    <w:rsid w:val="00A21A82"/>
    <w:rsid w:val="00A2545E"/>
    <w:rsid w:val="00A37E9F"/>
    <w:rsid w:val="00A724EA"/>
    <w:rsid w:val="00A7669F"/>
    <w:rsid w:val="00A76A58"/>
    <w:rsid w:val="00A81767"/>
    <w:rsid w:val="00A927AD"/>
    <w:rsid w:val="00A94595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668B"/>
    <w:rsid w:val="00B232A5"/>
    <w:rsid w:val="00B232C0"/>
    <w:rsid w:val="00B353D7"/>
    <w:rsid w:val="00B357C3"/>
    <w:rsid w:val="00B40153"/>
    <w:rsid w:val="00B43D19"/>
    <w:rsid w:val="00B526A8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C1442C"/>
    <w:rsid w:val="00C20DC6"/>
    <w:rsid w:val="00C21EA4"/>
    <w:rsid w:val="00C22157"/>
    <w:rsid w:val="00C474FB"/>
    <w:rsid w:val="00C543B0"/>
    <w:rsid w:val="00C56C50"/>
    <w:rsid w:val="00C641CF"/>
    <w:rsid w:val="00C67806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CF64A0"/>
    <w:rsid w:val="00D02E89"/>
    <w:rsid w:val="00D07636"/>
    <w:rsid w:val="00D118EA"/>
    <w:rsid w:val="00D137F0"/>
    <w:rsid w:val="00D15021"/>
    <w:rsid w:val="00D170C1"/>
    <w:rsid w:val="00D174B9"/>
    <w:rsid w:val="00D2127C"/>
    <w:rsid w:val="00D27C29"/>
    <w:rsid w:val="00D33265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95576"/>
    <w:rsid w:val="00DA730C"/>
    <w:rsid w:val="00DC41CB"/>
    <w:rsid w:val="00DD3C67"/>
    <w:rsid w:val="00DE14CC"/>
    <w:rsid w:val="00DF75F0"/>
    <w:rsid w:val="00E00749"/>
    <w:rsid w:val="00E02E32"/>
    <w:rsid w:val="00E0393A"/>
    <w:rsid w:val="00E07A83"/>
    <w:rsid w:val="00E10833"/>
    <w:rsid w:val="00E13A6A"/>
    <w:rsid w:val="00E14A0A"/>
    <w:rsid w:val="00E33644"/>
    <w:rsid w:val="00E34EAE"/>
    <w:rsid w:val="00E42A93"/>
    <w:rsid w:val="00E47499"/>
    <w:rsid w:val="00E62C64"/>
    <w:rsid w:val="00E70FCC"/>
    <w:rsid w:val="00E75B60"/>
    <w:rsid w:val="00E76557"/>
    <w:rsid w:val="00E82256"/>
    <w:rsid w:val="00E96867"/>
    <w:rsid w:val="00EB7DCC"/>
    <w:rsid w:val="00EC4E41"/>
    <w:rsid w:val="00ED12D4"/>
    <w:rsid w:val="00EE5D07"/>
    <w:rsid w:val="00EE7689"/>
    <w:rsid w:val="00EF2D4C"/>
    <w:rsid w:val="00EF5A01"/>
    <w:rsid w:val="00F13994"/>
    <w:rsid w:val="00F1775F"/>
    <w:rsid w:val="00F26320"/>
    <w:rsid w:val="00F27429"/>
    <w:rsid w:val="00F2746C"/>
    <w:rsid w:val="00F33057"/>
    <w:rsid w:val="00F521EE"/>
    <w:rsid w:val="00F53694"/>
    <w:rsid w:val="00F543F4"/>
    <w:rsid w:val="00F63343"/>
    <w:rsid w:val="00F656FC"/>
    <w:rsid w:val="00F67F03"/>
    <w:rsid w:val="00F70B0A"/>
    <w:rsid w:val="00F70E47"/>
    <w:rsid w:val="00F75E35"/>
    <w:rsid w:val="00F76924"/>
    <w:rsid w:val="00F8591E"/>
    <w:rsid w:val="00F922DD"/>
    <w:rsid w:val="00F93FE6"/>
    <w:rsid w:val="00F948EB"/>
    <w:rsid w:val="00F96A6D"/>
    <w:rsid w:val="00FA6DE8"/>
    <w:rsid w:val="00FA722E"/>
    <w:rsid w:val="00FB34BA"/>
    <w:rsid w:val="00FD4981"/>
    <w:rsid w:val="00FE04AE"/>
    <w:rsid w:val="00FE4FA6"/>
    <w:rsid w:val="00FE6B44"/>
    <w:rsid w:val="00FF1BFF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0F77-DD3C-4986-BC98-D6BB355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14</cp:revision>
  <cp:lastPrinted>2020-11-30T08:52:00Z</cp:lastPrinted>
  <dcterms:created xsi:type="dcterms:W3CDTF">2020-11-30T06:27:00Z</dcterms:created>
  <dcterms:modified xsi:type="dcterms:W3CDTF">2020-12-07T13:54:00Z</dcterms:modified>
</cp:coreProperties>
</file>