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3561FB" w:rsidRDefault="003561FB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BF31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r w:rsidR="00FE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Новочурашевского</w:t>
      </w:r>
      <w:r w:rsidR="00B7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r w:rsidR="00FE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</w:t>
      </w:r>
      <w:r w:rsidR="00D150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основном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требованиям  Положения «О регулировании бюджетных правоотношений в </w:t>
      </w:r>
      <w:proofErr w:type="spellStart"/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2642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8E6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proofErr w:type="spellStart"/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8E6217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Основные характеристики проекта бюджета </w:t>
      </w:r>
      <w:r w:rsidR="00FE2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в следующих объемах:</w:t>
      </w:r>
      <w:r w:rsidR="008E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8E6217" w:rsidRPr="008E62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</w:t>
      </w:r>
      <w:proofErr w:type="spellEnd"/>
      <w:r w:rsidR="008E6217" w:rsidRPr="008E62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1.)</w:t>
      </w:r>
    </w:p>
    <w:p w:rsidR="008E6217" w:rsidRPr="001510D3" w:rsidRDefault="008E6217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Табл. № 1.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C39AC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FC0775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5" w:rsidRPr="009A1C28" w:rsidRDefault="00FC0775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FC0775" w:rsidP="00FC0775">
            <w:pPr>
              <w:pStyle w:val="ac"/>
            </w:pPr>
            <w:r>
              <w:t>8014,2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FC0775" w:rsidP="00FC0775">
            <w:pPr>
              <w:pStyle w:val="ac"/>
            </w:pPr>
            <w:r>
              <w:t>6174,8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FC0775" w:rsidP="00FC0775">
            <w:pPr>
              <w:pStyle w:val="ac"/>
            </w:pPr>
            <w: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FC0775" w:rsidP="00FC0775">
            <w:pPr>
              <w:pStyle w:val="ac"/>
            </w:pPr>
            <w:r>
              <w:t>5734,9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FC0775" w:rsidP="00FC0775">
            <w:pPr>
              <w:pStyle w:val="ac"/>
            </w:pPr>
            <w:r>
              <w:t>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FC0775" w:rsidP="00FC0775">
            <w:pPr>
              <w:pStyle w:val="ac"/>
            </w:pPr>
            <w:r>
              <w:t>5677,3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FC0775" w:rsidP="00FC0775">
            <w:pPr>
              <w:pStyle w:val="ac"/>
            </w:pPr>
            <w:r>
              <w:t>99,0</w:t>
            </w:r>
          </w:p>
        </w:tc>
      </w:tr>
      <w:tr w:rsidR="00FC0775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5" w:rsidRPr="009A1C28" w:rsidRDefault="00FC0775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FC0775" w:rsidP="00FC0775">
            <w:pPr>
              <w:pStyle w:val="ac"/>
            </w:pPr>
            <w:r>
              <w:t>9313,1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FC0775" w:rsidP="00FC0775">
            <w:pPr>
              <w:pStyle w:val="ac"/>
            </w:pPr>
            <w:r>
              <w:t>6174,8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FC0775" w:rsidP="00FC0775">
            <w:pPr>
              <w:pStyle w:val="ac"/>
            </w:pPr>
            <w: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271096" w:rsidP="00271096">
            <w:pPr>
              <w:pStyle w:val="ac"/>
            </w:pPr>
            <w:r>
              <w:t>5734,9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271096" w:rsidP="00271096">
            <w:pPr>
              <w:pStyle w:val="ac"/>
            </w:pPr>
            <w:r>
              <w:t>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271096" w:rsidP="00271096">
            <w:pPr>
              <w:pStyle w:val="ac"/>
            </w:pPr>
            <w:r>
              <w:t>5677,3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271096" w:rsidP="00FC0775">
            <w:pPr>
              <w:pStyle w:val="ac"/>
            </w:pPr>
            <w:r>
              <w:t>99,0</w:t>
            </w:r>
          </w:p>
        </w:tc>
      </w:tr>
      <w:tr w:rsidR="00FC0775" w:rsidRPr="00070853" w:rsidTr="003D705E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5" w:rsidRPr="009A1C28" w:rsidRDefault="00FC0775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5" w:rsidRDefault="00FC0775" w:rsidP="00FC0775">
            <w:pPr>
              <w:pStyle w:val="ac"/>
            </w:pPr>
            <w:r>
              <w:t>-1298,9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FC0775" w:rsidP="00FC0775">
            <w:pPr>
              <w:pStyle w:val="ac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FC0775" w:rsidP="00FC0775">
            <w:pPr>
              <w:pStyle w:val="ac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FC0775" w:rsidP="00FC0775">
            <w:pPr>
              <w:pStyle w:val="ac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FC0775" w:rsidP="00FC0775">
            <w:pPr>
              <w:pStyle w:val="ac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FC0775" w:rsidP="00FC0775">
            <w:pPr>
              <w:pStyle w:val="ac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5" w:rsidRDefault="00FC0775" w:rsidP="00FC0775">
            <w:pPr>
              <w:pStyle w:val="ac"/>
            </w:pPr>
            <w:r>
              <w:t> </w:t>
            </w: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48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775">
        <w:rPr>
          <w:rFonts w:ascii="Times New Roman" w:eastAsia="Times New Roman" w:hAnsi="Times New Roman" w:cs="Times New Roman"/>
          <w:sz w:val="24"/>
          <w:szCs w:val="24"/>
          <w:lang w:eastAsia="ru-RU"/>
        </w:rPr>
        <w:t>1088,3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C0775">
        <w:rPr>
          <w:rFonts w:ascii="Times New Roman" w:eastAsia="Times New Roman" w:hAnsi="Times New Roman" w:cs="Times New Roman"/>
          <w:sz w:val="24"/>
          <w:szCs w:val="24"/>
          <w:lang w:eastAsia="ru-RU"/>
        </w:rPr>
        <w:t>1416,3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C0775">
        <w:rPr>
          <w:rFonts w:ascii="Times New Roman" w:eastAsia="Times New Roman" w:hAnsi="Times New Roman" w:cs="Times New Roman"/>
          <w:sz w:val="24"/>
          <w:szCs w:val="24"/>
          <w:lang w:eastAsia="ru-RU"/>
        </w:rPr>
        <w:t>1504,3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F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118,4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FC077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233,7</w:t>
      </w:r>
      <w:r w:rsidR="0046020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тыс.руб.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87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90,0т.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r w:rsidR="00FE2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r w:rsidR="00FE2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r w:rsidR="00FE2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proofErr w:type="spellStart"/>
      <w:r w:rsidR="00FE2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Новочурашевском</w:t>
      </w:r>
      <w:proofErr w:type="spellEnd"/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r w:rsidR="00FE2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23.07.2001г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36.</w:t>
      </w:r>
    </w:p>
    <w:p w:rsidR="006A6478" w:rsidRDefault="006A6478" w:rsidP="006A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r w:rsidR="00FE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Новочурашевского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6DE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№2</w:t>
      </w:r>
    </w:p>
    <w:p w:rsidR="00611401" w:rsidRDefault="00611401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DE9">
        <w:rPr>
          <w:rFonts w:ascii="Times New Roman" w:hAnsi="Times New Roman" w:cs="Times New Roman"/>
          <w:sz w:val="24"/>
          <w:szCs w:val="24"/>
        </w:rPr>
        <w:t xml:space="preserve">Общая сумма доходов </w:t>
      </w:r>
      <w:r w:rsidR="00FE2B87">
        <w:rPr>
          <w:rFonts w:ascii="Times New Roman" w:hAnsi="Times New Roman" w:cs="Times New Roman"/>
          <w:sz w:val="24"/>
          <w:szCs w:val="24"/>
        </w:rPr>
        <w:t>Новочурашевского</w:t>
      </w:r>
      <w:r w:rsidR="00264EEE" w:rsidRPr="00B76DE9">
        <w:rPr>
          <w:rFonts w:ascii="Times New Roman" w:hAnsi="Times New Roman" w:cs="Times New Roman"/>
          <w:sz w:val="24"/>
          <w:szCs w:val="24"/>
        </w:rPr>
        <w:t xml:space="preserve"> </w:t>
      </w:r>
      <w:r w:rsidRPr="00B76DE9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планируется в размере </w:t>
      </w:r>
      <w:r w:rsidR="00FA3BCC">
        <w:rPr>
          <w:rFonts w:ascii="Times New Roman" w:hAnsi="Times New Roman" w:cs="Times New Roman"/>
          <w:sz w:val="24"/>
          <w:szCs w:val="24"/>
        </w:rPr>
        <w:t>6174,8</w:t>
      </w:r>
      <w:r w:rsidRPr="00B76DE9">
        <w:rPr>
          <w:rFonts w:ascii="Times New Roman" w:hAnsi="Times New Roman" w:cs="Times New Roman"/>
          <w:sz w:val="24"/>
          <w:szCs w:val="24"/>
        </w:rPr>
        <w:t xml:space="preserve"> тыс. рублей. По сравнению с утвержденными</w:t>
      </w:r>
      <w:r w:rsidRPr="003A70FD">
        <w:rPr>
          <w:rFonts w:ascii="Times New Roman" w:hAnsi="Times New Roman" w:cs="Times New Roman"/>
          <w:sz w:val="24"/>
          <w:szCs w:val="24"/>
        </w:rPr>
        <w:t xml:space="preserve"> бюджетными назначениями 2020 года  </w:t>
      </w:r>
      <w:r w:rsidR="004E0DDC">
        <w:rPr>
          <w:rFonts w:ascii="Times New Roman" w:hAnsi="Times New Roman" w:cs="Times New Roman"/>
          <w:sz w:val="24"/>
          <w:szCs w:val="24"/>
        </w:rPr>
        <w:t>доходы у</w:t>
      </w:r>
      <w:r w:rsidR="0073597B">
        <w:rPr>
          <w:rFonts w:ascii="Times New Roman" w:hAnsi="Times New Roman" w:cs="Times New Roman"/>
          <w:sz w:val="24"/>
          <w:szCs w:val="24"/>
        </w:rPr>
        <w:t>меньш</w:t>
      </w:r>
      <w:r w:rsidR="004E0DDC">
        <w:rPr>
          <w:rFonts w:ascii="Times New Roman" w:hAnsi="Times New Roman" w:cs="Times New Roman"/>
          <w:sz w:val="24"/>
          <w:szCs w:val="24"/>
        </w:rPr>
        <w:t xml:space="preserve">атся на </w:t>
      </w:r>
      <w:r w:rsidR="00FA3BCC">
        <w:rPr>
          <w:rFonts w:ascii="Times New Roman" w:hAnsi="Times New Roman" w:cs="Times New Roman"/>
          <w:sz w:val="24"/>
          <w:szCs w:val="24"/>
        </w:rPr>
        <w:t>23</w:t>
      </w:r>
      <w:r w:rsidR="0067048B">
        <w:rPr>
          <w:rFonts w:ascii="Times New Roman" w:hAnsi="Times New Roman" w:cs="Times New Roman"/>
          <w:sz w:val="24"/>
          <w:szCs w:val="24"/>
        </w:rPr>
        <w:t>,</w:t>
      </w:r>
      <w:r w:rsidR="00FA3BCC">
        <w:rPr>
          <w:rFonts w:ascii="Times New Roman" w:hAnsi="Times New Roman" w:cs="Times New Roman"/>
          <w:sz w:val="24"/>
          <w:szCs w:val="24"/>
        </w:rPr>
        <w:t>0</w:t>
      </w:r>
      <w:r w:rsidRPr="003A70FD">
        <w:rPr>
          <w:rFonts w:ascii="Times New Roman" w:hAnsi="Times New Roman" w:cs="Times New Roman"/>
          <w:sz w:val="24"/>
          <w:szCs w:val="24"/>
        </w:rPr>
        <w:t>%.</w:t>
      </w: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 xml:space="preserve">Поступление доходов на 2022 год  прогнозируется в сумме </w:t>
      </w:r>
      <w:r w:rsidR="00FA3BCC">
        <w:rPr>
          <w:rFonts w:ascii="Times New Roman" w:hAnsi="Times New Roman" w:cs="Times New Roman"/>
          <w:sz w:val="24"/>
          <w:szCs w:val="24"/>
        </w:rPr>
        <w:t>5734,9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 , и на 2023 год – </w:t>
      </w:r>
      <w:r w:rsidR="00FA3BCC">
        <w:rPr>
          <w:rFonts w:ascii="Times New Roman" w:hAnsi="Times New Roman" w:cs="Times New Roman"/>
          <w:sz w:val="24"/>
          <w:szCs w:val="24"/>
        </w:rPr>
        <w:t>5677,3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2A20" w:rsidRDefault="00BF3190" w:rsidP="006A64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76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4C037D" w:rsidRDefault="008E2A20" w:rsidP="004C03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(решение о бюджете) сумма</w:t>
            </w:r>
          </w:p>
          <w:p w:rsidR="008E2A20" w:rsidRPr="004C037D" w:rsidRDefault="008E2A20" w:rsidP="004C037D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(тыс. 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4C037D" w:rsidRDefault="008E2A20" w:rsidP="004C037D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</w:t>
            </w:r>
            <w:proofErr w:type="spellEnd"/>
          </w:p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щему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предыду-щему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преды-дущему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году(%)</w:t>
            </w:r>
          </w:p>
        </w:tc>
      </w:tr>
      <w:tr w:rsidR="00794F9B" w:rsidRPr="002C0229" w:rsidTr="007A0911">
        <w:trPr>
          <w:trHeight w:val="471"/>
        </w:trPr>
        <w:tc>
          <w:tcPr>
            <w:tcW w:w="1985" w:type="dxa"/>
            <w:shd w:val="clear" w:color="auto" w:fill="auto"/>
          </w:tcPr>
          <w:p w:rsidR="00794F9B" w:rsidRPr="00B76DE9" w:rsidRDefault="00794F9B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4F9B" w:rsidRDefault="00794F9B" w:rsidP="00794F9B">
            <w:pPr>
              <w:pStyle w:val="ac"/>
              <w:jc w:val="right"/>
            </w:pPr>
            <w:r>
              <w:t>8014,2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4F9B" w:rsidRDefault="00794F9B" w:rsidP="00794F9B">
            <w:pPr>
              <w:pStyle w:val="ac"/>
              <w:jc w:val="right"/>
            </w:pPr>
            <w:r>
              <w:t>6174,8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4F9B" w:rsidRPr="00794F9B" w:rsidRDefault="00794F9B" w:rsidP="00794F9B">
            <w:pPr>
              <w:pStyle w:val="ac"/>
              <w:jc w:val="right"/>
              <w:rPr>
                <w:i/>
                <w:sz w:val="18"/>
                <w:szCs w:val="18"/>
              </w:rPr>
            </w:pPr>
            <w:r w:rsidRPr="00794F9B">
              <w:rPr>
                <w:i/>
                <w:sz w:val="18"/>
                <w:szCs w:val="18"/>
              </w:rPr>
              <w:t>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4F9B" w:rsidRDefault="00794F9B" w:rsidP="00794F9B">
            <w:pPr>
              <w:pStyle w:val="ac"/>
              <w:jc w:val="right"/>
            </w:pPr>
            <w:r>
              <w:t>5734,9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94F9B">
              <w:rPr>
                <w:rFonts w:ascii="Times New Roman" w:hAnsi="Times New Roman"/>
                <w:i/>
                <w:sz w:val="18"/>
                <w:szCs w:val="18"/>
              </w:rPr>
              <w:t>92,9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94F9B" w:rsidRDefault="00794F9B" w:rsidP="00794F9B">
            <w:pPr>
              <w:pStyle w:val="ac"/>
              <w:jc w:val="right"/>
            </w:pPr>
            <w:r>
              <w:t>5677,3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4F9B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794F9B" w:rsidRPr="002C0229" w:rsidTr="00B76DE9">
        <w:trPr>
          <w:trHeight w:val="291"/>
        </w:trPr>
        <w:tc>
          <w:tcPr>
            <w:tcW w:w="1985" w:type="dxa"/>
            <w:shd w:val="clear" w:color="auto" w:fill="auto"/>
          </w:tcPr>
          <w:p w:rsidR="00794F9B" w:rsidRPr="007C0ADF" w:rsidRDefault="00794F9B" w:rsidP="006A6478">
            <w:pPr>
              <w:pStyle w:val="ac"/>
              <w:jc w:val="both"/>
              <w:rPr>
                <w:rFonts w:ascii="Times New Roman" w:hAnsi="Times New Roman"/>
              </w:rPr>
            </w:pPr>
            <w:r w:rsidRPr="007C0AD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794F9B" w:rsidRDefault="00794F9B" w:rsidP="00794F9B">
            <w:pPr>
              <w:pStyle w:val="ac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shd w:val="clear" w:color="auto" w:fill="auto"/>
          </w:tcPr>
          <w:p w:rsidR="00794F9B" w:rsidRDefault="00794F9B" w:rsidP="00794F9B">
            <w:pPr>
              <w:pStyle w:val="ac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i/>
                <w:sz w:val="18"/>
                <w:szCs w:val="18"/>
              </w:rPr>
            </w:pPr>
            <w:r w:rsidRPr="00794F9B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94F9B" w:rsidRDefault="00794F9B" w:rsidP="00794F9B">
            <w:pPr>
              <w:pStyle w:val="ac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94F9B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94F9B" w:rsidRDefault="00794F9B" w:rsidP="00794F9B">
            <w:pPr>
              <w:pStyle w:val="ac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8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4F9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94F9B" w:rsidRPr="002C0229" w:rsidTr="008E2A20">
        <w:trPr>
          <w:trHeight w:val="557"/>
        </w:trPr>
        <w:tc>
          <w:tcPr>
            <w:tcW w:w="1985" w:type="dxa"/>
            <w:shd w:val="clear" w:color="auto" w:fill="auto"/>
          </w:tcPr>
          <w:p w:rsidR="00794F9B" w:rsidRPr="00B76DE9" w:rsidRDefault="00794F9B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794F9B" w:rsidRDefault="00794F9B" w:rsidP="00794F9B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1530,1</w:t>
            </w:r>
          </w:p>
        </w:tc>
        <w:tc>
          <w:tcPr>
            <w:tcW w:w="992" w:type="dxa"/>
            <w:shd w:val="clear" w:color="auto" w:fill="auto"/>
          </w:tcPr>
          <w:p w:rsidR="00794F9B" w:rsidRDefault="00794F9B" w:rsidP="00794F9B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1497,1</w:t>
            </w:r>
          </w:p>
        </w:tc>
        <w:tc>
          <w:tcPr>
            <w:tcW w:w="1276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ET" w:hAnsi="TimesET"/>
                <w:i/>
                <w:sz w:val="18"/>
                <w:szCs w:val="18"/>
              </w:rPr>
            </w:pPr>
            <w:r w:rsidRPr="00794F9B">
              <w:rPr>
                <w:rFonts w:ascii="TimesET" w:hAnsi="TimesET"/>
                <w:i/>
                <w:sz w:val="18"/>
                <w:szCs w:val="18"/>
              </w:rPr>
              <w:t>97,8</w:t>
            </w:r>
          </w:p>
        </w:tc>
        <w:tc>
          <w:tcPr>
            <w:tcW w:w="992" w:type="dxa"/>
            <w:shd w:val="clear" w:color="auto" w:fill="auto"/>
          </w:tcPr>
          <w:p w:rsidR="00794F9B" w:rsidRDefault="00794F9B" w:rsidP="00794F9B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1566,4</w:t>
            </w:r>
          </w:p>
        </w:tc>
        <w:tc>
          <w:tcPr>
            <w:tcW w:w="1276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94F9B">
              <w:rPr>
                <w:rFonts w:ascii="Times New Roman" w:hAnsi="Times New Roman"/>
                <w:i/>
                <w:sz w:val="18"/>
                <w:szCs w:val="18"/>
              </w:rPr>
              <w:t>104,6</w:t>
            </w:r>
          </w:p>
        </w:tc>
        <w:tc>
          <w:tcPr>
            <w:tcW w:w="1124" w:type="dxa"/>
            <w:shd w:val="clear" w:color="auto" w:fill="auto"/>
          </w:tcPr>
          <w:p w:rsidR="00794F9B" w:rsidRDefault="00794F9B" w:rsidP="00794F9B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1683,5</w:t>
            </w:r>
          </w:p>
        </w:tc>
        <w:tc>
          <w:tcPr>
            <w:tcW w:w="968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4F9B">
              <w:rPr>
                <w:rFonts w:ascii="Times New Roman" w:hAnsi="Times New Roman"/>
                <w:sz w:val="18"/>
                <w:szCs w:val="18"/>
              </w:rPr>
              <w:t>-107,5</w:t>
            </w:r>
          </w:p>
        </w:tc>
      </w:tr>
      <w:tr w:rsidR="00794F9B" w:rsidRPr="002C0229" w:rsidTr="008E2A20">
        <w:trPr>
          <w:trHeight w:val="580"/>
        </w:trPr>
        <w:tc>
          <w:tcPr>
            <w:tcW w:w="1985" w:type="dxa"/>
            <w:shd w:val="clear" w:color="auto" w:fill="auto"/>
          </w:tcPr>
          <w:p w:rsidR="00794F9B" w:rsidRPr="00B76DE9" w:rsidRDefault="00794F9B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4F9B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92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4F9B">
              <w:rPr>
                <w:rFonts w:ascii="Times New Roman" w:hAnsi="Times New Roman"/>
                <w:sz w:val="18"/>
                <w:szCs w:val="18"/>
              </w:rPr>
              <w:t>24,2</w:t>
            </w:r>
          </w:p>
        </w:tc>
        <w:tc>
          <w:tcPr>
            <w:tcW w:w="1276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94F9B">
              <w:rPr>
                <w:rFonts w:ascii="Times New Roman" w:hAnsi="Times New Roman"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4F9B"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1276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94F9B">
              <w:rPr>
                <w:rFonts w:ascii="Times New Roman" w:hAnsi="Times New Roman"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4F9B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968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4F9B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794F9B" w:rsidRPr="002C0229" w:rsidTr="008E2A20">
        <w:tc>
          <w:tcPr>
            <w:tcW w:w="1985" w:type="dxa"/>
            <w:shd w:val="clear" w:color="auto" w:fill="auto"/>
          </w:tcPr>
          <w:p w:rsidR="00794F9B" w:rsidRPr="00B76DE9" w:rsidRDefault="00794F9B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794F9B" w:rsidRDefault="00794F9B" w:rsidP="00794F9B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6484,1</w:t>
            </w:r>
          </w:p>
        </w:tc>
        <w:tc>
          <w:tcPr>
            <w:tcW w:w="992" w:type="dxa"/>
            <w:shd w:val="clear" w:color="auto" w:fill="auto"/>
          </w:tcPr>
          <w:p w:rsidR="00794F9B" w:rsidRDefault="00794F9B" w:rsidP="00794F9B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4677,7</w:t>
            </w:r>
          </w:p>
        </w:tc>
        <w:tc>
          <w:tcPr>
            <w:tcW w:w="1276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ET" w:hAnsi="TimesET"/>
                <w:i/>
                <w:sz w:val="18"/>
                <w:szCs w:val="18"/>
              </w:rPr>
            </w:pPr>
            <w:r w:rsidRPr="00794F9B">
              <w:rPr>
                <w:rFonts w:ascii="TimesET" w:hAnsi="TimesET"/>
                <w:i/>
                <w:sz w:val="18"/>
                <w:szCs w:val="18"/>
              </w:rPr>
              <w:t>72,1</w:t>
            </w:r>
          </w:p>
        </w:tc>
        <w:tc>
          <w:tcPr>
            <w:tcW w:w="992" w:type="dxa"/>
            <w:shd w:val="clear" w:color="auto" w:fill="auto"/>
          </w:tcPr>
          <w:p w:rsidR="00794F9B" w:rsidRDefault="00794F9B" w:rsidP="00794F9B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4168,5</w:t>
            </w:r>
          </w:p>
        </w:tc>
        <w:tc>
          <w:tcPr>
            <w:tcW w:w="1276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94F9B">
              <w:rPr>
                <w:rFonts w:ascii="Times New Roman" w:hAnsi="Times New Roman"/>
                <w:i/>
                <w:sz w:val="18"/>
                <w:szCs w:val="18"/>
              </w:rPr>
              <w:t>89,1</w:t>
            </w:r>
          </w:p>
        </w:tc>
        <w:tc>
          <w:tcPr>
            <w:tcW w:w="1124" w:type="dxa"/>
            <w:shd w:val="clear" w:color="auto" w:fill="auto"/>
          </w:tcPr>
          <w:p w:rsidR="00794F9B" w:rsidRDefault="00794F9B" w:rsidP="00794F9B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3993,8</w:t>
            </w:r>
          </w:p>
        </w:tc>
        <w:tc>
          <w:tcPr>
            <w:tcW w:w="968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4F9B">
              <w:rPr>
                <w:rFonts w:ascii="Times New Roman" w:hAnsi="Times New Roman"/>
                <w:sz w:val="18"/>
                <w:szCs w:val="18"/>
              </w:rPr>
              <w:t>-95,8</w:t>
            </w:r>
          </w:p>
        </w:tc>
      </w:tr>
      <w:tr w:rsidR="00794F9B" w:rsidRPr="002C0229" w:rsidTr="008E2A20">
        <w:trPr>
          <w:trHeight w:val="604"/>
        </w:trPr>
        <w:tc>
          <w:tcPr>
            <w:tcW w:w="1985" w:type="dxa"/>
            <w:shd w:val="clear" w:color="auto" w:fill="auto"/>
          </w:tcPr>
          <w:p w:rsidR="00794F9B" w:rsidRPr="00B76DE9" w:rsidRDefault="00794F9B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4F9B">
              <w:rPr>
                <w:rFonts w:ascii="Times New Roman" w:hAnsi="Times New Roman"/>
                <w:sz w:val="18"/>
                <w:szCs w:val="18"/>
              </w:rPr>
              <w:t>80,9</w:t>
            </w:r>
          </w:p>
        </w:tc>
        <w:tc>
          <w:tcPr>
            <w:tcW w:w="992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4F9B">
              <w:rPr>
                <w:rFonts w:ascii="Times New Roman" w:hAnsi="Times New Roman"/>
                <w:sz w:val="18"/>
                <w:szCs w:val="18"/>
              </w:rPr>
              <w:t>75,8</w:t>
            </w:r>
          </w:p>
        </w:tc>
        <w:tc>
          <w:tcPr>
            <w:tcW w:w="1276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94F9B">
              <w:rPr>
                <w:rFonts w:ascii="Times New Roman" w:hAnsi="Times New Roman"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4F9B">
              <w:rPr>
                <w:rFonts w:ascii="Times New Roman" w:hAnsi="Times New Roman"/>
                <w:sz w:val="18"/>
                <w:szCs w:val="18"/>
              </w:rPr>
              <w:t>72,7</w:t>
            </w:r>
          </w:p>
        </w:tc>
        <w:tc>
          <w:tcPr>
            <w:tcW w:w="1276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94F9B">
              <w:rPr>
                <w:rFonts w:ascii="Times New Roman" w:hAnsi="Times New Roman"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4F9B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  <w:tc>
          <w:tcPr>
            <w:tcW w:w="968" w:type="dxa"/>
            <w:shd w:val="clear" w:color="auto" w:fill="auto"/>
          </w:tcPr>
          <w:p w:rsidR="00794F9B" w:rsidRPr="00794F9B" w:rsidRDefault="00794F9B" w:rsidP="00794F9B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4F9B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B76DE9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>Собственные доходы поселения</w:t>
      </w:r>
      <w:r w:rsidR="005C23E6">
        <w:rPr>
          <w:rFonts w:ascii="Times New Roman" w:hAnsi="Times New Roman" w:cs="Times New Roman"/>
          <w:sz w:val="24"/>
          <w:szCs w:val="24"/>
        </w:rPr>
        <w:t xml:space="preserve">  </w:t>
      </w:r>
      <w:r w:rsidRPr="003A70FD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5C23E6">
        <w:rPr>
          <w:rFonts w:ascii="Times New Roman" w:hAnsi="Times New Roman" w:cs="Times New Roman"/>
          <w:sz w:val="24"/>
          <w:szCs w:val="24"/>
        </w:rPr>
        <w:t xml:space="preserve"> планируются в сумме </w:t>
      </w:r>
      <w:r w:rsidR="00FA3BCC">
        <w:rPr>
          <w:rFonts w:ascii="Times New Roman" w:hAnsi="Times New Roman" w:cs="Times New Roman"/>
          <w:sz w:val="24"/>
          <w:szCs w:val="24"/>
        </w:rPr>
        <w:t>1497,1т</w:t>
      </w:r>
      <w:r w:rsidRPr="003A70FD">
        <w:rPr>
          <w:rFonts w:ascii="Times New Roman" w:hAnsi="Times New Roman" w:cs="Times New Roman"/>
          <w:sz w:val="24"/>
          <w:szCs w:val="24"/>
        </w:rPr>
        <w:t>ыс. рублей</w:t>
      </w:r>
      <w:r w:rsidR="0066250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2030D">
        <w:rPr>
          <w:rFonts w:ascii="Times New Roman" w:hAnsi="Times New Roman" w:cs="Times New Roman"/>
          <w:sz w:val="24"/>
          <w:szCs w:val="24"/>
        </w:rPr>
        <w:t>9</w:t>
      </w:r>
      <w:r w:rsidR="00FA3BCC">
        <w:rPr>
          <w:rFonts w:ascii="Times New Roman" w:hAnsi="Times New Roman" w:cs="Times New Roman"/>
          <w:sz w:val="24"/>
          <w:szCs w:val="24"/>
        </w:rPr>
        <w:t>7,8</w:t>
      </w:r>
      <w:r w:rsidR="0066250E">
        <w:rPr>
          <w:rFonts w:ascii="Times New Roman" w:hAnsi="Times New Roman" w:cs="Times New Roman"/>
          <w:sz w:val="24"/>
          <w:szCs w:val="24"/>
        </w:rPr>
        <w:t xml:space="preserve"> % к 2020 году. Их удельный вес в доходах поселения составит </w:t>
      </w:r>
      <w:r w:rsidR="00FA3BCC">
        <w:rPr>
          <w:rFonts w:ascii="Times New Roman" w:hAnsi="Times New Roman" w:cs="Times New Roman"/>
          <w:sz w:val="24"/>
          <w:szCs w:val="24"/>
        </w:rPr>
        <w:t>24,2</w:t>
      </w:r>
      <w:r w:rsidR="0066250E">
        <w:rPr>
          <w:rFonts w:ascii="Times New Roman" w:hAnsi="Times New Roman" w:cs="Times New Roman"/>
          <w:sz w:val="24"/>
          <w:szCs w:val="24"/>
        </w:rPr>
        <w:t xml:space="preserve"> %</w:t>
      </w:r>
      <w:r w:rsidR="00B76DE9">
        <w:rPr>
          <w:rFonts w:ascii="Times New Roman" w:hAnsi="Times New Roman" w:cs="Times New Roman"/>
          <w:sz w:val="24"/>
          <w:szCs w:val="24"/>
        </w:rPr>
        <w:t xml:space="preserve">, что  на </w:t>
      </w:r>
      <w:r w:rsidR="00FA3BCC">
        <w:rPr>
          <w:rFonts w:ascii="Times New Roman" w:hAnsi="Times New Roman" w:cs="Times New Roman"/>
          <w:sz w:val="24"/>
          <w:szCs w:val="24"/>
        </w:rPr>
        <w:t>5,1</w:t>
      </w:r>
      <w:r w:rsidR="00B76DE9">
        <w:rPr>
          <w:rFonts w:ascii="Times New Roman" w:hAnsi="Times New Roman" w:cs="Times New Roman"/>
          <w:sz w:val="24"/>
          <w:szCs w:val="24"/>
        </w:rPr>
        <w:t>%-ных  пункта выше уровня 2020 года.</w:t>
      </w:r>
    </w:p>
    <w:p w:rsidR="003A70FD" w:rsidRPr="003A70FD" w:rsidRDefault="005C23E6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6A6478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>
        <w:rPr>
          <w:rFonts w:ascii="Times New Roman" w:hAnsi="Times New Roman" w:cs="Times New Roman"/>
          <w:sz w:val="24"/>
          <w:szCs w:val="24"/>
        </w:rPr>
        <w:t>на плановый период  прогнозируется  в сумме</w:t>
      </w:r>
      <w:r w:rsidR="00FA3BCC">
        <w:rPr>
          <w:rFonts w:ascii="Times New Roman" w:hAnsi="Times New Roman" w:cs="Times New Roman"/>
          <w:sz w:val="24"/>
          <w:szCs w:val="24"/>
        </w:rPr>
        <w:t>1566,4</w:t>
      </w:r>
      <w:r w:rsidR="003A70FD" w:rsidRPr="003A70FD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2022 год, и </w:t>
      </w:r>
      <w:r w:rsidR="00FA3BCC">
        <w:rPr>
          <w:rFonts w:ascii="Times New Roman" w:hAnsi="Times New Roman" w:cs="Times New Roman"/>
          <w:sz w:val="24"/>
          <w:szCs w:val="24"/>
        </w:rPr>
        <w:t>1683,5</w:t>
      </w:r>
      <w:r w:rsidR="00A2030D">
        <w:rPr>
          <w:rFonts w:ascii="Times New Roman" w:hAnsi="Times New Roman" w:cs="Times New Roman"/>
          <w:sz w:val="24"/>
          <w:szCs w:val="24"/>
        </w:rPr>
        <w:t>т.</w:t>
      </w:r>
      <w:r w:rsidR="003A70FD" w:rsidRPr="003A70FD">
        <w:rPr>
          <w:rFonts w:ascii="Times New Roman" w:hAnsi="Times New Roman" w:cs="Times New Roman"/>
          <w:sz w:val="24"/>
          <w:szCs w:val="24"/>
        </w:rPr>
        <w:t>рублей</w:t>
      </w:r>
      <w:r w:rsidR="004D4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2023 год.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E6" w:rsidRDefault="003A70FD" w:rsidP="006A6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6704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A3BCC">
        <w:rPr>
          <w:rFonts w:ascii="Times New Roman" w:eastAsia="Times New Roman" w:hAnsi="Times New Roman" w:cs="Times New Roman"/>
          <w:sz w:val="24"/>
          <w:szCs w:val="24"/>
          <w:lang w:eastAsia="ru-RU"/>
        </w:rPr>
        <w:t>677,7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A3BCC">
        <w:rPr>
          <w:rFonts w:ascii="Times New Roman" w:eastAsia="Times New Roman" w:hAnsi="Times New Roman" w:cs="Times New Roman"/>
          <w:sz w:val="24"/>
          <w:szCs w:val="24"/>
          <w:lang w:eastAsia="ru-RU"/>
        </w:rPr>
        <w:t>27,9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года . На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поступление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в сумме </w:t>
      </w:r>
      <w:r w:rsidR="00FA3BCC">
        <w:rPr>
          <w:rFonts w:ascii="Times New Roman" w:eastAsia="Times New Roman" w:hAnsi="Times New Roman" w:cs="Times New Roman"/>
          <w:sz w:val="24"/>
          <w:szCs w:val="24"/>
          <w:lang w:eastAsia="ru-RU"/>
        </w:rPr>
        <w:t>4168,5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3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3BCC">
        <w:rPr>
          <w:rFonts w:ascii="Times New Roman" w:eastAsia="Times New Roman" w:hAnsi="Times New Roman" w:cs="Times New Roman"/>
          <w:sz w:val="24"/>
          <w:szCs w:val="24"/>
          <w:lang w:eastAsia="ru-RU"/>
        </w:rPr>
        <w:t>993,8</w:t>
      </w:r>
      <w:r w:rsidR="0067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рублей.</w:t>
      </w:r>
    </w:p>
    <w:p w:rsidR="00BF3190" w:rsidRPr="003B0526" w:rsidRDefault="00BF3190" w:rsidP="006A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4D42CF" w:rsidP="006A64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Таблица №3</w:t>
      </w:r>
    </w:p>
    <w:tbl>
      <w:tblPr>
        <w:tblStyle w:val="a3"/>
        <w:tblW w:w="9746" w:type="dxa"/>
        <w:tblInd w:w="108" w:type="dxa"/>
        <w:tblLayout w:type="fixed"/>
        <w:tblLook w:val="01E0"/>
      </w:tblPr>
      <w:tblGrid>
        <w:gridCol w:w="3402"/>
        <w:gridCol w:w="1276"/>
        <w:gridCol w:w="1134"/>
        <w:gridCol w:w="851"/>
        <w:gridCol w:w="992"/>
        <w:gridCol w:w="1134"/>
        <w:gridCol w:w="957"/>
      </w:tblGrid>
      <w:tr w:rsidR="0066250E" w:rsidRPr="00B20B85" w:rsidTr="00943D59">
        <w:trPr>
          <w:trHeight w:val="2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 год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Динамика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 год</w:t>
            </w:r>
          </w:p>
        </w:tc>
      </w:tr>
      <w:tr w:rsidR="0066250E" w:rsidRPr="00B20B85" w:rsidTr="00943D59">
        <w:trPr>
          <w:trHeight w:val="24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(+ ; </w:t>
            </w:r>
            <w:r w:rsidR="004D42CF">
              <w:rPr>
                <w:color w:val="000000"/>
              </w:rPr>
              <w:t>-)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</w:tr>
      <w:tr w:rsidR="003E3615" w:rsidRPr="00B20B85" w:rsidTr="00943D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5" w:rsidRPr="00931F48" w:rsidRDefault="003E36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31F48">
              <w:rPr>
                <w:b/>
                <w:color w:val="000000"/>
              </w:rPr>
              <w:t>Собственные доходы, всего,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1530,1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1497,1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1566,4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1683,5</w:t>
            </w:r>
          </w:p>
        </w:tc>
      </w:tr>
      <w:tr w:rsidR="003E3615" w:rsidRPr="00B20B85" w:rsidTr="00943D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5" w:rsidRDefault="003E36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</w:tr>
      <w:tr w:rsidR="003E3615" w:rsidRPr="00B20B85" w:rsidTr="00943D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5" w:rsidRPr="004D42CF" w:rsidRDefault="003E361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>Налоговые доходы,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1076,3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1205,4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1263,7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1369,8</w:t>
            </w:r>
          </w:p>
        </w:tc>
      </w:tr>
      <w:tr w:rsidR="003E3615" w:rsidRPr="00B20B85" w:rsidTr="00943D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5" w:rsidRDefault="003E36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в общем объеме доходов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80,7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81,4</w:t>
            </w:r>
          </w:p>
        </w:tc>
      </w:tr>
      <w:tr w:rsidR="003E3615" w:rsidRPr="00B20B85" w:rsidTr="00943D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5" w:rsidRDefault="003E3615" w:rsidP="004D42CF">
            <w:pPr>
              <w:jc w:val="both"/>
              <w:rPr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 xml:space="preserve">Неналоговые </w:t>
            </w:r>
            <w:proofErr w:type="spellStart"/>
            <w:r w:rsidRPr="004D42CF">
              <w:rPr>
                <w:b/>
                <w:color w:val="000000"/>
              </w:rPr>
              <w:t>доходы,тыс</w:t>
            </w:r>
            <w:proofErr w:type="spellEnd"/>
            <w:r w:rsidRPr="004D42CF">
              <w:rPr>
                <w:b/>
                <w:color w:val="000000"/>
              </w:rPr>
              <w:t>. руб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453,8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291,7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-162,1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302,7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sz w:val="24"/>
                <w:szCs w:val="24"/>
              </w:rPr>
            </w:pPr>
            <w:r>
              <w:t>313,7</w:t>
            </w:r>
          </w:p>
        </w:tc>
      </w:tr>
      <w:tr w:rsidR="003E3615" w:rsidRPr="00B20B85" w:rsidTr="00943D5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15" w:rsidRDefault="003E36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в общем объеме доходов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19,3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15" w:rsidRDefault="003E3615" w:rsidP="003E3615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18,6</w:t>
            </w:r>
          </w:p>
        </w:tc>
      </w:tr>
    </w:tbl>
    <w:p w:rsidR="00BF3190" w:rsidRPr="003B0526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0A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налоговые доходы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доля  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1E2">
        <w:rPr>
          <w:rFonts w:ascii="Times New Roman" w:eastAsia="Times New Roman" w:hAnsi="Times New Roman" w:cs="Times New Roman"/>
          <w:sz w:val="24"/>
          <w:szCs w:val="24"/>
          <w:lang w:eastAsia="ru-RU"/>
        </w:rPr>
        <w:t>80,5%, чт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</w:t>
      </w:r>
      <w:r w:rsidR="00943D59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 w:rsidR="002F4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 выше  уровня предшествующего года. 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поступление налоговых доходов прогнозируется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2F41E2">
        <w:rPr>
          <w:rFonts w:ascii="Times New Roman" w:eastAsia="Times New Roman" w:hAnsi="Times New Roman" w:cs="Times New Roman"/>
          <w:sz w:val="24"/>
          <w:szCs w:val="24"/>
          <w:lang w:eastAsia="ru-RU"/>
        </w:rPr>
        <w:t>1205,4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 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1</w:t>
      </w:r>
      <w:r w:rsidR="002F41E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43D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41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 запланированно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2F41E2">
        <w:rPr>
          <w:rFonts w:ascii="Times New Roman" w:eastAsia="Times New Roman" w:hAnsi="Times New Roman" w:cs="Times New Roman"/>
          <w:sz w:val="24"/>
          <w:szCs w:val="24"/>
          <w:lang w:eastAsia="ru-RU"/>
        </w:rPr>
        <w:t>1076,3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C89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неналоговых доходов в 2021 году прогнозируется в сумме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41E2">
        <w:rPr>
          <w:rFonts w:ascii="Times New Roman" w:eastAsia="Times New Roman" w:hAnsi="Times New Roman" w:cs="Times New Roman"/>
          <w:sz w:val="24"/>
          <w:szCs w:val="24"/>
          <w:lang w:eastAsia="ru-RU"/>
        </w:rPr>
        <w:t>91,7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3D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41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уровню 2020 года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F41E2">
        <w:rPr>
          <w:rFonts w:ascii="Times New Roman" w:eastAsia="Times New Roman" w:hAnsi="Times New Roman" w:cs="Times New Roman"/>
          <w:sz w:val="24"/>
          <w:szCs w:val="24"/>
          <w:lang w:eastAsia="ru-RU"/>
        </w:rPr>
        <w:t>453,8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B0A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 в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неналоговых доходов в 2021 году  составит </w:t>
      </w:r>
      <w:r w:rsidR="002F41E2">
        <w:rPr>
          <w:rFonts w:ascii="Times New Roman" w:eastAsia="Times New Roman" w:hAnsi="Times New Roman" w:cs="Times New Roman"/>
          <w:sz w:val="24"/>
          <w:szCs w:val="24"/>
          <w:lang w:eastAsia="ru-RU"/>
        </w:rPr>
        <w:t>19,5</w:t>
      </w:r>
      <w:r w:rsidR="008E4478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 соответственно ниже показателя 2020 года на </w:t>
      </w:r>
      <w:r w:rsidR="00943D59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 w:rsidR="002F41E2">
        <w:rPr>
          <w:rFonts w:ascii="Times New Roman" w:eastAsia="Times New Roman" w:hAnsi="Times New Roman" w:cs="Times New Roman"/>
          <w:sz w:val="24"/>
          <w:szCs w:val="24"/>
          <w:lang w:eastAsia="ru-RU"/>
        </w:rPr>
        <w:t>2%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-ных пункта.  </w:t>
      </w:r>
    </w:p>
    <w:p w:rsidR="00DC41CB" w:rsidRDefault="00DC41CB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D2" w:rsidRDefault="008E6217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Таблица № 4.</w:t>
      </w:r>
    </w:p>
    <w:tbl>
      <w:tblPr>
        <w:tblW w:w="9653" w:type="dxa"/>
        <w:tblInd w:w="94" w:type="dxa"/>
        <w:tblLayout w:type="fixed"/>
        <w:tblLook w:val="04A0"/>
      </w:tblPr>
      <w:tblGrid>
        <w:gridCol w:w="3416"/>
        <w:gridCol w:w="1276"/>
        <w:gridCol w:w="992"/>
        <w:gridCol w:w="1276"/>
        <w:gridCol w:w="992"/>
        <w:gridCol w:w="851"/>
        <w:gridCol w:w="850"/>
      </w:tblGrid>
      <w:tr w:rsidR="001B66D2" w:rsidRPr="007A0911" w:rsidTr="00817F4C">
        <w:trPr>
          <w:trHeight w:val="315"/>
        </w:trPr>
        <w:tc>
          <w:tcPr>
            <w:tcW w:w="3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66D2" w:rsidRPr="003E3615" w:rsidRDefault="001B66D2" w:rsidP="003E3615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3E3615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>У</w:t>
            </w:r>
            <w:r w:rsidR="003C6EC6" w:rsidRPr="003E3615">
              <w:rPr>
                <w:rFonts w:ascii="Times New Roman" w:hAnsi="Times New Roman"/>
                <w:lang w:eastAsia="ru-RU"/>
              </w:rPr>
              <w:t>твержден</w:t>
            </w:r>
            <w:r w:rsidRPr="003E3615">
              <w:rPr>
                <w:rFonts w:ascii="Times New Roman" w:hAnsi="Times New Roman"/>
                <w:lang w:eastAsia="ru-RU"/>
              </w:rPr>
              <w:t>.</w:t>
            </w:r>
            <w:r w:rsidR="003C6EC6" w:rsidRPr="003E3615">
              <w:rPr>
                <w:rFonts w:ascii="Times New Roman" w:hAnsi="Times New Roman"/>
                <w:lang w:eastAsia="ru-RU"/>
              </w:rPr>
              <w:t>бюджет</w:t>
            </w:r>
            <w:r w:rsidRPr="003E3615">
              <w:rPr>
                <w:rFonts w:ascii="Times New Roman" w:hAnsi="Times New Roman"/>
                <w:lang w:eastAsia="ru-RU"/>
              </w:rPr>
              <w:t xml:space="preserve"> назначения 2020 г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3E3615" w:rsidRDefault="001B66D2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>Проект на  2021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3E3615" w:rsidRDefault="001B66D2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>Динамика</w:t>
            </w:r>
          </w:p>
        </w:tc>
      </w:tr>
      <w:tr w:rsidR="00817F4C" w:rsidRPr="007A0911" w:rsidTr="00817F4C">
        <w:trPr>
          <w:trHeight w:val="525"/>
        </w:trPr>
        <w:tc>
          <w:tcPr>
            <w:tcW w:w="3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F4C" w:rsidRPr="003E3615" w:rsidRDefault="00817F4C" w:rsidP="003E3615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17F4C" w:rsidRPr="003E3615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 xml:space="preserve">сумма (тыс. </w:t>
            </w:r>
            <w:proofErr w:type="spellStart"/>
            <w:r w:rsidRPr="003E3615"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r w:rsidRPr="003E3615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7F4C" w:rsidRPr="003E3615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>уд. вес.(%)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3E3615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 xml:space="preserve">сумма (тыс. </w:t>
            </w:r>
            <w:proofErr w:type="spellStart"/>
            <w:r w:rsidRPr="003E3615"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r w:rsidRPr="003E3615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3E3615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>уд. вес.(%)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3E3615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>(+ ; 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3E3615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3E3615" w:rsidRPr="007A0911" w:rsidTr="000803AE">
        <w:trPr>
          <w:trHeight w:val="44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3E3615">
              <w:rPr>
                <w:rFonts w:ascii="Times New Roman" w:hAnsi="Times New Roman"/>
                <w:b/>
                <w:lang w:eastAsia="ru-RU"/>
              </w:rPr>
              <w:t xml:space="preserve">Налоговые доходы, всего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1076,3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1205,4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112,0</w:t>
            </w:r>
          </w:p>
        </w:tc>
      </w:tr>
      <w:tr w:rsidR="003E3615" w:rsidRPr="007A0911" w:rsidTr="003E3615">
        <w:trPr>
          <w:trHeight w:val="23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61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3E3615" w:rsidRPr="007A0911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3E3615">
              <w:rPr>
                <w:rFonts w:ascii="Times New Roman" w:hAnsi="Times New Roman"/>
                <w:b/>
                <w:lang w:eastAsia="ru-RU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-3,1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98,4</w:t>
            </w:r>
          </w:p>
        </w:tc>
      </w:tr>
      <w:tr w:rsidR="003E3615" w:rsidRPr="007A0911" w:rsidTr="000803AE">
        <w:trPr>
          <w:trHeight w:val="368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3E3615">
              <w:rPr>
                <w:rFonts w:ascii="Times New Roman" w:hAnsi="Times New Roman"/>
                <w:b/>
                <w:lang w:eastAsia="ru-RU"/>
              </w:rPr>
              <w:t xml:space="preserve">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429,3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476,5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111,0</w:t>
            </w:r>
          </w:p>
        </w:tc>
      </w:tr>
      <w:tr w:rsidR="003E3615" w:rsidRPr="007A0911" w:rsidTr="000803AE">
        <w:trPr>
          <w:trHeight w:val="28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3E3615">
              <w:rPr>
                <w:rFonts w:ascii="Times New Roman" w:hAnsi="Times New Roman"/>
                <w:b/>
                <w:lang w:eastAsia="ru-RU"/>
              </w:rPr>
              <w:t xml:space="preserve">Налоги на </w:t>
            </w:r>
            <w:proofErr w:type="spellStart"/>
            <w:r w:rsidRPr="003E3615">
              <w:rPr>
                <w:rFonts w:ascii="Times New Roman" w:hAnsi="Times New Roman"/>
                <w:b/>
                <w:lang w:eastAsia="ru-RU"/>
              </w:rPr>
              <w:t>совокуп</w:t>
            </w:r>
            <w:proofErr w:type="spellEnd"/>
            <w:r w:rsidRPr="003E3615">
              <w:rPr>
                <w:rFonts w:ascii="Times New Roman" w:hAnsi="Times New Roman"/>
                <w:b/>
                <w:lang w:eastAsia="ru-RU"/>
              </w:rPr>
              <w:t>.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133,3</w:t>
            </w:r>
          </w:p>
        </w:tc>
      </w:tr>
      <w:tr w:rsidR="003E3615" w:rsidRPr="007A0911" w:rsidTr="003E3615">
        <w:trPr>
          <w:trHeight w:val="382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3E3615">
              <w:rPr>
                <w:rFonts w:ascii="Times New Roman" w:hAnsi="Times New Roman"/>
                <w:b/>
                <w:lang w:eastAsia="ru-RU"/>
              </w:rPr>
              <w:t xml:space="preserve">Налоги на имущество </w:t>
            </w:r>
            <w:proofErr w:type="spellStart"/>
            <w:r w:rsidRPr="003E3615">
              <w:rPr>
                <w:rFonts w:ascii="Times New Roman" w:hAnsi="Times New Roman"/>
                <w:b/>
                <w:lang w:eastAsia="ru-RU"/>
              </w:rPr>
              <w:t>физ</w:t>
            </w:r>
            <w:proofErr w:type="spellEnd"/>
            <w:r w:rsidRPr="003E3615">
              <w:rPr>
                <w:rFonts w:ascii="Times New Roman" w:hAnsi="Times New Roman"/>
                <w:b/>
                <w:lang w:eastAsia="ru-RU"/>
              </w:rPr>
              <w:t xml:space="preserve">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161,1</w:t>
            </w:r>
          </w:p>
        </w:tc>
      </w:tr>
      <w:tr w:rsidR="003E3615" w:rsidRPr="007A0911" w:rsidTr="003E3615">
        <w:trPr>
          <w:trHeight w:val="401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3E3615">
              <w:rPr>
                <w:rFonts w:ascii="Times New Roman" w:hAnsi="Times New Roman"/>
                <w:b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3E3615" w:rsidRPr="007A0911" w:rsidTr="003E3615">
        <w:trPr>
          <w:trHeight w:val="251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3E3615">
              <w:rPr>
                <w:rFonts w:ascii="Times New Roman" w:hAnsi="Times New Roman"/>
                <w:b/>
                <w:lang w:eastAsia="ru-RU"/>
              </w:rPr>
              <w:t>Земельный налог  физ.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106,5</w:t>
            </w:r>
          </w:p>
        </w:tc>
      </w:tr>
      <w:tr w:rsidR="003E3615" w:rsidRPr="00817F4C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3E3615">
              <w:rPr>
                <w:rFonts w:ascii="Times New Roman" w:hAnsi="Times New Roman"/>
                <w:b/>
                <w:lang w:eastAsia="ru-RU"/>
              </w:rPr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36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615" w:rsidRPr="003E3615" w:rsidRDefault="003E3615" w:rsidP="003E3615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3E3615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</w:tbl>
    <w:p w:rsidR="001B66D2" w:rsidRPr="00817F4C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DB" w:rsidRDefault="00063062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н</w:t>
      </w:r>
      <w:r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3062">
        <w:rPr>
          <w:rFonts w:ascii="Times New Roman" w:hAnsi="Times New Roman" w:cs="Times New Roman"/>
          <w:b/>
          <w:sz w:val="24"/>
          <w:szCs w:val="24"/>
        </w:rPr>
        <w:t xml:space="preserve"> на доходы физических лиц</w:t>
      </w:r>
      <w:r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Pr="00063062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Pr="0006306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E3615">
        <w:rPr>
          <w:rFonts w:ascii="Times New Roman" w:hAnsi="Times New Roman" w:cs="Times New Roman"/>
          <w:sz w:val="24"/>
          <w:szCs w:val="24"/>
        </w:rPr>
        <w:t xml:space="preserve">193,9 </w:t>
      </w:r>
      <w:r w:rsidRPr="00063062">
        <w:rPr>
          <w:rFonts w:ascii="Times New Roman" w:hAnsi="Times New Roman" w:cs="Times New Roman"/>
          <w:sz w:val="24"/>
          <w:szCs w:val="24"/>
        </w:rPr>
        <w:t>тыс. рублей</w:t>
      </w:r>
      <w:r w:rsidR="00FF5815">
        <w:rPr>
          <w:rFonts w:ascii="Times New Roman" w:hAnsi="Times New Roman" w:cs="Times New Roman"/>
          <w:sz w:val="24"/>
          <w:szCs w:val="24"/>
        </w:rPr>
        <w:t xml:space="preserve">. </w:t>
      </w:r>
      <w:r w:rsidR="003E3615">
        <w:rPr>
          <w:rFonts w:ascii="Times New Roman" w:hAnsi="Times New Roman" w:cs="Times New Roman"/>
          <w:sz w:val="24"/>
          <w:szCs w:val="24"/>
        </w:rPr>
        <w:t>Снижение поступления к запланиров</w:t>
      </w:r>
      <w:r w:rsidR="003C6EC6">
        <w:rPr>
          <w:rFonts w:ascii="Times New Roman" w:hAnsi="Times New Roman" w:cs="Times New Roman"/>
          <w:sz w:val="24"/>
          <w:szCs w:val="24"/>
        </w:rPr>
        <w:t xml:space="preserve">анной  сумме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FF5815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615">
        <w:rPr>
          <w:rFonts w:ascii="Times New Roman" w:hAnsi="Times New Roman" w:cs="Times New Roman"/>
          <w:sz w:val="24"/>
          <w:szCs w:val="24"/>
        </w:rPr>
        <w:t>3,1</w:t>
      </w:r>
      <w:r w:rsidR="00FF5815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>тыс.руб.,</w:t>
      </w:r>
      <w:r w:rsidR="00FF5815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 xml:space="preserve">или </w:t>
      </w:r>
      <w:r w:rsidR="003E3615">
        <w:rPr>
          <w:rFonts w:ascii="Times New Roman" w:hAnsi="Times New Roman" w:cs="Times New Roman"/>
          <w:sz w:val="24"/>
          <w:szCs w:val="24"/>
        </w:rPr>
        <w:t>1,6</w:t>
      </w:r>
      <w:r w:rsidR="00931F48">
        <w:rPr>
          <w:rFonts w:ascii="Times New Roman" w:hAnsi="Times New Roman" w:cs="Times New Roman"/>
          <w:sz w:val="24"/>
          <w:szCs w:val="24"/>
        </w:rPr>
        <w:t>%</w:t>
      </w:r>
      <w:r w:rsidR="007336DB">
        <w:rPr>
          <w:rFonts w:ascii="Times New Roman" w:hAnsi="Times New Roman" w:cs="Times New Roman"/>
          <w:sz w:val="24"/>
          <w:szCs w:val="24"/>
        </w:rPr>
        <w:t>. Удельный вес налога составит</w:t>
      </w:r>
      <w:r w:rsidR="003E3615">
        <w:rPr>
          <w:rFonts w:ascii="Times New Roman" w:hAnsi="Times New Roman" w:cs="Times New Roman"/>
          <w:sz w:val="24"/>
          <w:szCs w:val="24"/>
        </w:rPr>
        <w:t xml:space="preserve"> 16</w:t>
      </w:r>
      <w:r w:rsidR="00475F17">
        <w:rPr>
          <w:rFonts w:ascii="Times New Roman" w:hAnsi="Times New Roman" w:cs="Times New Roman"/>
          <w:sz w:val="24"/>
          <w:szCs w:val="24"/>
        </w:rPr>
        <w:t>,1</w:t>
      </w:r>
      <w:r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1B66D2">
        <w:rPr>
          <w:rFonts w:ascii="Times New Roman" w:hAnsi="Times New Roman" w:cs="Times New Roman"/>
          <w:sz w:val="24"/>
          <w:szCs w:val="24"/>
        </w:rPr>
        <w:t>п</w:t>
      </w:r>
      <w:r w:rsidRPr="00063062">
        <w:rPr>
          <w:rFonts w:ascii="Times New Roman" w:hAnsi="Times New Roman" w:cs="Times New Roman"/>
          <w:sz w:val="24"/>
          <w:szCs w:val="24"/>
        </w:rPr>
        <w:t xml:space="preserve">редполагаемых </w:t>
      </w:r>
      <w:r w:rsidR="003C6EC6">
        <w:rPr>
          <w:rFonts w:ascii="Times New Roman" w:hAnsi="Times New Roman" w:cs="Times New Roman"/>
          <w:sz w:val="24"/>
          <w:szCs w:val="24"/>
        </w:rPr>
        <w:t>налоговых</w:t>
      </w:r>
      <w:r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7336DB">
        <w:rPr>
          <w:rFonts w:ascii="Times New Roman" w:hAnsi="Times New Roman" w:cs="Times New Roman"/>
          <w:sz w:val="24"/>
          <w:szCs w:val="24"/>
        </w:rPr>
        <w:t>.</w:t>
      </w:r>
    </w:p>
    <w:p w:rsidR="00931F48" w:rsidRDefault="007336DB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E3615">
        <w:rPr>
          <w:rFonts w:ascii="Times New Roman" w:hAnsi="Times New Roman" w:cs="Times New Roman"/>
          <w:sz w:val="24"/>
          <w:szCs w:val="24"/>
        </w:rPr>
        <w:t>476,5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, что состав</w:t>
      </w:r>
      <w:r w:rsidR="00FF5815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615">
        <w:rPr>
          <w:rFonts w:ascii="Times New Roman" w:hAnsi="Times New Roman" w:cs="Times New Roman"/>
          <w:sz w:val="24"/>
          <w:szCs w:val="24"/>
        </w:rPr>
        <w:t>39,5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931F48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. Прирост к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 w:rsidR="003C6EC6">
        <w:rPr>
          <w:rFonts w:ascii="Times New Roman" w:hAnsi="Times New Roman" w:cs="Times New Roman"/>
          <w:sz w:val="24"/>
          <w:szCs w:val="24"/>
        </w:rPr>
        <w:t xml:space="preserve">запланированной сумме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года( </w:t>
      </w:r>
      <w:r w:rsidR="003E3615">
        <w:rPr>
          <w:rFonts w:ascii="Times New Roman" w:hAnsi="Times New Roman" w:cs="Times New Roman"/>
          <w:sz w:val="24"/>
          <w:szCs w:val="24"/>
        </w:rPr>
        <w:t>429,3</w:t>
      </w:r>
      <w:r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3E3615">
        <w:rPr>
          <w:rFonts w:ascii="Times New Roman" w:hAnsi="Times New Roman" w:cs="Times New Roman"/>
          <w:sz w:val="24"/>
          <w:szCs w:val="24"/>
        </w:rPr>
        <w:t>47,2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D12D4">
        <w:rPr>
          <w:rFonts w:ascii="Times New Roman" w:hAnsi="Times New Roman" w:cs="Times New Roman"/>
          <w:sz w:val="24"/>
          <w:szCs w:val="24"/>
        </w:rPr>
        <w:t>1</w:t>
      </w:r>
      <w:r w:rsidR="00FF5815">
        <w:rPr>
          <w:rFonts w:ascii="Times New Roman" w:hAnsi="Times New Roman" w:cs="Times New Roman"/>
          <w:sz w:val="24"/>
          <w:szCs w:val="24"/>
        </w:rPr>
        <w:t>1,</w:t>
      </w:r>
      <w:r w:rsidR="003E36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D4" w:rsidRDefault="003C6EC6" w:rsidP="00ED12D4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47">
        <w:rPr>
          <w:rFonts w:ascii="Times New Roman" w:hAnsi="Times New Roman" w:cs="Times New Roman"/>
          <w:b/>
          <w:sz w:val="24"/>
          <w:szCs w:val="24"/>
        </w:rPr>
        <w:t>Поступление налогов на совокупный доход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D4" w:rsidRPr="00063062">
        <w:rPr>
          <w:rFonts w:ascii="Times New Roman" w:hAnsi="Times New Roman" w:cs="Times New Roman"/>
          <w:sz w:val="24"/>
          <w:szCs w:val="24"/>
        </w:rPr>
        <w:t>на 202</w:t>
      </w:r>
      <w:r w:rsidR="00ED12D4">
        <w:rPr>
          <w:rFonts w:ascii="Times New Roman" w:hAnsi="Times New Roman" w:cs="Times New Roman"/>
          <w:sz w:val="24"/>
          <w:szCs w:val="24"/>
        </w:rPr>
        <w:t>1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ED12D4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E3615">
        <w:rPr>
          <w:rFonts w:ascii="Times New Roman" w:hAnsi="Times New Roman" w:cs="Times New Roman"/>
          <w:sz w:val="24"/>
          <w:szCs w:val="24"/>
        </w:rPr>
        <w:t>40,0</w:t>
      </w:r>
      <w:r w:rsidR="00475F17">
        <w:rPr>
          <w:rFonts w:ascii="Times New Roman" w:hAnsi="Times New Roman" w:cs="Times New Roman"/>
          <w:sz w:val="24"/>
          <w:szCs w:val="24"/>
        </w:rPr>
        <w:t xml:space="preserve"> </w:t>
      </w:r>
      <w:r w:rsidR="00ED12D4" w:rsidRPr="00063062">
        <w:rPr>
          <w:rFonts w:ascii="Times New Roman" w:hAnsi="Times New Roman" w:cs="Times New Roman"/>
          <w:sz w:val="24"/>
          <w:szCs w:val="24"/>
        </w:rPr>
        <w:t>тыс. рублей</w:t>
      </w:r>
      <w:r w:rsidR="00ED12D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75F17">
        <w:rPr>
          <w:rFonts w:ascii="Times New Roman" w:hAnsi="Times New Roman" w:cs="Times New Roman"/>
          <w:sz w:val="24"/>
          <w:szCs w:val="24"/>
        </w:rPr>
        <w:t>3,</w:t>
      </w:r>
      <w:r w:rsidR="003E3615">
        <w:rPr>
          <w:rFonts w:ascii="Times New Roman" w:hAnsi="Times New Roman" w:cs="Times New Roman"/>
          <w:sz w:val="24"/>
          <w:szCs w:val="24"/>
        </w:rPr>
        <w:t>3</w:t>
      </w:r>
      <w:r w:rsidR="00475F17">
        <w:rPr>
          <w:rFonts w:ascii="Times New Roman" w:hAnsi="Times New Roman" w:cs="Times New Roman"/>
          <w:sz w:val="24"/>
          <w:szCs w:val="24"/>
        </w:rPr>
        <w:t xml:space="preserve">%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от общей суммы </w:t>
      </w:r>
      <w:r w:rsidR="00ED12D4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ED12D4">
        <w:rPr>
          <w:rFonts w:ascii="Times New Roman" w:hAnsi="Times New Roman" w:cs="Times New Roman"/>
          <w:sz w:val="24"/>
          <w:szCs w:val="24"/>
        </w:rPr>
        <w:t xml:space="preserve">. </w:t>
      </w:r>
      <w:r w:rsidR="00475F17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ED12D4">
        <w:rPr>
          <w:rFonts w:ascii="Times New Roman" w:hAnsi="Times New Roman" w:cs="Times New Roman"/>
          <w:sz w:val="24"/>
          <w:szCs w:val="24"/>
        </w:rPr>
        <w:t xml:space="preserve"> </w:t>
      </w:r>
      <w:r w:rsidR="00475F17">
        <w:rPr>
          <w:rFonts w:ascii="Times New Roman" w:hAnsi="Times New Roman" w:cs="Times New Roman"/>
          <w:sz w:val="24"/>
          <w:szCs w:val="24"/>
        </w:rPr>
        <w:t>к запланиро</w:t>
      </w:r>
      <w:r w:rsidR="00ED12D4">
        <w:rPr>
          <w:rFonts w:ascii="Times New Roman" w:hAnsi="Times New Roman" w:cs="Times New Roman"/>
          <w:sz w:val="24"/>
          <w:szCs w:val="24"/>
        </w:rPr>
        <w:t>ванной сумме  2020 года</w:t>
      </w:r>
      <w:r w:rsidR="00475F17">
        <w:rPr>
          <w:rFonts w:ascii="Times New Roman" w:hAnsi="Times New Roman" w:cs="Times New Roman"/>
          <w:sz w:val="24"/>
          <w:szCs w:val="24"/>
        </w:rPr>
        <w:t xml:space="preserve"> </w:t>
      </w:r>
      <w:r w:rsidR="00ED12D4">
        <w:rPr>
          <w:rFonts w:ascii="Times New Roman" w:hAnsi="Times New Roman" w:cs="Times New Roman"/>
          <w:sz w:val="24"/>
          <w:szCs w:val="24"/>
        </w:rPr>
        <w:t xml:space="preserve">( </w:t>
      </w:r>
      <w:r w:rsidR="003E3615">
        <w:rPr>
          <w:rFonts w:ascii="Times New Roman" w:hAnsi="Times New Roman" w:cs="Times New Roman"/>
          <w:sz w:val="24"/>
          <w:szCs w:val="24"/>
        </w:rPr>
        <w:t>30,0</w:t>
      </w:r>
      <w:r w:rsidR="00ED12D4"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475F17">
        <w:rPr>
          <w:rFonts w:ascii="Times New Roman" w:hAnsi="Times New Roman" w:cs="Times New Roman"/>
          <w:sz w:val="24"/>
          <w:szCs w:val="24"/>
        </w:rPr>
        <w:t>10,0</w:t>
      </w:r>
      <w:r w:rsidR="00FF5815">
        <w:rPr>
          <w:rFonts w:ascii="Times New Roman" w:hAnsi="Times New Roman" w:cs="Times New Roman"/>
          <w:sz w:val="24"/>
          <w:szCs w:val="24"/>
        </w:rPr>
        <w:t xml:space="preserve"> т</w:t>
      </w:r>
      <w:r w:rsidR="00ED12D4">
        <w:rPr>
          <w:rFonts w:ascii="Times New Roman" w:hAnsi="Times New Roman" w:cs="Times New Roman"/>
          <w:sz w:val="24"/>
          <w:szCs w:val="24"/>
        </w:rPr>
        <w:t xml:space="preserve">ыс. </w:t>
      </w:r>
      <w:proofErr w:type="spellStart"/>
      <w:r w:rsidR="00ED12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D12D4">
        <w:rPr>
          <w:rFonts w:ascii="Times New Roman" w:hAnsi="Times New Roman" w:cs="Times New Roman"/>
          <w:sz w:val="24"/>
          <w:szCs w:val="24"/>
        </w:rPr>
        <w:t xml:space="preserve">, или </w:t>
      </w:r>
      <w:r w:rsidR="003E3615">
        <w:rPr>
          <w:rFonts w:ascii="Times New Roman" w:hAnsi="Times New Roman" w:cs="Times New Roman"/>
          <w:sz w:val="24"/>
          <w:szCs w:val="24"/>
        </w:rPr>
        <w:t>33,3 %.</w:t>
      </w:r>
      <w:r w:rsidR="00ED12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5CC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FF5815">
        <w:rPr>
          <w:rFonts w:ascii="Times New Roman" w:hAnsi="Times New Roman" w:cs="Times New Roman"/>
          <w:b/>
          <w:sz w:val="24"/>
          <w:szCs w:val="24"/>
        </w:rPr>
        <w:t>н</w:t>
      </w:r>
      <w:r w:rsidR="00063062" w:rsidRPr="00FF5815"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8B07F6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F70E4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E3615">
        <w:rPr>
          <w:rFonts w:ascii="Times New Roman" w:hAnsi="Times New Roman" w:cs="Times New Roman"/>
          <w:sz w:val="24"/>
          <w:szCs w:val="24"/>
        </w:rPr>
        <w:t>145,0</w:t>
      </w:r>
      <w:r w:rsidR="00F70E47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475F17">
        <w:rPr>
          <w:rFonts w:ascii="Times New Roman" w:hAnsi="Times New Roman" w:cs="Times New Roman"/>
          <w:sz w:val="24"/>
          <w:szCs w:val="24"/>
        </w:rPr>
        <w:t xml:space="preserve">с ростом на </w:t>
      </w:r>
      <w:r w:rsidR="003E3615">
        <w:rPr>
          <w:rFonts w:ascii="Times New Roman" w:hAnsi="Times New Roman" w:cs="Times New Roman"/>
          <w:sz w:val="24"/>
          <w:szCs w:val="24"/>
        </w:rPr>
        <w:t>55,0</w:t>
      </w:r>
      <w:r w:rsidR="00475F1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63062">
        <w:rPr>
          <w:rFonts w:ascii="Times New Roman" w:hAnsi="Times New Roman" w:cs="Times New Roman"/>
          <w:sz w:val="24"/>
          <w:szCs w:val="24"/>
        </w:rPr>
        <w:t>общей сумм</w:t>
      </w:r>
      <w:r w:rsidR="008B07F6">
        <w:rPr>
          <w:rFonts w:ascii="Times New Roman" w:hAnsi="Times New Roman" w:cs="Times New Roman"/>
          <w:sz w:val="24"/>
          <w:szCs w:val="24"/>
        </w:rPr>
        <w:t xml:space="preserve">е налоговых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F6">
        <w:rPr>
          <w:rFonts w:ascii="Times New Roman" w:hAnsi="Times New Roman" w:cs="Times New Roman"/>
          <w:sz w:val="24"/>
          <w:szCs w:val="24"/>
        </w:rPr>
        <w:t xml:space="preserve">удельный вес налога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="005A6013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B15FB5">
        <w:rPr>
          <w:rFonts w:ascii="Times New Roman" w:hAnsi="Times New Roman" w:cs="Times New Roman"/>
          <w:sz w:val="24"/>
          <w:szCs w:val="24"/>
        </w:rPr>
        <w:t>12,0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1C52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>год</w:t>
      </w:r>
      <w:r w:rsidR="0046131D">
        <w:rPr>
          <w:rFonts w:ascii="Times New Roman" w:hAnsi="Times New Roman" w:cs="Times New Roman"/>
          <w:sz w:val="24"/>
          <w:szCs w:val="24"/>
        </w:rPr>
        <w:t xml:space="preserve"> </w:t>
      </w:r>
      <w:r w:rsidR="00B01C52"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 w:rsidR="0046131D">
        <w:rPr>
          <w:rFonts w:ascii="Times New Roman" w:hAnsi="Times New Roman" w:cs="Times New Roman"/>
          <w:sz w:val="24"/>
          <w:szCs w:val="24"/>
        </w:rPr>
        <w:t>а</w:t>
      </w:r>
      <w:r w:rsidR="00B01C52">
        <w:rPr>
          <w:rFonts w:ascii="Times New Roman" w:hAnsi="Times New Roman" w:cs="Times New Roman"/>
          <w:sz w:val="24"/>
          <w:szCs w:val="24"/>
        </w:rPr>
        <w:t xml:space="preserve"> </w:t>
      </w:r>
      <w:r w:rsidR="0046131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15FB5">
        <w:rPr>
          <w:rFonts w:ascii="Times New Roman" w:hAnsi="Times New Roman" w:cs="Times New Roman"/>
          <w:sz w:val="24"/>
          <w:szCs w:val="24"/>
        </w:rPr>
        <w:t>2</w:t>
      </w:r>
      <w:r w:rsidR="0046131D">
        <w:rPr>
          <w:rFonts w:ascii="Times New Roman" w:hAnsi="Times New Roman" w:cs="Times New Roman"/>
          <w:sz w:val="24"/>
          <w:szCs w:val="24"/>
        </w:rPr>
        <w:t xml:space="preserve">0,0 тыс. руб. , что </w:t>
      </w:r>
      <w:r w:rsidR="00B15FB5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46131D">
        <w:rPr>
          <w:rFonts w:ascii="Times New Roman" w:hAnsi="Times New Roman" w:cs="Times New Roman"/>
          <w:sz w:val="24"/>
          <w:szCs w:val="24"/>
        </w:rPr>
        <w:t>утвержденно</w:t>
      </w:r>
      <w:r w:rsidR="00B15FB5">
        <w:rPr>
          <w:rFonts w:ascii="Times New Roman" w:hAnsi="Times New Roman" w:cs="Times New Roman"/>
          <w:sz w:val="24"/>
          <w:szCs w:val="24"/>
        </w:rPr>
        <w:t>му</w:t>
      </w:r>
      <w:r w:rsidR="0046131D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B15FB5">
        <w:rPr>
          <w:rFonts w:ascii="Times New Roman" w:hAnsi="Times New Roman" w:cs="Times New Roman"/>
          <w:sz w:val="24"/>
          <w:szCs w:val="24"/>
        </w:rPr>
        <w:t>ю</w:t>
      </w:r>
      <w:r w:rsidR="0046131D">
        <w:rPr>
          <w:rFonts w:ascii="Times New Roman" w:hAnsi="Times New Roman" w:cs="Times New Roman"/>
          <w:sz w:val="24"/>
          <w:szCs w:val="24"/>
        </w:rPr>
        <w:t xml:space="preserve"> на 2020 год.</w:t>
      </w:r>
      <w:r w:rsidR="00B01C52">
        <w:rPr>
          <w:rFonts w:ascii="Times New Roman" w:hAnsi="Times New Roman" w:cs="Times New Roman"/>
          <w:sz w:val="24"/>
          <w:szCs w:val="24"/>
        </w:rPr>
        <w:t xml:space="preserve">  Удельный вес налога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B15FB5">
        <w:rPr>
          <w:rFonts w:ascii="Times New Roman" w:hAnsi="Times New Roman" w:cs="Times New Roman"/>
          <w:sz w:val="24"/>
          <w:szCs w:val="24"/>
        </w:rPr>
        <w:t>1,7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</w:t>
      </w:r>
      <w:r w:rsidR="00ED12D4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общей суммы </w:t>
      </w:r>
      <w:r w:rsidR="00F70E47">
        <w:rPr>
          <w:rFonts w:ascii="Times New Roman" w:hAnsi="Times New Roman" w:cs="Times New Roman"/>
          <w:sz w:val="24"/>
          <w:szCs w:val="24"/>
        </w:rPr>
        <w:t>налоговых до</w:t>
      </w:r>
      <w:r w:rsidR="00063062" w:rsidRPr="00063062">
        <w:rPr>
          <w:rFonts w:ascii="Times New Roman" w:hAnsi="Times New Roman" w:cs="Times New Roman"/>
          <w:sz w:val="24"/>
          <w:szCs w:val="24"/>
        </w:rPr>
        <w:t>ходов</w:t>
      </w:r>
      <w:r w:rsidR="00B01C52">
        <w:rPr>
          <w:rFonts w:ascii="Times New Roman" w:hAnsi="Times New Roman" w:cs="Times New Roman"/>
          <w:sz w:val="24"/>
          <w:szCs w:val="24"/>
        </w:rPr>
        <w:t>.</w:t>
      </w:r>
    </w:p>
    <w:p w:rsidR="00CF64A0" w:rsidRDefault="00B01C52" w:rsidP="00CF64A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CF64A0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15FB5">
        <w:rPr>
          <w:rFonts w:ascii="Times New Roman" w:hAnsi="Times New Roman" w:cs="Times New Roman"/>
          <w:sz w:val="24"/>
          <w:szCs w:val="24"/>
        </w:rPr>
        <w:t>330,0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CF64A0">
        <w:rPr>
          <w:rFonts w:ascii="Times New Roman" w:hAnsi="Times New Roman" w:cs="Times New Roman"/>
          <w:sz w:val="24"/>
          <w:szCs w:val="24"/>
        </w:rPr>
        <w:t>, что составит  2</w:t>
      </w:r>
      <w:r w:rsidR="00B15FB5">
        <w:rPr>
          <w:rFonts w:ascii="Times New Roman" w:hAnsi="Times New Roman" w:cs="Times New Roman"/>
          <w:sz w:val="24"/>
          <w:szCs w:val="24"/>
        </w:rPr>
        <w:t>7,4</w:t>
      </w:r>
      <w:r w:rsidR="00CF64A0">
        <w:rPr>
          <w:rFonts w:ascii="Times New Roman" w:hAnsi="Times New Roman" w:cs="Times New Roman"/>
          <w:sz w:val="24"/>
          <w:szCs w:val="24"/>
        </w:rPr>
        <w:t xml:space="preserve">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CF64A0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CF64A0">
        <w:rPr>
          <w:rFonts w:ascii="Times New Roman" w:hAnsi="Times New Roman" w:cs="Times New Roman"/>
          <w:sz w:val="24"/>
          <w:szCs w:val="24"/>
        </w:rPr>
        <w:t xml:space="preserve">. Прирост к  запланированной сумме  2020 года( </w:t>
      </w:r>
      <w:r w:rsidR="00B15FB5">
        <w:rPr>
          <w:rFonts w:ascii="Times New Roman" w:hAnsi="Times New Roman" w:cs="Times New Roman"/>
          <w:sz w:val="24"/>
          <w:szCs w:val="24"/>
        </w:rPr>
        <w:t>310,0</w:t>
      </w:r>
      <w:r w:rsidR="00CF64A0"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B15FB5">
        <w:rPr>
          <w:rFonts w:ascii="Times New Roman" w:hAnsi="Times New Roman" w:cs="Times New Roman"/>
          <w:sz w:val="24"/>
          <w:szCs w:val="24"/>
        </w:rPr>
        <w:t>20,0</w:t>
      </w:r>
      <w:r w:rsidR="00CF64A0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CF64A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F64A0">
        <w:rPr>
          <w:rFonts w:ascii="Times New Roman" w:hAnsi="Times New Roman" w:cs="Times New Roman"/>
          <w:sz w:val="24"/>
          <w:szCs w:val="24"/>
        </w:rPr>
        <w:t xml:space="preserve">, или </w:t>
      </w:r>
      <w:r w:rsidR="00B15FB5">
        <w:rPr>
          <w:rFonts w:ascii="Times New Roman" w:hAnsi="Times New Roman" w:cs="Times New Roman"/>
          <w:sz w:val="24"/>
          <w:szCs w:val="24"/>
        </w:rPr>
        <w:t>6,5</w:t>
      </w:r>
      <w:r w:rsidR="00CF64A0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CF64A0" w:rsidRDefault="00CF64A0" w:rsidP="00CF64A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CF64A0">
        <w:rPr>
          <w:rFonts w:ascii="Times New Roman" w:hAnsi="Times New Roman" w:cs="Times New Roman"/>
          <w:b/>
          <w:sz w:val="24"/>
          <w:szCs w:val="24"/>
        </w:rPr>
        <w:t>госпошлины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1D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. </w:t>
      </w:r>
    </w:p>
    <w:p w:rsidR="00FF1BFF" w:rsidRDefault="00FF1BFF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D4">
        <w:rPr>
          <w:rFonts w:ascii="Times New Roman" w:hAnsi="Times New Roman" w:cs="Times New Roman"/>
          <w:b/>
          <w:sz w:val="24"/>
          <w:szCs w:val="24"/>
        </w:rPr>
        <w:t>Н</w:t>
      </w:r>
      <w:r w:rsidR="00ED12D4" w:rsidRPr="00ED12D4">
        <w:rPr>
          <w:rFonts w:ascii="Times New Roman" w:hAnsi="Times New Roman" w:cs="Times New Roman"/>
          <w:b/>
          <w:sz w:val="24"/>
          <w:szCs w:val="24"/>
        </w:rPr>
        <w:t>ен</w:t>
      </w:r>
      <w:r w:rsidR="00BF3190" w:rsidRPr="00CE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алоговые доходы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атриваются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291,7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62,1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5A6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плановая сумма поступления доходов составит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302,7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на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313,7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FF1BFF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4E369C" w:rsidRDefault="004E369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земли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80,0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</w:t>
      </w:r>
    </w:p>
    <w:p w:rsidR="00FF1BFF" w:rsidRDefault="00EC4E41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доходы, получаемые в виде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 сдачи в аренду  имущества, находящегося в оперативном  управлении администрации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1,7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6E8" w:rsidRDefault="002246E8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 от использования имущества ( плата за наем)- 10,0 тыс. руб.</w:t>
      </w:r>
    </w:p>
    <w:p w:rsidR="00BF3190" w:rsidRPr="00CE37C2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неналоговых доходов в доходах бюджета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19,5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19,3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%,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18,6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77F28" w:rsidRDefault="00BF3190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4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</w:t>
      </w:r>
      <w:r w:rsidR="00F922DD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в объеме </w:t>
      </w:r>
      <w:r w:rsidR="00B41A3E">
        <w:rPr>
          <w:rFonts w:ascii="Times New Roman" w:eastAsia="Times New Roman" w:hAnsi="Times New Roman" w:cs="Times New Roman"/>
          <w:sz w:val="24"/>
          <w:szCs w:val="24"/>
          <w:lang w:eastAsia="ru-RU"/>
        </w:rPr>
        <w:t>4677,7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31153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41A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24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1A3E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показателей 2020 года.</w:t>
      </w:r>
    </w:p>
    <w:p w:rsidR="00977F28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 2022 год  </w:t>
      </w:r>
      <w:r w:rsid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планируются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1124C9">
        <w:rPr>
          <w:rFonts w:ascii="Times New Roman" w:eastAsia="Times New Roman" w:hAnsi="Times New Roman" w:cs="Times New Roman"/>
          <w:sz w:val="24"/>
          <w:szCs w:val="24"/>
          <w:lang w:eastAsia="ru-RU"/>
        </w:rPr>
        <w:t>4168,5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8</w:t>
      </w:r>
      <w:r w:rsidR="001124C9">
        <w:rPr>
          <w:rFonts w:ascii="Times New Roman" w:eastAsia="Times New Roman" w:hAnsi="Times New Roman" w:cs="Times New Roman"/>
          <w:sz w:val="24"/>
          <w:szCs w:val="24"/>
          <w:lang w:eastAsia="ru-RU"/>
        </w:rPr>
        <w:t>9,1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показателю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года, на 2023 год - в сумме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24C9">
        <w:rPr>
          <w:rFonts w:ascii="Times New Roman" w:eastAsia="Times New Roman" w:hAnsi="Times New Roman" w:cs="Times New Roman"/>
          <w:sz w:val="24"/>
          <w:szCs w:val="24"/>
          <w:lang w:eastAsia="ru-RU"/>
        </w:rPr>
        <w:t>993,8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24C9">
        <w:rPr>
          <w:rFonts w:ascii="Times New Roman" w:eastAsia="Times New Roman" w:hAnsi="Times New Roman" w:cs="Times New Roman"/>
          <w:sz w:val="24"/>
          <w:szCs w:val="24"/>
          <w:lang w:eastAsia="ru-RU"/>
        </w:rPr>
        <w:t>5,8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3190" w:rsidRPr="003B0526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поступлений в доходах бюджета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снизится 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124C9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</w:t>
      </w:r>
      <w:proofErr w:type="spellStart"/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124C9">
        <w:rPr>
          <w:rFonts w:ascii="Times New Roman" w:eastAsia="Times New Roman" w:hAnsi="Times New Roman" w:cs="Times New Roman"/>
          <w:sz w:val="24"/>
          <w:szCs w:val="24"/>
          <w:lang w:eastAsia="ru-RU"/>
        </w:rPr>
        <w:t>75,8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4C9">
        <w:rPr>
          <w:rFonts w:ascii="Times New Roman" w:eastAsia="Times New Roman" w:hAnsi="Times New Roman" w:cs="Times New Roman"/>
          <w:sz w:val="24"/>
          <w:szCs w:val="24"/>
          <w:lang w:eastAsia="ru-RU"/>
        </w:rPr>
        <w:t>72,7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24C9"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F3190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3190" w:rsidRPr="00383A97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F11F4A" w:rsidRDefault="00BF3190" w:rsidP="007139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r w:rsidR="00FE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Новочурашевского</w:t>
      </w:r>
      <w:r w:rsidR="00264EEE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E9F" w:rsidRDefault="00A37E9F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2022 и 2023 годов</w:t>
      </w:r>
      <w:r w:rsid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47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Ибресинского района 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основных направлениях бюджетной политики 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Ибресинского района Чувашской Республики на 202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>022 и 2023 годов , и  направлена на созд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07A83" w:rsidRP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BF3190" w:rsidRPr="00E0393A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сравнению с показателями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71096">
        <w:rPr>
          <w:rFonts w:ascii="Times New Roman" w:eastAsia="Times New Roman" w:hAnsi="Times New Roman" w:cs="Times New Roman"/>
          <w:sz w:val="24"/>
          <w:szCs w:val="24"/>
          <w:lang w:eastAsia="ru-RU"/>
        </w:rPr>
        <w:t>4632,6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271096">
        <w:rPr>
          <w:rFonts w:ascii="Times New Roman" w:eastAsia="Times New Roman" w:hAnsi="Times New Roman" w:cs="Times New Roman"/>
          <w:sz w:val="24"/>
          <w:szCs w:val="24"/>
          <w:lang w:eastAsia="ru-RU"/>
        </w:rPr>
        <w:t>46,1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,и 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составят </w:t>
      </w:r>
      <w:r w:rsidR="00271096">
        <w:rPr>
          <w:rFonts w:ascii="Times New Roman" w:eastAsia="Times New Roman" w:hAnsi="Times New Roman" w:cs="Times New Roman"/>
          <w:sz w:val="24"/>
          <w:szCs w:val="24"/>
          <w:lang w:eastAsia="ru-RU"/>
        </w:rPr>
        <w:t>5407,3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На</w:t>
      </w:r>
      <w:r w:rsidR="00E07A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7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="007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4937,5 тыс. руб. , на </w:t>
      </w:r>
      <w:r w:rsidR="00C5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 </w:t>
      </w:r>
      <w:r w:rsidR="007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сумме 4866,9</w:t>
      </w:r>
      <w:r w:rsidR="00C5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71096" w:rsidRPr="00E0393A" w:rsidRDefault="00E0393A" w:rsidP="00E0393A">
      <w:pPr>
        <w:tabs>
          <w:tab w:val="left" w:pos="13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252B" w:rsidRDefault="0064243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0335E2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BF3190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данными:</w:t>
      </w:r>
      <w:r w:rsid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DB3" w:rsidRDefault="008B7DB3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8E6217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Таблица № 5.</w:t>
      </w:r>
    </w:p>
    <w:tbl>
      <w:tblPr>
        <w:tblW w:w="9653" w:type="dxa"/>
        <w:tblInd w:w="94" w:type="dxa"/>
        <w:tblLayout w:type="fixed"/>
        <w:tblLook w:val="04A0"/>
      </w:tblPr>
      <w:tblGrid>
        <w:gridCol w:w="2553"/>
        <w:gridCol w:w="456"/>
        <w:gridCol w:w="1089"/>
        <w:gridCol w:w="876"/>
        <w:gridCol w:w="852"/>
        <w:gridCol w:w="1231"/>
        <w:gridCol w:w="754"/>
        <w:gridCol w:w="992"/>
        <w:gridCol w:w="850"/>
      </w:tblGrid>
      <w:tr w:rsidR="00763880" w:rsidRPr="00763880" w:rsidTr="007E12BB">
        <w:trPr>
          <w:trHeight w:val="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2020 год (решен </w:t>
            </w:r>
            <w:r w:rsidR="009F632B"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бюджет), тыс. руб.</w:t>
            </w:r>
          </w:p>
        </w:tc>
        <w:tc>
          <w:tcPr>
            <w:tcW w:w="55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Проект бюджета на:</w:t>
            </w:r>
          </w:p>
        </w:tc>
      </w:tr>
      <w:tr w:rsidR="00763880" w:rsidRPr="00763880" w:rsidTr="00E0393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2023 год</w:t>
            </w:r>
          </w:p>
        </w:tc>
      </w:tr>
      <w:tr w:rsidR="00763880" w:rsidRPr="00763880" w:rsidTr="00E0393A">
        <w:trPr>
          <w:trHeight w:val="65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сумма, тыс. руб.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7E12BB" w:rsidRDefault="009F632B" w:rsidP="007E12BB">
            <w:pPr>
              <w:pStyle w:val="ac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уд. вес (%)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сумма, тыс. руб.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7E12BB" w:rsidRDefault="009F632B" w:rsidP="007E12BB">
            <w:pPr>
              <w:pStyle w:val="ac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уд. вес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сумма,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7E12BB" w:rsidRDefault="009F632B" w:rsidP="007E12BB">
            <w:pPr>
              <w:pStyle w:val="ac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уд. вес (%)</w:t>
            </w:r>
          </w:p>
        </w:tc>
      </w:tr>
      <w:tr w:rsidR="0065712C" w:rsidRPr="00763880" w:rsidTr="00E0393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b/>
                <w:bCs/>
                <w:color w:val="000000"/>
              </w:rPr>
              <w:t>9313,1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b/>
                <w:bCs/>
                <w:color w:val="000000"/>
              </w:rPr>
              <w:t>6174,8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b/>
                <w:bCs/>
                <w:color w:val="000000"/>
              </w:rPr>
            </w:pPr>
            <w:r w:rsidRPr="007E12BB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b/>
                <w:bCs/>
                <w:color w:val="000000"/>
              </w:rPr>
              <w:t>5734,9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b/>
                <w:bCs/>
                <w:color w:val="000000"/>
              </w:rPr>
            </w:pPr>
            <w:r w:rsidRPr="007E12BB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sz w:val="24"/>
                <w:szCs w:val="24"/>
              </w:rPr>
            </w:pPr>
            <w:r>
              <w:t>5677,3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b/>
                <w:bCs/>
                <w:color w:val="000000"/>
              </w:rPr>
            </w:pPr>
            <w:r w:rsidRPr="007E12BB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</w:tr>
      <w:tr w:rsidR="0065712C" w:rsidRPr="00763880" w:rsidTr="00E0393A">
        <w:trPr>
          <w:trHeight w:val="26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</w:tr>
      <w:tr w:rsidR="0065712C" w:rsidRPr="00763880" w:rsidTr="00E0393A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1434,7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1623,6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26,3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1622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sz w:val="24"/>
                <w:szCs w:val="24"/>
              </w:rPr>
            </w:pPr>
            <w:r>
              <w:t>1622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28,6</w:t>
            </w:r>
          </w:p>
        </w:tc>
      </w:tr>
      <w:tr w:rsidR="0065712C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5712C" w:rsidRPr="00763880" w:rsidTr="00E0393A">
        <w:trPr>
          <w:trHeight w:val="3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85,8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103,6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105,7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sz w:val="24"/>
                <w:szCs w:val="24"/>
              </w:rPr>
            </w:pPr>
            <w: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1,9</w:t>
            </w:r>
          </w:p>
        </w:tc>
      </w:tr>
      <w:tr w:rsidR="0065712C" w:rsidRPr="00763880" w:rsidTr="00E0393A">
        <w:trPr>
          <w:trHeight w:val="19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5712C" w:rsidRPr="00763880" w:rsidTr="00E0393A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702293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5712C" w:rsidRPr="00763880" w:rsidTr="00E0393A">
        <w:trPr>
          <w:trHeight w:val="22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5712C" w:rsidRPr="00763880" w:rsidTr="00E0393A">
        <w:trPr>
          <w:trHeight w:val="5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1601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2575,3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41,7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2015,4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sz w:val="24"/>
                <w:szCs w:val="24"/>
              </w:rPr>
            </w:pPr>
            <w:r>
              <w:t>1836,6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32,3</w:t>
            </w:r>
          </w:p>
        </w:tc>
      </w:tr>
      <w:tr w:rsidR="0065712C" w:rsidRPr="00763880" w:rsidTr="00E0393A">
        <w:trPr>
          <w:trHeight w:val="16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5712C" w:rsidRPr="00763880" w:rsidTr="00E0393A">
        <w:trPr>
          <w:trHeight w:val="29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3631,7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340,0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sz w:val="24"/>
                <w:szCs w:val="24"/>
              </w:rPr>
            </w:pPr>
            <w: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65712C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5712C" w:rsidRPr="00763880" w:rsidTr="00E0393A">
        <w:trPr>
          <w:trHeight w:val="3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2551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1532,3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24,8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1532,3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sz w:val="24"/>
                <w:szCs w:val="24"/>
              </w:rPr>
            </w:pPr>
            <w:r>
              <w:t>1532,3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27,0</w:t>
            </w:r>
          </w:p>
        </w:tc>
      </w:tr>
      <w:tr w:rsidR="0065712C" w:rsidRPr="00D33265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5712C" w:rsidRPr="00763880" w:rsidTr="00E0393A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5712C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5712C" w:rsidRPr="00763880" w:rsidTr="00E0393A">
        <w:trPr>
          <w:trHeight w:val="3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</w:t>
            </w:r>
            <w:proofErr w:type="spellStart"/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BB">
              <w:rPr>
                <w:rFonts w:ascii="Times New Roman" w:hAnsi="Times New Roman"/>
                <w:color w:val="000000"/>
              </w:rPr>
              <w:t>118,4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sz w:val="24"/>
                <w:szCs w:val="24"/>
              </w:rPr>
            </w:pPr>
            <w:r>
              <w:t>233,7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color w:val="000000"/>
              </w:rPr>
            </w:pPr>
            <w:r w:rsidRPr="007E12BB">
              <w:rPr>
                <w:rFonts w:ascii="Times New Roman" w:hAnsi="Times New Roman"/>
                <w:color w:val="000000"/>
              </w:rPr>
              <w:t>4,1</w:t>
            </w:r>
          </w:p>
        </w:tc>
      </w:tr>
      <w:tr w:rsidR="0065712C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Default="0065712C" w:rsidP="00702293">
            <w:pPr>
              <w:pStyle w:val="ac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12C" w:rsidRPr="007E12BB" w:rsidRDefault="0065712C" w:rsidP="007E12BB">
            <w:pPr>
              <w:pStyle w:val="ac"/>
              <w:rPr>
                <w:rFonts w:ascii="Times New Roman" w:hAnsi="Times New Roman"/>
                <w:i/>
                <w:iCs/>
                <w:color w:val="000000"/>
              </w:rPr>
            </w:pPr>
            <w:r w:rsidRPr="007E12BB">
              <w:rPr>
                <w:rFonts w:ascii="Times New Roman" w:hAnsi="Times New Roman"/>
                <w:i/>
                <w:iCs/>
                <w:color w:val="000000"/>
              </w:rPr>
              <w:t>0</w:t>
            </w:r>
          </w:p>
        </w:tc>
      </w:tr>
    </w:tbl>
    <w:p w:rsidR="00763880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3190" w:rsidRDefault="00E0393A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7113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величатся на</w:t>
      </w:r>
      <w:r w:rsidR="007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13,2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</w:t>
      </w:r>
      <w:r w:rsidR="007E12BB">
        <w:rPr>
          <w:rFonts w:ascii="Times New Roman" w:eastAsia="Times New Roman" w:hAnsi="Times New Roman" w:cs="Times New Roman"/>
          <w:sz w:val="24"/>
          <w:szCs w:val="24"/>
          <w:lang w:eastAsia="ru-RU"/>
        </w:rPr>
        <w:t>1623,6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E0393A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бюджета по данному разделу на плановый период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прогнозируются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</w:t>
      </w:r>
      <w:r w:rsidR="002E54B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по 1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12B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12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0393A" w:rsidRDefault="00BF3190" w:rsidP="00E039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E12BB">
        <w:rPr>
          <w:rFonts w:ascii="Times New Roman" w:eastAsia="Times New Roman" w:hAnsi="Times New Roman" w:cs="Times New Roman"/>
          <w:sz w:val="24"/>
          <w:szCs w:val="24"/>
          <w:lang w:eastAsia="ru-RU"/>
        </w:rPr>
        <w:t>13,2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6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8CD" w:rsidRPr="00E0393A" w:rsidRDefault="008B68CD" w:rsidP="00E039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D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2E54B9">
        <w:rPr>
          <w:rFonts w:ascii="Times New Roman" w:hAnsi="Times New Roman" w:cs="Times New Roman"/>
          <w:b/>
          <w:sz w:val="24"/>
          <w:szCs w:val="24"/>
        </w:rPr>
        <w:t>п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 w:rsidRPr="002E54B9">
        <w:rPr>
          <w:rFonts w:ascii="Times New Roman" w:hAnsi="Times New Roman" w:cs="Times New Roman"/>
          <w:b/>
          <w:sz w:val="24"/>
          <w:szCs w:val="24"/>
        </w:rPr>
        <w:t>у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«Функционирование Правительства Российской Федерации</w:t>
      </w:r>
      <w:r w:rsidRPr="008B68CD">
        <w:rPr>
          <w:rFonts w:ascii="Times New Roman" w:eastAsia="Calibri" w:hAnsi="Times New Roman" w:cs="Times New Roman"/>
          <w:sz w:val="24"/>
          <w:szCs w:val="24"/>
        </w:rPr>
        <w:t>, высших исполнительных органов государственной власти субъектов Российской Федерации, местных администраций» 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на 2021</w:t>
      </w:r>
      <w:r w:rsidR="00970344">
        <w:rPr>
          <w:rFonts w:ascii="Times New Roman" w:eastAsia="Calibri" w:hAnsi="Times New Roman" w:cs="Times New Roman"/>
          <w:sz w:val="24"/>
          <w:szCs w:val="24"/>
        </w:rPr>
        <w:t xml:space="preserve"> г. планируется  </w:t>
      </w:r>
      <w:r w:rsidR="00E0393A" w:rsidRPr="00E0393A">
        <w:rPr>
          <w:rFonts w:ascii="Times New Roman" w:hAnsi="Times New Roman" w:cs="Times New Roman"/>
          <w:sz w:val="24"/>
          <w:szCs w:val="24"/>
        </w:rPr>
        <w:t>1</w:t>
      </w:r>
      <w:r w:rsidR="00C1442C">
        <w:rPr>
          <w:rFonts w:ascii="Times New Roman" w:hAnsi="Times New Roman" w:cs="Times New Roman"/>
          <w:sz w:val="24"/>
          <w:szCs w:val="24"/>
        </w:rPr>
        <w:t>2</w:t>
      </w:r>
      <w:r w:rsidR="00970344">
        <w:rPr>
          <w:rFonts w:ascii="Times New Roman" w:hAnsi="Times New Roman" w:cs="Times New Roman"/>
          <w:sz w:val="24"/>
          <w:szCs w:val="24"/>
        </w:rPr>
        <w:t>61,1</w:t>
      </w:r>
      <w:r w:rsidR="00E0393A" w:rsidRPr="00E0393A">
        <w:rPr>
          <w:rFonts w:ascii="Times New Roman" w:hAnsi="Times New Roman" w:cs="Times New Roman"/>
          <w:sz w:val="24"/>
          <w:szCs w:val="24"/>
        </w:rPr>
        <w:t xml:space="preserve"> тыс</w:t>
      </w:r>
      <w:r w:rsidR="00E0393A">
        <w:rPr>
          <w:rFonts w:ascii="Times New Roman" w:hAnsi="Times New Roman" w:cs="Times New Roman"/>
          <w:sz w:val="24"/>
          <w:szCs w:val="24"/>
        </w:rPr>
        <w:t>. руб.</w:t>
      </w:r>
      <w:r w:rsidR="00970344">
        <w:rPr>
          <w:rFonts w:ascii="Times New Roman" w:hAnsi="Times New Roman" w:cs="Times New Roman"/>
          <w:sz w:val="24"/>
          <w:szCs w:val="24"/>
        </w:rPr>
        <w:t xml:space="preserve">, на 2022 и 2023  годы - по 1259,7 тыс. </w:t>
      </w:r>
      <w:proofErr w:type="spellStart"/>
      <w:r w:rsidR="0097034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70344">
        <w:rPr>
          <w:rFonts w:ascii="Times New Roman" w:hAnsi="Times New Roman" w:cs="Times New Roman"/>
          <w:sz w:val="24"/>
          <w:szCs w:val="24"/>
        </w:rPr>
        <w:t xml:space="preserve"> .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 ежегодно.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5C1" w:rsidRDefault="008B68CD" w:rsidP="00115C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«Резервные фонды»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hAnsi="Times New Roman" w:cs="Times New Roman"/>
          <w:sz w:val="24"/>
          <w:szCs w:val="24"/>
        </w:rPr>
        <w:t>ассигнования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Согласно статье 81 Бюджетного кодекса Российской Федерации </w:t>
      </w:r>
      <w:bookmarkStart w:id="0" w:name="sub_812"/>
      <w:r w:rsidRPr="008B68CD">
        <w:rPr>
          <w:rFonts w:ascii="Times New Roman" w:eastAsia="Calibri" w:hAnsi="Times New Roman" w:cs="Times New Roman"/>
          <w:sz w:val="24"/>
          <w:szCs w:val="24"/>
        </w:rPr>
        <w:t>размер резервных фондов местных администраций  не может превышать 3 процента общего объема расходов бюджета.</w:t>
      </w:r>
      <w:bookmarkEnd w:id="0"/>
      <w:r w:rsidR="009F6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В проекте решения на реализацию данной подпрограммы предусмотрены ассигнования на 2021 год в размере </w:t>
      </w:r>
      <w:r w:rsidR="00C1442C">
        <w:rPr>
          <w:rFonts w:ascii="Times New Roman" w:eastAsia="Calibri" w:hAnsi="Times New Roman" w:cs="Times New Roman"/>
          <w:sz w:val="24"/>
          <w:szCs w:val="24"/>
        </w:rPr>
        <w:t>9</w:t>
      </w:r>
      <w:r w:rsidR="00E0393A">
        <w:rPr>
          <w:rFonts w:ascii="Times New Roman" w:eastAsia="Calibri" w:hAnsi="Times New Roman" w:cs="Times New Roman"/>
          <w:sz w:val="24"/>
          <w:szCs w:val="24"/>
        </w:rPr>
        <w:t>0,0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B15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8CD" w:rsidRPr="008B68CD" w:rsidRDefault="007B15C1" w:rsidP="00D804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По подразделу</w:t>
      </w:r>
      <w:r w:rsidR="008B68CD" w:rsidRPr="008B68CD">
        <w:rPr>
          <w:rFonts w:ascii="Times New Roman" w:eastAsia="Calibri" w:hAnsi="Times New Roman" w:cs="Times New Roman"/>
          <w:b/>
          <w:sz w:val="24"/>
          <w:szCs w:val="24"/>
        </w:rPr>
        <w:t xml:space="preserve"> «Другие общегосударственные вопросы»</w:t>
      </w:r>
      <w:r w:rsidR="008B68CD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юджетные ас</w:t>
      </w:r>
      <w:r w:rsidR="008B68CD">
        <w:rPr>
          <w:rFonts w:ascii="Times New Roman" w:hAnsi="Times New Roman" w:cs="Times New Roman"/>
          <w:sz w:val="24"/>
          <w:szCs w:val="24"/>
        </w:rPr>
        <w:t xml:space="preserve">сигнования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предусмотрены на обеспечение реализации муниципальной программы  "Развитие потенциала муниципального управления" на содержание административно-хозяйственного персонала  на 2021 год в размере </w:t>
      </w:r>
      <w:r w:rsidR="00D44556">
        <w:rPr>
          <w:rFonts w:ascii="Times New Roman" w:eastAsia="Calibri" w:hAnsi="Times New Roman" w:cs="Times New Roman"/>
          <w:sz w:val="24"/>
          <w:szCs w:val="24"/>
        </w:rPr>
        <w:t>27</w:t>
      </w:r>
      <w:r w:rsidR="00970344">
        <w:rPr>
          <w:rFonts w:ascii="Times New Roman" w:eastAsia="Calibri" w:hAnsi="Times New Roman" w:cs="Times New Roman"/>
          <w:sz w:val="24"/>
          <w:szCs w:val="24"/>
        </w:rPr>
        <w:t>2,4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2E54B9">
        <w:rPr>
          <w:rFonts w:ascii="Times New Roman" w:eastAsia="Calibri" w:hAnsi="Times New Roman" w:cs="Times New Roman"/>
          <w:sz w:val="24"/>
          <w:szCs w:val="24"/>
        </w:rPr>
        <w:t>.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На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выполнение других обязательств муниципального образования </w:t>
      </w:r>
      <w:r w:rsidR="008B68CD">
        <w:rPr>
          <w:rFonts w:ascii="Times New Roman" w:hAnsi="Times New Roman" w:cs="Times New Roman"/>
          <w:sz w:val="24"/>
          <w:szCs w:val="24"/>
        </w:rPr>
        <w:t>(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оплату членского взноса в Совет муниципальных образований</w:t>
      </w:r>
      <w:r w:rsidR="008B68CD">
        <w:rPr>
          <w:rFonts w:ascii="Times New Roman" w:hAnsi="Times New Roman" w:cs="Times New Roman"/>
          <w:sz w:val="24"/>
          <w:szCs w:val="24"/>
        </w:rPr>
        <w:t>)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FE4FA6">
        <w:rPr>
          <w:rFonts w:ascii="Times New Roman" w:eastAsia="Calibri" w:hAnsi="Times New Roman" w:cs="Times New Roman"/>
          <w:sz w:val="24"/>
          <w:szCs w:val="24"/>
        </w:rPr>
        <w:t>-2023 годы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 xml:space="preserve">предусматриваются средства </w:t>
      </w:r>
      <w:r w:rsidR="00FE4FA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970344">
        <w:rPr>
          <w:rFonts w:ascii="Times New Roman" w:eastAsia="Calibri" w:hAnsi="Times New Roman" w:cs="Times New Roman"/>
          <w:sz w:val="24"/>
          <w:szCs w:val="24"/>
        </w:rPr>
        <w:t>5,0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115C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41AE" w:rsidRDefault="00BF3190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Национальная оборона»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"Управление общественными ф</w:t>
      </w:r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инансами и муниципальным долгом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на финансовое обеспечение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делегированных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организации первичного воинского учета на территориях, где отсутствуют военные комиссариаты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сумме 103,6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B68CD">
        <w:rPr>
          <w:rFonts w:ascii="Times New Roman" w:hAnsi="Times New Roman" w:cs="Times New Roman"/>
          <w:sz w:val="24"/>
          <w:szCs w:val="24"/>
        </w:rPr>
        <w:t xml:space="preserve">.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5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г. составит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6571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D80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1AE" w:rsidRDefault="00D441AE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расходы по разделу предусматриваются в сумме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105,7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(102,0 % к 2021 году), на 2023 год – 1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712C">
        <w:rPr>
          <w:rFonts w:ascii="Times New Roman" w:eastAsia="Times New Roman" w:hAnsi="Times New Roman" w:cs="Times New Roman"/>
          <w:sz w:val="24"/>
          <w:szCs w:val="24"/>
          <w:lang w:eastAsia="ru-RU"/>
        </w:rPr>
        <w:t>5,7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10</w:t>
      </w:r>
      <w:r w:rsidR="0065712C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предыдущему году.</w:t>
      </w:r>
    </w:p>
    <w:p w:rsidR="00C1442C" w:rsidRDefault="00C1442C" w:rsidP="00C144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93" w:rsidRPr="000924A0" w:rsidRDefault="00702293" w:rsidP="007022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Pr="0009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предусмотрены расходы в рамках муниципальной программы "</w:t>
      </w:r>
      <w:r w:rsidRPr="000924A0">
        <w:rPr>
          <w:rFonts w:ascii="Times New Roman" w:eastAsia="Calibri" w:hAnsi="Times New Roman" w:cs="Times New Roman"/>
          <w:sz w:val="24"/>
          <w:szCs w:val="24"/>
        </w:rPr>
        <w:t>Безопасные и качественные автомобильные дороги" муниципальной программы "Развитие транспортной системы».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данному разделу в 2021 году составят 2575,3 тыс. руб. 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60,9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предусмотренных 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1601,0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702293" w:rsidRDefault="00702293" w:rsidP="007022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расходы по разделу предусматриваются в сумме 2015,4  тыс. рублей (78,3% к 2021 году), на 2023 год – 1836,6 тыс. рублей, или 91,1 % к предыдущему году.</w:t>
      </w:r>
    </w:p>
    <w:p w:rsidR="00702293" w:rsidRPr="00F11F4A" w:rsidRDefault="00702293" w:rsidP="0070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по данному разделу в общем объеме расходов на 2021 год составит 41,7%, на 2022 год – 35,1%, на 2023 год – 32,3%.</w:t>
      </w:r>
    </w:p>
    <w:p w:rsidR="00702293" w:rsidRDefault="00BF3190" w:rsidP="00702293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2293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702293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702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2293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2293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="007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2021 год расходы </w:t>
      </w:r>
      <w:r w:rsidR="00702293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</w:t>
      </w:r>
      <w:r w:rsidR="007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 340,0 тыс. </w:t>
      </w:r>
      <w:proofErr w:type="spellStart"/>
      <w:r w:rsidR="007022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7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9,4% к  уровню 2020 года (3631,7 тыс. руб.). </w:t>
      </w:r>
    </w:p>
    <w:p w:rsidR="00702293" w:rsidRDefault="00702293" w:rsidP="007022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плановые  2022  и 2023 годы  средства  предусматриваются также в сумме   341,0 тыс. руб. и 342,0 тыс. руб. соответственно.</w:t>
      </w:r>
    </w:p>
    <w:p w:rsidR="00702293" w:rsidRPr="00F11F4A" w:rsidRDefault="00702293" w:rsidP="007022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68">
        <w:rPr>
          <w:rFonts w:ascii="Times New Roman" w:hAnsi="Times New Roman" w:cs="Times New Roman"/>
          <w:sz w:val="24"/>
          <w:szCs w:val="24"/>
        </w:rPr>
        <w:t>Бюджетные ассигнования по данному подразделу предусмотрены на реализацию 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36E68">
        <w:rPr>
          <w:rFonts w:ascii="Times New Roman" w:hAnsi="Times New Roman" w:cs="Times New Roman"/>
          <w:sz w:val="24"/>
          <w:szCs w:val="24"/>
        </w:rPr>
        <w:t xml:space="preserve"> программ "Модернизация и развитие сферы жилищно-коммунального </w:t>
      </w:r>
      <w:r>
        <w:rPr>
          <w:rFonts w:ascii="Times New Roman" w:hAnsi="Times New Roman" w:cs="Times New Roman"/>
          <w:sz w:val="24"/>
          <w:szCs w:val="24"/>
        </w:rPr>
        <w:t xml:space="preserve">хозяйства " и " Формирование современной городской среды".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указанных расходов в общем объеме расходов бюджета поселения 2021 года составит 5,5%.</w:t>
      </w:r>
    </w:p>
    <w:p w:rsidR="0040561B" w:rsidRDefault="00BF3190" w:rsidP="00702293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94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кинематография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40561B"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п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редусмот</w:t>
      </w:r>
      <w:r w:rsidR="0040561B">
        <w:rPr>
          <w:rFonts w:ascii="Times New Roman" w:hAnsi="Times New Roman" w:cs="Times New Roman"/>
          <w:sz w:val="24"/>
          <w:szCs w:val="24"/>
        </w:rPr>
        <w:t>-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рены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на  реализацию подпрограммы "Развитие культуры" муниципальной программы "Развитие культуры и туризма"</w:t>
      </w:r>
      <w:r w:rsidR="00FE4FA6">
        <w:rPr>
          <w:rFonts w:ascii="Times New Roman" w:hAnsi="Times New Roman" w:cs="Times New Roman"/>
          <w:sz w:val="24"/>
          <w:szCs w:val="24"/>
        </w:rPr>
        <w:t xml:space="preserve"> и муниципальной программы "Повышение безопасности жизнедеятельности </w:t>
      </w:r>
      <w:r w:rsidR="00194A9E">
        <w:rPr>
          <w:rFonts w:ascii="Times New Roman" w:hAnsi="Times New Roman" w:cs="Times New Roman"/>
          <w:sz w:val="24"/>
          <w:szCs w:val="24"/>
        </w:rPr>
        <w:t xml:space="preserve"> населения."</w:t>
      </w:r>
      <w:r w:rsidR="00A175B4">
        <w:rPr>
          <w:rFonts w:ascii="Times New Roman" w:hAnsi="Times New Roman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На </w:t>
      </w:r>
      <w:r w:rsidR="00194A9E">
        <w:rPr>
          <w:rFonts w:ascii="Times New Roman" w:hAnsi="Times New Roman" w:cs="Times New Roman"/>
          <w:sz w:val="24"/>
          <w:szCs w:val="24"/>
        </w:rPr>
        <w:t xml:space="preserve">реализацию программ  и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обеспечение деятельности учреждений в сфере культурно - </w:t>
      </w:r>
      <w:proofErr w:type="spellStart"/>
      <w:r w:rsidR="0040561B" w:rsidRPr="00D441AE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обслуживания населения</w:t>
      </w:r>
      <w:r w:rsidR="00A175B4" w:rsidRPr="00D441AE">
        <w:rPr>
          <w:rFonts w:ascii="Calibri" w:eastAsia="Calibri" w:hAnsi="Calibri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>на 202</w:t>
      </w:r>
      <w:r w:rsidR="00A175B4" w:rsidRPr="00D441AE">
        <w:rPr>
          <w:rFonts w:ascii="Times New Roman" w:hAnsi="Times New Roman" w:cs="Times New Roman"/>
          <w:sz w:val="24"/>
          <w:szCs w:val="24"/>
        </w:rPr>
        <w:t>1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год предусмотрены  ассигнования в сумме </w:t>
      </w:r>
      <w:r w:rsidR="00702293">
        <w:rPr>
          <w:rFonts w:ascii="Times New Roman" w:hAnsi="Times New Roman" w:cs="Times New Roman"/>
          <w:sz w:val="24"/>
          <w:szCs w:val="24"/>
        </w:rPr>
        <w:t>1532,3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A0E35">
        <w:rPr>
          <w:rFonts w:ascii="Times New Roman" w:hAnsi="Times New Roman" w:cs="Times New Roman"/>
          <w:sz w:val="24"/>
          <w:szCs w:val="24"/>
        </w:rPr>
        <w:t xml:space="preserve"> </w:t>
      </w:r>
      <w:r w:rsidR="0040561B">
        <w:rPr>
          <w:rFonts w:ascii="Times New Roman" w:hAnsi="Times New Roman" w:cs="Times New Roman"/>
          <w:sz w:val="24"/>
          <w:szCs w:val="24"/>
        </w:rPr>
        <w:t>По сравнению с предшествующим годом (</w:t>
      </w:r>
      <w:r w:rsidR="009E2505">
        <w:rPr>
          <w:rFonts w:ascii="Times New Roman" w:hAnsi="Times New Roman" w:cs="Times New Roman"/>
          <w:sz w:val="24"/>
          <w:szCs w:val="24"/>
        </w:rPr>
        <w:t>2551,0</w:t>
      </w:r>
      <w:r w:rsidR="0040561B">
        <w:rPr>
          <w:rFonts w:ascii="Times New Roman" w:hAnsi="Times New Roman" w:cs="Times New Roman"/>
          <w:sz w:val="24"/>
          <w:szCs w:val="24"/>
        </w:rPr>
        <w:t xml:space="preserve"> тыс. руб.) расходы  202</w:t>
      </w:r>
      <w:r w:rsidR="00A175B4">
        <w:rPr>
          <w:rFonts w:ascii="Times New Roman" w:hAnsi="Times New Roman" w:cs="Times New Roman"/>
          <w:sz w:val="24"/>
          <w:szCs w:val="24"/>
        </w:rPr>
        <w:t>1</w:t>
      </w:r>
      <w:r w:rsidR="0040561B">
        <w:rPr>
          <w:rFonts w:ascii="Times New Roman" w:hAnsi="Times New Roman" w:cs="Times New Roman"/>
          <w:sz w:val="24"/>
          <w:szCs w:val="24"/>
        </w:rPr>
        <w:t xml:space="preserve"> года запланированы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с</w:t>
      </w:r>
      <w:r w:rsidR="003D705E">
        <w:rPr>
          <w:rFonts w:ascii="Times New Roman" w:hAnsi="Times New Roman" w:cs="Times New Roman"/>
          <w:sz w:val="24"/>
          <w:szCs w:val="24"/>
        </w:rPr>
        <w:t>о-снижением</w:t>
      </w:r>
      <w:proofErr w:type="spellEnd"/>
      <w:r w:rsidR="003D705E">
        <w:rPr>
          <w:rFonts w:ascii="Times New Roman" w:hAnsi="Times New Roman" w:cs="Times New Roman"/>
          <w:sz w:val="24"/>
          <w:szCs w:val="24"/>
        </w:rPr>
        <w:t xml:space="preserve"> </w:t>
      </w:r>
      <w:r w:rsidR="00D44556">
        <w:rPr>
          <w:rFonts w:ascii="Times New Roman" w:hAnsi="Times New Roman" w:cs="Times New Roman"/>
          <w:sz w:val="24"/>
          <w:szCs w:val="24"/>
        </w:rPr>
        <w:t xml:space="preserve"> на </w:t>
      </w:r>
      <w:r w:rsidR="003D705E">
        <w:rPr>
          <w:rFonts w:ascii="Times New Roman" w:hAnsi="Times New Roman" w:cs="Times New Roman"/>
          <w:sz w:val="24"/>
          <w:szCs w:val="24"/>
        </w:rPr>
        <w:t>3</w:t>
      </w:r>
      <w:r w:rsidR="009E2505">
        <w:rPr>
          <w:rFonts w:ascii="Times New Roman" w:hAnsi="Times New Roman" w:cs="Times New Roman"/>
          <w:sz w:val="24"/>
          <w:szCs w:val="24"/>
        </w:rPr>
        <w:t>9,9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A175B4">
        <w:rPr>
          <w:rFonts w:ascii="Times New Roman" w:hAnsi="Times New Roman" w:cs="Times New Roman"/>
          <w:sz w:val="24"/>
          <w:szCs w:val="24"/>
        </w:rPr>
        <w:t>%.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1B" w:rsidRDefault="0040561B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9E2505">
        <w:rPr>
          <w:rFonts w:ascii="Times New Roman" w:hAnsi="Times New Roman" w:cs="Times New Roman"/>
          <w:sz w:val="24"/>
          <w:szCs w:val="24"/>
        </w:rPr>
        <w:t>2</w:t>
      </w:r>
      <w:r w:rsidR="003D705E">
        <w:rPr>
          <w:rFonts w:ascii="Times New Roman" w:hAnsi="Times New Roman" w:cs="Times New Roman"/>
          <w:sz w:val="24"/>
          <w:szCs w:val="24"/>
        </w:rPr>
        <w:t xml:space="preserve"> и 2023 годы </w:t>
      </w:r>
      <w:r>
        <w:rPr>
          <w:rFonts w:ascii="Times New Roman" w:hAnsi="Times New Roman" w:cs="Times New Roman"/>
          <w:sz w:val="24"/>
          <w:szCs w:val="24"/>
        </w:rPr>
        <w:t xml:space="preserve"> сумма выделяемых средств  состав</w:t>
      </w:r>
      <w:r w:rsidR="00194A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9E2505">
        <w:rPr>
          <w:rFonts w:ascii="Times New Roman" w:hAnsi="Times New Roman" w:cs="Times New Roman"/>
          <w:sz w:val="24"/>
          <w:szCs w:val="24"/>
        </w:rPr>
        <w:t xml:space="preserve">ежегодно  по 1532,3 тыс. </w:t>
      </w:r>
      <w:proofErr w:type="spellStart"/>
      <w:r w:rsidR="009E250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E2505">
        <w:rPr>
          <w:rFonts w:ascii="Times New Roman" w:hAnsi="Times New Roman" w:cs="Times New Roman"/>
          <w:sz w:val="24"/>
          <w:szCs w:val="24"/>
        </w:rPr>
        <w:t xml:space="preserve"> 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AE" w:rsidRDefault="0040561B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разделу в общем объеме расходов на 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E2505">
        <w:rPr>
          <w:rFonts w:ascii="Times New Roman" w:hAnsi="Times New Roman" w:cs="Times New Roman"/>
          <w:sz w:val="24"/>
          <w:szCs w:val="24"/>
        </w:rPr>
        <w:t>24,8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 w:rsidR="00D441A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</w:p>
    <w:p w:rsidR="0078713E" w:rsidRDefault="00511C71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</w:t>
      </w:r>
      <w:r w:rsidR="00BF3190" w:rsidRPr="0051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условно утверждаемых расходов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в сумме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>18,4</w:t>
      </w:r>
      <w:r w:rsidR="000565CF" w:rsidRPr="00B57FE9">
        <w:rPr>
          <w:sz w:val="24"/>
          <w:szCs w:val="24"/>
        </w:rPr>
        <w:t xml:space="preserve">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целевое назначение), на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>33,7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07985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объема расходов бюджета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96" w:rsidRP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объемы  условно утверждаемых расходов соответствуют требованиям ст.184.1 Бюджетного кодекса Российской Федерации, согласно которой на первый год планового периода они должны быть утверждены в объеме не менее 2,5 % общего объема расходов (без учета расходов бюджета, предусмотренных за счет межбюджетных трансфертов из других бюджетов бюджетной системы, имеющих целевое назначение), на второй год планового периода – не менее 5,0 %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r w:rsidR="00FE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решения бюджета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</w:t>
      </w:r>
      <w:r w:rsid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E35" w:rsidRPr="00F7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7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показателей, представленных для рассмотрения  и утверждения  в проекте решения 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767" w:rsidRDefault="0078713E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767" w:rsidRDefault="00A81767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>6174,8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5734,9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5677,3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023A9C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D705E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>6174,8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05E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2022 год –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>5734,9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2023 год –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5677,3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>118,4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>33,8</w:t>
      </w:r>
      <w:r w:rsidR="00B2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E6217" w:rsidRDefault="00BF3190" w:rsidP="008E6217">
      <w:pPr>
        <w:pBdr>
          <w:bottom w:val="single" w:sz="12" w:space="21" w:color="auto"/>
        </w:pBd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r w:rsidR="00FE2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Новочурашевского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BF3190" w:rsidRPr="008E6217" w:rsidRDefault="00BF3190" w:rsidP="008E6217">
      <w:pPr>
        <w:pBdr>
          <w:bottom w:val="single" w:sz="12" w:space="21" w:color="auto"/>
        </w:pBd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  <w:r w:rsidR="008E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1595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079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2DD">
        <w:rPr>
          <w:rFonts w:ascii="Times New Roman" w:hAnsi="Times New Roman" w:cs="Times New Roman"/>
          <w:sz w:val="24"/>
          <w:szCs w:val="24"/>
        </w:rPr>
        <w:t>2019</w:t>
      </w:r>
    </w:p>
    <w:sectPr w:rsidR="00BF3190" w:rsidRPr="008E6217" w:rsidSect="00564C6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24" w:rsidRDefault="00FD4724" w:rsidP="00B1668B">
      <w:pPr>
        <w:spacing w:after="0" w:line="240" w:lineRule="auto"/>
      </w:pPr>
      <w:r>
        <w:separator/>
      </w:r>
    </w:p>
  </w:endnote>
  <w:endnote w:type="continuationSeparator" w:id="0">
    <w:p w:rsidR="00FD4724" w:rsidRDefault="00FD4724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24" w:rsidRDefault="00FD4724" w:rsidP="00B1668B">
      <w:pPr>
        <w:spacing w:after="0" w:line="240" w:lineRule="auto"/>
      </w:pPr>
      <w:r>
        <w:separator/>
      </w:r>
    </w:p>
  </w:footnote>
  <w:footnote w:type="continuationSeparator" w:id="0">
    <w:p w:rsidR="00FD4724" w:rsidRDefault="00FD4724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0BFF"/>
    <w:rsid w:val="0000150F"/>
    <w:rsid w:val="000028CE"/>
    <w:rsid w:val="00007985"/>
    <w:rsid w:val="00023A9C"/>
    <w:rsid w:val="0002451D"/>
    <w:rsid w:val="000335E2"/>
    <w:rsid w:val="00036767"/>
    <w:rsid w:val="0004144C"/>
    <w:rsid w:val="00042891"/>
    <w:rsid w:val="00043B58"/>
    <w:rsid w:val="00055C89"/>
    <w:rsid w:val="000565CF"/>
    <w:rsid w:val="00063062"/>
    <w:rsid w:val="0006380F"/>
    <w:rsid w:val="00070853"/>
    <w:rsid w:val="00070C59"/>
    <w:rsid w:val="00076064"/>
    <w:rsid w:val="000803AE"/>
    <w:rsid w:val="00082CC8"/>
    <w:rsid w:val="00083983"/>
    <w:rsid w:val="000924A0"/>
    <w:rsid w:val="000927F2"/>
    <w:rsid w:val="00093D75"/>
    <w:rsid w:val="000B2F84"/>
    <w:rsid w:val="000C1F1C"/>
    <w:rsid w:val="000C4EEB"/>
    <w:rsid w:val="000C773C"/>
    <w:rsid w:val="000D6F88"/>
    <w:rsid w:val="000E4AF7"/>
    <w:rsid w:val="000F301E"/>
    <w:rsid w:val="00104BC5"/>
    <w:rsid w:val="00105FFD"/>
    <w:rsid w:val="001124C9"/>
    <w:rsid w:val="00115C3C"/>
    <w:rsid w:val="00123F68"/>
    <w:rsid w:val="00136E68"/>
    <w:rsid w:val="00140681"/>
    <w:rsid w:val="00140F45"/>
    <w:rsid w:val="001510D3"/>
    <w:rsid w:val="0015765C"/>
    <w:rsid w:val="00162E87"/>
    <w:rsid w:val="001816CA"/>
    <w:rsid w:val="001842CA"/>
    <w:rsid w:val="001860B2"/>
    <w:rsid w:val="00194A9E"/>
    <w:rsid w:val="001A0E23"/>
    <w:rsid w:val="001A2095"/>
    <w:rsid w:val="001B66D2"/>
    <w:rsid w:val="001D05CC"/>
    <w:rsid w:val="00200405"/>
    <w:rsid w:val="00204BDB"/>
    <w:rsid w:val="00223448"/>
    <w:rsid w:val="002246E8"/>
    <w:rsid w:val="0023175C"/>
    <w:rsid w:val="00242130"/>
    <w:rsid w:val="00253CC4"/>
    <w:rsid w:val="00264233"/>
    <w:rsid w:val="00264EEE"/>
    <w:rsid w:val="002654BF"/>
    <w:rsid w:val="00271096"/>
    <w:rsid w:val="00274939"/>
    <w:rsid w:val="00284139"/>
    <w:rsid w:val="00291152"/>
    <w:rsid w:val="00294399"/>
    <w:rsid w:val="002A0CF7"/>
    <w:rsid w:val="002B181E"/>
    <w:rsid w:val="002B41C3"/>
    <w:rsid w:val="002B4369"/>
    <w:rsid w:val="002B4D95"/>
    <w:rsid w:val="002C0229"/>
    <w:rsid w:val="002C5B93"/>
    <w:rsid w:val="002C7A96"/>
    <w:rsid w:val="002D7C4B"/>
    <w:rsid w:val="002E54B9"/>
    <w:rsid w:val="002F41E2"/>
    <w:rsid w:val="002F6DC9"/>
    <w:rsid w:val="002F7421"/>
    <w:rsid w:val="0031438A"/>
    <w:rsid w:val="00320806"/>
    <w:rsid w:val="00321189"/>
    <w:rsid w:val="0032598E"/>
    <w:rsid w:val="0032605B"/>
    <w:rsid w:val="00337962"/>
    <w:rsid w:val="003415A0"/>
    <w:rsid w:val="00344437"/>
    <w:rsid w:val="003511AA"/>
    <w:rsid w:val="003561FB"/>
    <w:rsid w:val="0035748D"/>
    <w:rsid w:val="00360E0D"/>
    <w:rsid w:val="0037526F"/>
    <w:rsid w:val="00376983"/>
    <w:rsid w:val="0037772C"/>
    <w:rsid w:val="003804B9"/>
    <w:rsid w:val="00381A08"/>
    <w:rsid w:val="00391901"/>
    <w:rsid w:val="003979FD"/>
    <w:rsid w:val="003A037C"/>
    <w:rsid w:val="003A70FD"/>
    <w:rsid w:val="003C29F6"/>
    <w:rsid w:val="003C2E26"/>
    <w:rsid w:val="003C5F85"/>
    <w:rsid w:val="003C6EC6"/>
    <w:rsid w:val="003D6647"/>
    <w:rsid w:val="003D705E"/>
    <w:rsid w:val="003E3615"/>
    <w:rsid w:val="003E3B2D"/>
    <w:rsid w:val="003F0895"/>
    <w:rsid w:val="0040561B"/>
    <w:rsid w:val="00416004"/>
    <w:rsid w:val="004219FB"/>
    <w:rsid w:val="00422E59"/>
    <w:rsid w:val="00426DA9"/>
    <w:rsid w:val="00427294"/>
    <w:rsid w:val="00431153"/>
    <w:rsid w:val="00441CAB"/>
    <w:rsid w:val="004527FD"/>
    <w:rsid w:val="00460203"/>
    <w:rsid w:val="0046131D"/>
    <w:rsid w:val="00467B69"/>
    <w:rsid w:val="00475F17"/>
    <w:rsid w:val="004767A0"/>
    <w:rsid w:val="00483522"/>
    <w:rsid w:val="00484C36"/>
    <w:rsid w:val="00497C3A"/>
    <w:rsid w:val="004B13AD"/>
    <w:rsid w:val="004B6BAB"/>
    <w:rsid w:val="004C037D"/>
    <w:rsid w:val="004C39AC"/>
    <w:rsid w:val="004D26BF"/>
    <w:rsid w:val="004D42CF"/>
    <w:rsid w:val="004E0DDC"/>
    <w:rsid w:val="004E369C"/>
    <w:rsid w:val="004E5AAC"/>
    <w:rsid w:val="004E5E15"/>
    <w:rsid w:val="004E7214"/>
    <w:rsid w:val="004F4F3F"/>
    <w:rsid w:val="0050100A"/>
    <w:rsid w:val="00511C71"/>
    <w:rsid w:val="00515ACA"/>
    <w:rsid w:val="00516353"/>
    <w:rsid w:val="00527566"/>
    <w:rsid w:val="00540DA7"/>
    <w:rsid w:val="00541875"/>
    <w:rsid w:val="005616B8"/>
    <w:rsid w:val="00561F32"/>
    <w:rsid w:val="00564C6F"/>
    <w:rsid w:val="0056518B"/>
    <w:rsid w:val="0056759C"/>
    <w:rsid w:val="005706E6"/>
    <w:rsid w:val="00574AF1"/>
    <w:rsid w:val="0057598C"/>
    <w:rsid w:val="00581EFB"/>
    <w:rsid w:val="005A25BE"/>
    <w:rsid w:val="005A6013"/>
    <w:rsid w:val="005A702E"/>
    <w:rsid w:val="005B47AF"/>
    <w:rsid w:val="005C08DF"/>
    <w:rsid w:val="005C23E6"/>
    <w:rsid w:val="005C3245"/>
    <w:rsid w:val="005C6270"/>
    <w:rsid w:val="005D2674"/>
    <w:rsid w:val="005E1E5C"/>
    <w:rsid w:val="005E39AC"/>
    <w:rsid w:val="00611401"/>
    <w:rsid w:val="00615956"/>
    <w:rsid w:val="00623E25"/>
    <w:rsid w:val="00630C6D"/>
    <w:rsid w:val="00634331"/>
    <w:rsid w:val="00635885"/>
    <w:rsid w:val="00636616"/>
    <w:rsid w:val="0064243A"/>
    <w:rsid w:val="00654E10"/>
    <w:rsid w:val="00655474"/>
    <w:rsid w:val="00655DFD"/>
    <w:rsid w:val="0065712C"/>
    <w:rsid w:val="0066250E"/>
    <w:rsid w:val="0066359D"/>
    <w:rsid w:val="00666B58"/>
    <w:rsid w:val="0067048B"/>
    <w:rsid w:val="00681006"/>
    <w:rsid w:val="00691CFC"/>
    <w:rsid w:val="00692FE0"/>
    <w:rsid w:val="006A6478"/>
    <w:rsid w:val="006C0A64"/>
    <w:rsid w:val="006C1974"/>
    <w:rsid w:val="006D21E0"/>
    <w:rsid w:val="006E100B"/>
    <w:rsid w:val="006E2AA9"/>
    <w:rsid w:val="006E2AFA"/>
    <w:rsid w:val="00702293"/>
    <w:rsid w:val="007046A9"/>
    <w:rsid w:val="00710704"/>
    <w:rsid w:val="00711386"/>
    <w:rsid w:val="007139F1"/>
    <w:rsid w:val="007150BE"/>
    <w:rsid w:val="0072039F"/>
    <w:rsid w:val="0072217C"/>
    <w:rsid w:val="00722BB5"/>
    <w:rsid w:val="007336DB"/>
    <w:rsid w:val="0073597B"/>
    <w:rsid w:val="0074252B"/>
    <w:rsid w:val="007563E3"/>
    <w:rsid w:val="007613AC"/>
    <w:rsid w:val="00763880"/>
    <w:rsid w:val="007662BA"/>
    <w:rsid w:val="00774997"/>
    <w:rsid w:val="0078570D"/>
    <w:rsid w:val="0078596C"/>
    <w:rsid w:val="0078713E"/>
    <w:rsid w:val="00794F9B"/>
    <w:rsid w:val="007A0911"/>
    <w:rsid w:val="007A14C0"/>
    <w:rsid w:val="007A25F0"/>
    <w:rsid w:val="007A40C5"/>
    <w:rsid w:val="007A472A"/>
    <w:rsid w:val="007B15C1"/>
    <w:rsid w:val="007B377A"/>
    <w:rsid w:val="007B6FDC"/>
    <w:rsid w:val="007C0ADF"/>
    <w:rsid w:val="007C12EA"/>
    <w:rsid w:val="007C231C"/>
    <w:rsid w:val="007C6219"/>
    <w:rsid w:val="007D18B1"/>
    <w:rsid w:val="007D45BD"/>
    <w:rsid w:val="007E12BB"/>
    <w:rsid w:val="007E4C78"/>
    <w:rsid w:val="007E5A2D"/>
    <w:rsid w:val="00801008"/>
    <w:rsid w:val="008073F4"/>
    <w:rsid w:val="0081000B"/>
    <w:rsid w:val="00817E68"/>
    <w:rsid w:val="00817F4C"/>
    <w:rsid w:val="00821923"/>
    <w:rsid w:val="00822823"/>
    <w:rsid w:val="0082558C"/>
    <w:rsid w:val="00830982"/>
    <w:rsid w:val="00845D4A"/>
    <w:rsid w:val="00850A9B"/>
    <w:rsid w:val="00856432"/>
    <w:rsid w:val="00865A7D"/>
    <w:rsid w:val="00866E6F"/>
    <w:rsid w:val="00870077"/>
    <w:rsid w:val="00870D48"/>
    <w:rsid w:val="0088098D"/>
    <w:rsid w:val="00883BFE"/>
    <w:rsid w:val="008943FC"/>
    <w:rsid w:val="008967AF"/>
    <w:rsid w:val="008A77E8"/>
    <w:rsid w:val="008B07F6"/>
    <w:rsid w:val="008B68CD"/>
    <w:rsid w:val="008B7DB3"/>
    <w:rsid w:val="008E2A20"/>
    <w:rsid w:val="008E4478"/>
    <w:rsid w:val="008E6217"/>
    <w:rsid w:val="008E7A75"/>
    <w:rsid w:val="0090775D"/>
    <w:rsid w:val="00923EB8"/>
    <w:rsid w:val="00931E42"/>
    <w:rsid w:val="00931F48"/>
    <w:rsid w:val="00942B4C"/>
    <w:rsid w:val="00943D59"/>
    <w:rsid w:val="00943DBA"/>
    <w:rsid w:val="00951B74"/>
    <w:rsid w:val="00951D39"/>
    <w:rsid w:val="00960813"/>
    <w:rsid w:val="009618D3"/>
    <w:rsid w:val="0096786B"/>
    <w:rsid w:val="00970344"/>
    <w:rsid w:val="00970E23"/>
    <w:rsid w:val="00972069"/>
    <w:rsid w:val="009744DC"/>
    <w:rsid w:val="00977F28"/>
    <w:rsid w:val="009A1C28"/>
    <w:rsid w:val="009A37FF"/>
    <w:rsid w:val="009B52E0"/>
    <w:rsid w:val="009C1BCC"/>
    <w:rsid w:val="009C2909"/>
    <w:rsid w:val="009E2505"/>
    <w:rsid w:val="009F632B"/>
    <w:rsid w:val="00A03BE3"/>
    <w:rsid w:val="00A057DF"/>
    <w:rsid w:val="00A175B4"/>
    <w:rsid w:val="00A2030D"/>
    <w:rsid w:val="00A21A82"/>
    <w:rsid w:val="00A2545E"/>
    <w:rsid w:val="00A37E9F"/>
    <w:rsid w:val="00A56410"/>
    <w:rsid w:val="00A724EA"/>
    <w:rsid w:val="00A7669F"/>
    <w:rsid w:val="00A76A58"/>
    <w:rsid w:val="00A81767"/>
    <w:rsid w:val="00A927AD"/>
    <w:rsid w:val="00A94595"/>
    <w:rsid w:val="00AB31CF"/>
    <w:rsid w:val="00AC14C3"/>
    <w:rsid w:val="00AC7A02"/>
    <w:rsid w:val="00AE25DC"/>
    <w:rsid w:val="00AF42CD"/>
    <w:rsid w:val="00AF6677"/>
    <w:rsid w:val="00B00383"/>
    <w:rsid w:val="00B01C52"/>
    <w:rsid w:val="00B06073"/>
    <w:rsid w:val="00B0689B"/>
    <w:rsid w:val="00B07C1F"/>
    <w:rsid w:val="00B15FB5"/>
    <w:rsid w:val="00B1668B"/>
    <w:rsid w:val="00B232A5"/>
    <w:rsid w:val="00B232C0"/>
    <w:rsid w:val="00B353D7"/>
    <w:rsid w:val="00B357C3"/>
    <w:rsid w:val="00B40153"/>
    <w:rsid w:val="00B41A3E"/>
    <w:rsid w:val="00B43D19"/>
    <w:rsid w:val="00B70983"/>
    <w:rsid w:val="00B73202"/>
    <w:rsid w:val="00B7334C"/>
    <w:rsid w:val="00B76DE9"/>
    <w:rsid w:val="00B853CD"/>
    <w:rsid w:val="00BA0E35"/>
    <w:rsid w:val="00BA6727"/>
    <w:rsid w:val="00BB0874"/>
    <w:rsid w:val="00BB3DF8"/>
    <w:rsid w:val="00BC7E0F"/>
    <w:rsid w:val="00BF3190"/>
    <w:rsid w:val="00C1442C"/>
    <w:rsid w:val="00C20DC6"/>
    <w:rsid w:val="00C21EA4"/>
    <w:rsid w:val="00C22157"/>
    <w:rsid w:val="00C474FB"/>
    <w:rsid w:val="00C543B0"/>
    <w:rsid w:val="00C54D94"/>
    <w:rsid w:val="00C56C50"/>
    <w:rsid w:val="00C641CF"/>
    <w:rsid w:val="00C67806"/>
    <w:rsid w:val="00C72587"/>
    <w:rsid w:val="00C80A3B"/>
    <w:rsid w:val="00C822B0"/>
    <w:rsid w:val="00C971C9"/>
    <w:rsid w:val="00CA70EC"/>
    <w:rsid w:val="00CC5CA0"/>
    <w:rsid w:val="00CC795E"/>
    <w:rsid w:val="00CC7AB5"/>
    <w:rsid w:val="00CE1096"/>
    <w:rsid w:val="00CE3499"/>
    <w:rsid w:val="00CE4FC0"/>
    <w:rsid w:val="00CF64A0"/>
    <w:rsid w:val="00D02E89"/>
    <w:rsid w:val="00D07636"/>
    <w:rsid w:val="00D118EA"/>
    <w:rsid w:val="00D137F0"/>
    <w:rsid w:val="00D15021"/>
    <w:rsid w:val="00D170C1"/>
    <w:rsid w:val="00D174B9"/>
    <w:rsid w:val="00D2127C"/>
    <w:rsid w:val="00D33265"/>
    <w:rsid w:val="00D417B1"/>
    <w:rsid w:val="00D42DD7"/>
    <w:rsid w:val="00D43508"/>
    <w:rsid w:val="00D441AE"/>
    <w:rsid w:val="00D44556"/>
    <w:rsid w:val="00D5479C"/>
    <w:rsid w:val="00D54B45"/>
    <w:rsid w:val="00D63A98"/>
    <w:rsid w:val="00D76A4C"/>
    <w:rsid w:val="00D778E7"/>
    <w:rsid w:val="00D8044A"/>
    <w:rsid w:val="00D83FE8"/>
    <w:rsid w:val="00D844CF"/>
    <w:rsid w:val="00D87DF5"/>
    <w:rsid w:val="00DA730C"/>
    <w:rsid w:val="00DC41CB"/>
    <w:rsid w:val="00DD3C67"/>
    <w:rsid w:val="00DE14CC"/>
    <w:rsid w:val="00DF75F0"/>
    <w:rsid w:val="00E00749"/>
    <w:rsid w:val="00E02E32"/>
    <w:rsid w:val="00E0393A"/>
    <w:rsid w:val="00E03B09"/>
    <w:rsid w:val="00E07A83"/>
    <w:rsid w:val="00E10833"/>
    <w:rsid w:val="00E13A6A"/>
    <w:rsid w:val="00E14A0A"/>
    <w:rsid w:val="00E33644"/>
    <w:rsid w:val="00E34EAE"/>
    <w:rsid w:val="00E42A93"/>
    <w:rsid w:val="00E47499"/>
    <w:rsid w:val="00E62C64"/>
    <w:rsid w:val="00E70FCC"/>
    <w:rsid w:val="00E75B60"/>
    <w:rsid w:val="00E76557"/>
    <w:rsid w:val="00E82256"/>
    <w:rsid w:val="00E96867"/>
    <w:rsid w:val="00EB7DCC"/>
    <w:rsid w:val="00EC4E41"/>
    <w:rsid w:val="00ED12D4"/>
    <w:rsid w:val="00EE5D07"/>
    <w:rsid w:val="00EE7689"/>
    <w:rsid w:val="00EF2D4C"/>
    <w:rsid w:val="00EF5A01"/>
    <w:rsid w:val="00F13994"/>
    <w:rsid w:val="00F1775F"/>
    <w:rsid w:val="00F26320"/>
    <w:rsid w:val="00F27429"/>
    <w:rsid w:val="00F2746C"/>
    <w:rsid w:val="00F33057"/>
    <w:rsid w:val="00F521EE"/>
    <w:rsid w:val="00F53694"/>
    <w:rsid w:val="00F543F4"/>
    <w:rsid w:val="00F63343"/>
    <w:rsid w:val="00F656FC"/>
    <w:rsid w:val="00F67F03"/>
    <w:rsid w:val="00F70B0A"/>
    <w:rsid w:val="00F70E47"/>
    <w:rsid w:val="00F75E35"/>
    <w:rsid w:val="00F76924"/>
    <w:rsid w:val="00F8591E"/>
    <w:rsid w:val="00F922DD"/>
    <w:rsid w:val="00F93FE6"/>
    <w:rsid w:val="00F948EB"/>
    <w:rsid w:val="00F96A6D"/>
    <w:rsid w:val="00FA3BCC"/>
    <w:rsid w:val="00FA6DE8"/>
    <w:rsid w:val="00FA722E"/>
    <w:rsid w:val="00FB34BA"/>
    <w:rsid w:val="00FC0775"/>
    <w:rsid w:val="00FD4724"/>
    <w:rsid w:val="00FD4981"/>
    <w:rsid w:val="00FE04AE"/>
    <w:rsid w:val="00FE2B87"/>
    <w:rsid w:val="00FE4FA6"/>
    <w:rsid w:val="00FE6B44"/>
    <w:rsid w:val="00FF1BFF"/>
    <w:rsid w:val="00F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CE23-73B2-4108-80ED-47DA0B03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16</cp:revision>
  <cp:lastPrinted>2020-12-02T06:22:00Z</cp:lastPrinted>
  <dcterms:created xsi:type="dcterms:W3CDTF">2020-11-30T11:42:00Z</dcterms:created>
  <dcterms:modified xsi:type="dcterms:W3CDTF">2020-12-07T14:01:00Z</dcterms:modified>
</cp:coreProperties>
</file>