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A3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</w:t>
      </w:r>
      <w:r w:rsidR="007B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F5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Положения «О регулировании бюджетных правоотношений в </w:t>
      </w:r>
      <w:proofErr w:type="spellStart"/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0E20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924B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F53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9578F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C" w:rsidRPr="009A1C28" w:rsidRDefault="009578F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10715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6373,7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4596,1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4565,8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99,3</w:t>
            </w:r>
          </w:p>
        </w:tc>
      </w:tr>
      <w:tr w:rsidR="009578FC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C" w:rsidRPr="009A1C28" w:rsidRDefault="009578FC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11303,4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6373,7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4596,1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4565,8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99,3</w:t>
            </w:r>
          </w:p>
        </w:tc>
      </w:tr>
      <w:tr w:rsidR="009578FC" w:rsidRPr="00070853" w:rsidTr="005A55C4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C" w:rsidRPr="009A1C28" w:rsidRDefault="009578FC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C" w:rsidRPr="009578FC" w:rsidRDefault="009578FC" w:rsidP="009578FC">
            <w:pPr>
              <w:pStyle w:val="ac"/>
            </w:pPr>
            <w:r w:rsidRPr="009578FC">
              <w:t>-588,4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FC" w:rsidRPr="009578FC" w:rsidRDefault="009578FC" w:rsidP="009578FC">
            <w:pPr>
              <w:pStyle w:val="ac"/>
            </w:pPr>
            <w:r w:rsidRPr="009578FC"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8FC">
        <w:rPr>
          <w:rFonts w:ascii="Times New Roman" w:eastAsia="Times New Roman" w:hAnsi="Times New Roman" w:cs="Times New Roman"/>
          <w:sz w:val="24"/>
          <w:szCs w:val="24"/>
          <w:lang w:eastAsia="ru-RU"/>
        </w:rPr>
        <w:t>981,8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578FC">
        <w:rPr>
          <w:rFonts w:ascii="Times New Roman" w:eastAsia="Times New Roman" w:hAnsi="Times New Roman" w:cs="Times New Roman"/>
          <w:sz w:val="24"/>
          <w:szCs w:val="24"/>
          <w:lang w:eastAsia="ru-RU"/>
        </w:rPr>
        <w:t>1277,1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578FC">
        <w:rPr>
          <w:rFonts w:ascii="Times New Roman" w:eastAsia="Times New Roman" w:hAnsi="Times New Roman" w:cs="Times New Roman"/>
          <w:sz w:val="24"/>
          <w:szCs w:val="24"/>
          <w:lang w:eastAsia="ru-RU"/>
        </w:rPr>
        <w:t>1356,7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578FC">
        <w:rPr>
          <w:rFonts w:ascii="Times New Roman" w:eastAsia="Times New Roman" w:hAnsi="Times New Roman" w:cs="Times New Roman"/>
          <w:sz w:val="24"/>
          <w:szCs w:val="24"/>
          <w:lang w:eastAsia="ru-RU"/>
        </w:rPr>
        <w:t>92,2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9578F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182,6</w:t>
      </w:r>
      <w:r w:rsidR="006C3B4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95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87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0т.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F5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F53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F53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F53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F53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9578FC" w:rsidRDefault="009578FC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F5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F53C6F">
        <w:rPr>
          <w:rFonts w:ascii="Times New Roman" w:hAnsi="Times New Roman" w:cs="Times New Roman"/>
          <w:sz w:val="24"/>
          <w:szCs w:val="24"/>
        </w:rPr>
        <w:t>Ширтанского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3173FC">
        <w:rPr>
          <w:rFonts w:ascii="Times New Roman" w:hAnsi="Times New Roman" w:cs="Times New Roman"/>
          <w:sz w:val="24"/>
          <w:szCs w:val="24"/>
        </w:rPr>
        <w:t>6373,7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3173FC">
        <w:rPr>
          <w:rFonts w:ascii="Times New Roman" w:hAnsi="Times New Roman" w:cs="Times New Roman"/>
          <w:sz w:val="24"/>
          <w:szCs w:val="24"/>
        </w:rPr>
        <w:t>40,5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3173FC">
        <w:rPr>
          <w:rFonts w:ascii="Times New Roman" w:hAnsi="Times New Roman" w:cs="Times New Roman"/>
          <w:sz w:val="24"/>
          <w:szCs w:val="24"/>
        </w:rPr>
        <w:t>4596,1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E9413F">
        <w:rPr>
          <w:rFonts w:ascii="Times New Roman" w:hAnsi="Times New Roman" w:cs="Times New Roman"/>
          <w:sz w:val="24"/>
          <w:szCs w:val="24"/>
        </w:rPr>
        <w:t>4</w:t>
      </w:r>
      <w:r w:rsidR="003173FC">
        <w:rPr>
          <w:rFonts w:ascii="Times New Roman" w:hAnsi="Times New Roman" w:cs="Times New Roman"/>
          <w:sz w:val="24"/>
          <w:szCs w:val="24"/>
        </w:rPr>
        <w:t>565,8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4C037D" w:rsidRDefault="008E2A20" w:rsidP="004C03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(решение о бюджете) сумма</w:t>
            </w:r>
          </w:p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9578FC" w:rsidRPr="002C0229" w:rsidTr="007A0911">
        <w:trPr>
          <w:trHeight w:val="471"/>
        </w:trPr>
        <w:tc>
          <w:tcPr>
            <w:tcW w:w="1985" w:type="dxa"/>
            <w:shd w:val="clear" w:color="auto" w:fill="auto"/>
          </w:tcPr>
          <w:p w:rsidR="009578FC" w:rsidRPr="00B76DE9" w:rsidRDefault="009578FC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10715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6373,7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59,5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4596,1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72,1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4565,8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b/>
              </w:rPr>
            </w:pPr>
            <w:r w:rsidRPr="009578FC">
              <w:rPr>
                <w:rFonts w:ascii="Times New Roman" w:hAnsi="Times New Roman"/>
                <w:b/>
              </w:rPr>
              <w:t>99,3</w:t>
            </w:r>
          </w:p>
        </w:tc>
      </w:tr>
      <w:tr w:rsidR="009578FC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9578FC" w:rsidRPr="007C0ADF" w:rsidRDefault="009578FC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78FC">
              <w:rPr>
                <w:rFonts w:ascii="Times New Roman" w:hAnsi="Times New Roman"/>
              </w:rPr>
              <w:t> </w:t>
            </w:r>
          </w:p>
        </w:tc>
      </w:tr>
      <w:tr w:rsidR="009578FC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9578FC" w:rsidRPr="00B76DE9" w:rsidRDefault="009578FC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1055,8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1110,1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1169,3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124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1268,4</w:t>
            </w:r>
          </w:p>
        </w:tc>
        <w:tc>
          <w:tcPr>
            <w:tcW w:w="968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-108,5</w:t>
            </w:r>
          </w:p>
        </w:tc>
      </w:tr>
      <w:tr w:rsidR="009578FC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9578FC" w:rsidRPr="00B76DE9" w:rsidRDefault="009578FC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27,8</w:t>
            </w:r>
          </w:p>
        </w:tc>
        <w:tc>
          <w:tcPr>
            <w:tcW w:w="968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9578FC" w:rsidRPr="002C0229" w:rsidTr="008E2A20">
        <w:tc>
          <w:tcPr>
            <w:tcW w:w="1985" w:type="dxa"/>
            <w:shd w:val="clear" w:color="auto" w:fill="auto"/>
          </w:tcPr>
          <w:p w:rsidR="009578FC" w:rsidRPr="00B76DE9" w:rsidRDefault="009578FC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9659,2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5263,6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3426,8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24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3297,4</w:t>
            </w:r>
          </w:p>
        </w:tc>
        <w:tc>
          <w:tcPr>
            <w:tcW w:w="968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578FC">
              <w:rPr>
                <w:rFonts w:ascii="Times New Roman" w:hAnsi="Times New Roman"/>
                <w:sz w:val="20"/>
                <w:szCs w:val="20"/>
              </w:rPr>
              <w:t>-96,2</w:t>
            </w:r>
          </w:p>
        </w:tc>
      </w:tr>
      <w:tr w:rsidR="009578FC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9578FC" w:rsidRPr="00B76DE9" w:rsidRDefault="009578FC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82,6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74,6</w:t>
            </w:r>
          </w:p>
        </w:tc>
        <w:tc>
          <w:tcPr>
            <w:tcW w:w="1276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</w:rPr>
            </w:pPr>
            <w:r w:rsidRPr="009578FC">
              <w:rPr>
                <w:rFonts w:ascii="Times New Roman" w:hAnsi="Times New Roman"/>
              </w:rPr>
              <w:t>72,2</w:t>
            </w:r>
          </w:p>
        </w:tc>
        <w:tc>
          <w:tcPr>
            <w:tcW w:w="968" w:type="dxa"/>
            <w:shd w:val="clear" w:color="auto" w:fill="auto"/>
          </w:tcPr>
          <w:p w:rsidR="009578FC" w:rsidRPr="009578FC" w:rsidRDefault="009578FC" w:rsidP="009578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F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3173FC">
        <w:rPr>
          <w:rFonts w:ascii="Times New Roman" w:hAnsi="Times New Roman" w:cs="Times New Roman"/>
          <w:sz w:val="24"/>
          <w:szCs w:val="24"/>
        </w:rPr>
        <w:t xml:space="preserve">1110,1 </w:t>
      </w:r>
      <w:r w:rsidR="00FA3BCC">
        <w:rPr>
          <w:rFonts w:ascii="Times New Roman" w:hAnsi="Times New Roman" w:cs="Times New Roman"/>
          <w:sz w:val="24"/>
          <w:szCs w:val="24"/>
        </w:rPr>
        <w:t>т</w:t>
      </w:r>
      <w:r w:rsidRPr="003A70FD">
        <w:rPr>
          <w:rFonts w:ascii="Times New Roman" w:hAnsi="Times New Roman" w:cs="Times New Roman"/>
          <w:sz w:val="24"/>
          <w:szCs w:val="24"/>
        </w:rPr>
        <w:t>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54595">
        <w:rPr>
          <w:rFonts w:ascii="Times New Roman" w:hAnsi="Times New Roman" w:cs="Times New Roman"/>
          <w:sz w:val="24"/>
          <w:szCs w:val="24"/>
        </w:rPr>
        <w:t>1</w:t>
      </w:r>
      <w:r w:rsidR="00E9413F">
        <w:rPr>
          <w:rFonts w:ascii="Times New Roman" w:hAnsi="Times New Roman" w:cs="Times New Roman"/>
          <w:sz w:val="24"/>
          <w:szCs w:val="24"/>
        </w:rPr>
        <w:t>0</w:t>
      </w:r>
      <w:r w:rsidR="003173FC">
        <w:rPr>
          <w:rFonts w:ascii="Times New Roman" w:hAnsi="Times New Roman" w:cs="Times New Roman"/>
          <w:sz w:val="24"/>
          <w:szCs w:val="24"/>
        </w:rPr>
        <w:t>5,1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3173FC">
        <w:rPr>
          <w:rFonts w:ascii="Times New Roman" w:hAnsi="Times New Roman" w:cs="Times New Roman"/>
          <w:sz w:val="24"/>
          <w:szCs w:val="24"/>
        </w:rPr>
        <w:t>17,4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3173FC">
        <w:rPr>
          <w:rFonts w:ascii="Times New Roman" w:hAnsi="Times New Roman" w:cs="Times New Roman"/>
          <w:sz w:val="24"/>
          <w:szCs w:val="24"/>
        </w:rPr>
        <w:t>7,5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6929E9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E9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 w:rsidRPr="006929E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Pr="006929E9"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E9413F" w:rsidRPr="006929E9">
        <w:rPr>
          <w:rFonts w:ascii="Times New Roman" w:hAnsi="Times New Roman" w:cs="Times New Roman"/>
          <w:sz w:val="24"/>
          <w:szCs w:val="24"/>
        </w:rPr>
        <w:t xml:space="preserve"> </w:t>
      </w:r>
      <w:r w:rsidR="006929E9" w:rsidRPr="006929E9">
        <w:rPr>
          <w:rFonts w:ascii="Times New Roman" w:hAnsi="Times New Roman" w:cs="Times New Roman"/>
          <w:sz w:val="24"/>
          <w:szCs w:val="24"/>
        </w:rPr>
        <w:t>1169,3</w:t>
      </w:r>
      <w:r w:rsidR="003A70FD" w:rsidRPr="006929E9">
        <w:rPr>
          <w:rFonts w:ascii="Times New Roman" w:hAnsi="Times New Roman" w:cs="Times New Roman"/>
          <w:sz w:val="24"/>
          <w:szCs w:val="24"/>
        </w:rPr>
        <w:t>тыс. рублей</w:t>
      </w:r>
      <w:r w:rsidRPr="006929E9"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954595" w:rsidRPr="006929E9">
        <w:rPr>
          <w:rFonts w:ascii="Times New Roman" w:hAnsi="Times New Roman" w:cs="Times New Roman"/>
          <w:sz w:val="24"/>
          <w:szCs w:val="24"/>
        </w:rPr>
        <w:t>1</w:t>
      </w:r>
      <w:r w:rsidR="00E9413F" w:rsidRPr="006929E9">
        <w:rPr>
          <w:rFonts w:ascii="Times New Roman" w:hAnsi="Times New Roman" w:cs="Times New Roman"/>
          <w:sz w:val="24"/>
          <w:szCs w:val="24"/>
        </w:rPr>
        <w:t>2</w:t>
      </w:r>
      <w:r w:rsidR="006929E9" w:rsidRPr="006929E9">
        <w:rPr>
          <w:rFonts w:ascii="Times New Roman" w:hAnsi="Times New Roman" w:cs="Times New Roman"/>
          <w:sz w:val="24"/>
          <w:szCs w:val="24"/>
        </w:rPr>
        <w:t>68,4</w:t>
      </w:r>
      <w:r w:rsidR="00E9413F" w:rsidRPr="006929E9">
        <w:rPr>
          <w:rFonts w:ascii="Times New Roman" w:hAnsi="Times New Roman" w:cs="Times New Roman"/>
          <w:sz w:val="24"/>
          <w:szCs w:val="24"/>
        </w:rPr>
        <w:t xml:space="preserve"> </w:t>
      </w:r>
      <w:r w:rsidR="00A2030D" w:rsidRPr="006929E9">
        <w:rPr>
          <w:rFonts w:ascii="Times New Roman" w:hAnsi="Times New Roman" w:cs="Times New Roman"/>
          <w:sz w:val="24"/>
          <w:szCs w:val="24"/>
        </w:rPr>
        <w:t>т.</w:t>
      </w:r>
      <w:r w:rsidR="003A70FD" w:rsidRPr="006929E9">
        <w:rPr>
          <w:rFonts w:ascii="Times New Roman" w:hAnsi="Times New Roman" w:cs="Times New Roman"/>
          <w:sz w:val="24"/>
          <w:szCs w:val="24"/>
        </w:rPr>
        <w:t>рублей</w:t>
      </w:r>
      <w:r w:rsidR="004D42CF" w:rsidRPr="006929E9">
        <w:rPr>
          <w:rFonts w:ascii="Times New Roman" w:hAnsi="Times New Roman" w:cs="Times New Roman"/>
          <w:sz w:val="24"/>
          <w:szCs w:val="24"/>
        </w:rPr>
        <w:t xml:space="preserve"> </w:t>
      </w:r>
      <w:r w:rsidRPr="006929E9"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69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 w:rsidRP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 w:rsidRP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5263,6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11,4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426,8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297,4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888" w:type="dxa"/>
        <w:tblInd w:w="-34" w:type="dxa"/>
        <w:tblLayout w:type="fixed"/>
        <w:tblLook w:val="01E0"/>
      </w:tblPr>
      <w:tblGrid>
        <w:gridCol w:w="3544"/>
        <w:gridCol w:w="1276"/>
        <w:gridCol w:w="1134"/>
        <w:gridCol w:w="851"/>
        <w:gridCol w:w="992"/>
        <w:gridCol w:w="1134"/>
        <w:gridCol w:w="957"/>
      </w:tblGrid>
      <w:tr w:rsidR="0066250E" w:rsidRPr="00B20B85" w:rsidTr="003C275B">
        <w:trPr>
          <w:trHeight w:val="2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3C275B">
        <w:trPr>
          <w:trHeight w:val="2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Pr="00931F48" w:rsidRDefault="006929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1055,8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1110,1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1169,3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Pr="006929E9" w:rsidRDefault="006929E9" w:rsidP="006929E9">
            <w:pPr>
              <w:pStyle w:val="ac"/>
              <w:rPr>
                <w:b/>
              </w:rPr>
            </w:pPr>
            <w:r w:rsidRPr="006929E9">
              <w:rPr>
                <w:b/>
              </w:rPr>
              <w:t>1268,4</w:t>
            </w: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Default="006929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Pr="004D42CF" w:rsidRDefault="006929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860,1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909,3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998,4</w:t>
            </w: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Pr="004112C5" w:rsidRDefault="006929E9">
            <w:pPr>
              <w:jc w:val="both"/>
              <w:rPr>
                <w:color w:val="000000"/>
                <w:sz w:val="16"/>
                <w:szCs w:val="16"/>
              </w:rPr>
            </w:pPr>
            <w:r w:rsidRPr="004112C5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78,7</w:t>
            </w: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Default="006929E9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-24,4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sz w:val="24"/>
                <w:szCs w:val="24"/>
              </w:rPr>
            </w:pPr>
            <w:r>
              <w:t>270</w:t>
            </w:r>
          </w:p>
        </w:tc>
      </w:tr>
      <w:tr w:rsidR="006929E9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E9" w:rsidRPr="005F4F42" w:rsidRDefault="006929E9">
            <w:pPr>
              <w:jc w:val="both"/>
              <w:rPr>
                <w:color w:val="000000"/>
                <w:sz w:val="16"/>
                <w:szCs w:val="16"/>
              </w:rPr>
            </w:pPr>
            <w:r w:rsidRPr="005F4F42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9" w:rsidRDefault="006929E9" w:rsidP="006929E9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21,3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77,5</w:t>
      </w:r>
      <w:r w:rsidR="002F41E2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предшествующего года.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860,1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78,7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781,4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91,1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29E9">
        <w:rPr>
          <w:rFonts w:ascii="Times New Roman" w:eastAsia="Times New Roman" w:hAnsi="Times New Roman" w:cs="Times New Roman"/>
          <w:sz w:val="24"/>
          <w:szCs w:val="24"/>
          <w:lang w:eastAsia="ru-RU"/>
        </w:rPr>
        <w:t>274,4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4A4C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CC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соответственно</w:t>
      </w:r>
      <w:r w:rsidR="00C2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</w:t>
      </w:r>
      <w:proofErr w:type="spellEnd"/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2020 года на </w:t>
      </w:r>
      <w:r w:rsidR="00C26CC2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558"/>
        <w:gridCol w:w="1134"/>
        <w:gridCol w:w="992"/>
        <w:gridCol w:w="1276"/>
        <w:gridCol w:w="992"/>
        <w:gridCol w:w="851"/>
        <w:gridCol w:w="850"/>
      </w:tblGrid>
      <w:tr w:rsidR="001B66D2" w:rsidRPr="00AF4488" w:rsidTr="00AF4488">
        <w:trPr>
          <w:trHeight w:val="315"/>
        </w:trPr>
        <w:tc>
          <w:tcPr>
            <w:tcW w:w="3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AF4488" w:rsidRDefault="001B66D2" w:rsidP="00F346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48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</w:t>
            </w:r>
            <w:r w:rsidR="003C6EC6" w:rsidRPr="00AF4488">
              <w:rPr>
                <w:rFonts w:ascii="Times New Roman" w:hAnsi="Times New Roman"/>
                <w:lang w:eastAsia="ru-RU"/>
              </w:rPr>
              <w:t>твержден</w:t>
            </w:r>
            <w:r w:rsidRPr="00AF4488">
              <w:rPr>
                <w:rFonts w:ascii="Times New Roman" w:hAnsi="Times New Roman"/>
                <w:lang w:eastAsia="ru-RU"/>
              </w:rPr>
              <w:t>.</w:t>
            </w:r>
            <w:r w:rsidR="003C6EC6" w:rsidRPr="00AF4488">
              <w:rPr>
                <w:rFonts w:ascii="Times New Roman" w:hAnsi="Times New Roman"/>
                <w:lang w:eastAsia="ru-RU"/>
              </w:rPr>
              <w:t>бюджет</w:t>
            </w:r>
            <w:r w:rsidRPr="00AF4488">
              <w:rPr>
                <w:rFonts w:ascii="Times New Roman" w:hAnsi="Times New Roman"/>
                <w:lang w:eastAsia="ru-RU"/>
              </w:rPr>
              <w:t xml:space="preserve"> назначения 2020 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AF4488" w:rsidTr="00AF4488">
        <w:trPr>
          <w:trHeight w:val="525"/>
        </w:trPr>
        <w:tc>
          <w:tcPr>
            <w:tcW w:w="3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AF4488" w:rsidRDefault="00817F4C" w:rsidP="003E3615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AF4488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AF448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AF4488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AF448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0E19D5" w:rsidRPr="00AF4488" w:rsidTr="00AF4488">
        <w:trPr>
          <w:trHeight w:val="449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781,4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860,1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0E19D5">
              <w:rPr>
                <w:rFonts w:ascii="Times New Roman" w:hAnsi="Times New Roman"/>
                <w:b/>
              </w:rPr>
              <w:t>110,1</w:t>
            </w:r>
          </w:p>
        </w:tc>
      </w:tr>
      <w:tr w:rsidR="000E19D5" w:rsidRPr="00AF4488" w:rsidTr="00AF4488">
        <w:trPr>
          <w:trHeight w:val="23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48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 </w:t>
            </w:r>
          </w:p>
        </w:tc>
      </w:tr>
      <w:tr w:rsidR="000E19D5" w:rsidRPr="00AF4488" w:rsidTr="00AF4488">
        <w:trPr>
          <w:trHeight w:val="250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300,0</w:t>
            </w:r>
          </w:p>
        </w:tc>
      </w:tr>
      <w:tr w:rsidR="000E19D5" w:rsidRPr="00AF4488" w:rsidTr="00AF4488">
        <w:trPr>
          <w:trHeight w:val="368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111,7</w:t>
            </w:r>
          </w:p>
        </w:tc>
      </w:tr>
      <w:tr w:rsidR="000E19D5" w:rsidRPr="00AF4488" w:rsidTr="00AF4488">
        <w:trPr>
          <w:trHeight w:val="289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AF4488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AF4488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150,0</w:t>
            </w:r>
          </w:p>
        </w:tc>
      </w:tr>
      <w:tr w:rsidR="000E19D5" w:rsidRPr="00AF4488" w:rsidTr="00AF4488">
        <w:trPr>
          <w:trHeight w:val="382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AF4488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AF4488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125,0</w:t>
            </w:r>
          </w:p>
        </w:tc>
      </w:tr>
      <w:tr w:rsidR="000E19D5" w:rsidRPr="00AF4488" w:rsidTr="00AF4488">
        <w:trPr>
          <w:trHeight w:val="401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AF448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Земельный налог с 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AF4488">
              <w:rPr>
                <w:rFonts w:ascii="Times New Roman" w:hAnsi="Times New Roman"/>
                <w:b/>
                <w:lang w:eastAsia="ru-RU"/>
              </w:rPr>
              <w:t>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-66,3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13,1</w:t>
            </w:r>
          </w:p>
        </w:tc>
      </w:tr>
      <w:tr w:rsidR="000E19D5" w:rsidRPr="00AF4488" w:rsidTr="00AF4488">
        <w:trPr>
          <w:trHeight w:val="251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130,0</w:t>
            </w:r>
          </w:p>
        </w:tc>
      </w:tr>
      <w:tr w:rsidR="000E19D5" w:rsidRPr="00817F4C" w:rsidTr="00AF4488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AF4488" w:rsidRDefault="000E19D5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9D5" w:rsidRPr="000E19D5" w:rsidRDefault="000E19D5" w:rsidP="000E19D5">
            <w:pPr>
              <w:pStyle w:val="ac"/>
              <w:jc w:val="right"/>
              <w:rPr>
                <w:rFonts w:ascii="Times New Roman" w:hAnsi="Times New Roman"/>
              </w:rPr>
            </w:pPr>
            <w:r w:rsidRPr="000E19D5">
              <w:rPr>
                <w:rFonts w:ascii="Times New Roman" w:hAnsi="Times New Roman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C4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0E19D5">
        <w:rPr>
          <w:rFonts w:ascii="Times New Roman" w:hAnsi="Times New Roman" w:cs="Times New Roman"/>
          <w:sz w:val="24"/>
          <w:szCs w:val="24"/>
        </w:rPr>
        <w:t>с увеличением к утвержденной сумме 2020 года в 4,0 раза  и составит 12,0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</w:t>
      </w:r>
      <w:r w:rsidR="000E19D5">
        <w:rPr>
          <w:rFonts w:ascii="Times New Roman" w:hAnsi="Times New Roman" w:cs="Times New Roman"/>
          <w:sz w:val="24"/>
          <w:szCs w:val="24"/>
        </w:rPr>
        <w:t xml:space="preserve"> </w:t>
      </w:r>
      <w:r w:rsidR="007336DB">
        <w:rPr>
          <w:rFonts w:ascii="Times New Roman" w:hAnsi="Times New Roman" w:cs="Times New Roman"/>
          <w:sz w:val="24"/>
          <w:szCs w:val="24"/>
        </w:rPr>
        <w:t>Удельный вес налога составит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="000E19D5">
        <w:rPr>
          <w:rFonts w:ascii="Times New Roman" w:hAnsi="Times New Roman" w:cs="Times New Roman"/>
          <w:sz w:val="24"/>
          <w:szCs w:val="24"/>
        </w:rPr>
        <w:t>0,5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E19D5">
        <w:rPr>
          <w:rFonts w:ascii="Times New Roman" w:hAnsi="Times New Roman" w:cs="Times New Roman"/>
          <w:sz w:val="24"/>
          <w:szCs w:val="24"/>
        </w:rPr>
        <w:t>431,1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D5">
        <w:rPr>
          <w:rFonts w:ascii="Times New Roman" w:hAnsi="Times New Roman" w:cs="Times New Roman"/>
          <w:sz w:val="24"/>
          <w:szCs w:val="24"/>
        </w:rPr>
        <w:t>50,1</w:t>
      </w:r>
      <w:r w:rsidR="001E4615">
        <w:rPr>
          <w:rFonts w:ascii="Times New Roman" w:hAnsi="Times New Roman" w:cs="Times New Roman"/>
          <w:sz w:val="24"/>
          <w:szCs w:val="24"/>
        </w:rPr>
        <w:t>%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0E19D5">
        <w:rPr>
          <w:rFonts w:ascii="Times New Roman" w:hAnsi="Times New Roman" w:cs="Times New Roman"/>
          <w:sz w:val="24"/>
          <w:szCs w:val="24"/>
        </w:rPr>
        <w:t>386,1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0E19D5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0E19D5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5A55C4">
        <w:rPr>
          <w:rFonts w:ascii="Times New Roman" w:hAnsi="Times New Roman" w:cs="Times New Roman"/>
          <w:sz w:val="24"/>
          <w:szCs w:val="24"/>
        </w:rPr>
        <w:t>у</w:t>
      </w:r>
      <w:r w:rsidR="000E19D5">
        <w:rPr>
          <w:rFonts w:ascii="Times New Roman" w:hAnsi="Times New Roman" w:cs="Times New Roman"/>
          <w:sz w:val="24"/>
          <w:szCs w:val="24"/>
        </w:rPr>
        <w:t>величится</w:t>
      </w:r>
      <w:r w:rsidR="005A55C4">
        <w:rPr>
          <w:rFonts w:ascii="Times New Roman" w:hAnsi="Times New Roman" w:cs="Times New Roman"/>
          <w:sz w:val="24"/>
          <w:szCs w:val="24"/>
        </w:rPr>
        <w:t xml:space="preserve"> </w:t>
      </w:r>
      <w:r w:rsidR="00BF7372">
        <w:rPr>
          <w:rFonts w:ascii="Times New Roman" w:hAnsi="Times New Roman" w:cs="Times New Roman"/>
          <w:sz w:val="24"/>
          <w:szCs w:val="24"/>
        </w:rPr>
        <w:t xml:space="preserve">на 50,0% и </w:t>
      </w:r>
      <w:r w:rsidR="005A55C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BF7372">
        <w:rPr>
          <w:rFonts w:ascii="Times New Roman" w:hAnsi="Times New Roman" w:cs="Times New Roman"/>
          <w:sz w:val="24"/>
          <w:szCs w:val="24"/>
        </w:rPr>
        <w:t>6,0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F7372">
        <w:rPr>
          <w:rFonts w:ascii="Times New Roman" w:hAnsi="Times New Roman" w:cs="Times New Roman"/>
          <w:sz w:val="24"/>
          <w:szCs w:val="24"/>
        </w:rPr>
        <w:t>0,7</w:t>
      </w:r>
      <w:r w:rsidR="00475F17">
        <w:rPr>
          <w:rFonts w:ascii="Times New Roman" w:hAnsi="Times New Roman" w:cs="Times New Roman"/>
          <w:sz w:val="24"/>
          <w:szCs w:val="24"/>
        </w:rPr>
        <w:t xml:space="preserve">%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1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D7213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D7213">
        <w:rPr>
          <w:rFonts w:ascii="Times New Roman" w:hAnsi="Times New Roman" w:cs="Times New Roman"/>
          <w:b/>
          <w:sz w:val="24"/>
          <w:szCs w:val="24"/>
        </w:rPr>
        <w:t>алог</w:t>
      </w:r>
      <w:r w:rsidRPr="00FD7213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FD7213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FD7213" w:rsidRPr="00FD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62" w:rsidRPr="00FD7213">
        <w:rPr>
          <w:rFonts w:ascii="Times New Roman" w:hAnsi="Times New Roman" w:cs="Times New Roman"/>
          <w:sz w:val="24"/>
          <w:szCs w:val="24"/>
        </w:rPr>
        <w:t xml:space="preserve">  на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7372">
        <w:rPr>
          <w:rFonts w:ascii="Times New Roman" w:hAnsi="Times New Roman" w:cs="Times New Roman"/>
          <w:sz w:val="24"/>
          <w:szCs w:val="24"/>
        </w:rPr>
        <w:t>7</w:t>
      </w:r>
      <w:r w:rsidR="005A55C4">
        <w:rPr>
          <w:rFonts w:ascii="Times New Roman" w:hAnsi="Times New Roman" w:cs="Times New Roman"/>
          <w:sz w:val="24"/>
          <w:szCs w:val="24"/>
        </w:rPr>
        <w:t>5,0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75F17">
        <w:rPr>
          <w:rFonts w:ascii="Times New Roman" w:hAnsi="Times New Roman" w:cs="Times New Roman"/>
          <w:sz w:val="24"/>
          <w:szCs w:val="24"/>
        </w:rPr>
        <w:t xml:space="preserve">с ростом на </w:t>
      </w:r>
      <w:r w:rsidR="005A55C4">
        <w:rPr>
          <w:rFonts w:ascii="Times New Roman" w:hAnsi="Times New Roman" w:cs="Times New Roman"/>
          <w:sz w:val="24"/>
          <w:szCs w:val="24"/>
        </w:rPr>
        <w:t>1</w:t>
      </w:r>
      <w:r w:rsidR="00BF7372">
        <w:rPr>
          <w:rFonts w:ascii="Times New Roman" w:hAnsi="Times New Roman" w:cs="Times New Roman"/>
          <w:sz w:val="24"/>
          <w:szCs w:val="24"/>
        </w:rPr>
        <w:t>5</w:t>
      </w:r>
      <w:r w:rsidR="005A55C4">
        <w:rPr>
          <w:rFonts w:ascii="Times New Roman" w:hAnsi="Times New Roman" w:cs="Times New Roman"/>
          <w:sz w:val="24"/>
          <w:szCs w:val="24"/>
        </w:rPr>
        <w:t>,0</w:t>
      </w:r>
      <w:r w:rsidR="00475F1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BF7372">
        <w:rPr>
          <w:rFonts w:ascii="Times New Roman" w:hAnsi="Times New Roman" w:cs="Times New Roman"/>
          <w:sz w:val="24"/>
          <w:szCs w:val="24"/>
        </w:rPr>
        <w:t>8,7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год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46131D">
        <w:rPr>
          <w:rFonts w:ascii="Times New Roman" w:hAnsi="Times New Roman" w:cs="Times New Roman"/>
          <w:sz w:val="24"/>
          <w:szCs w:val="24"/>
        </w:rPr>
        <w:t>а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BF7372">
        <w:rPr>
          <w:rFonts w:ascii="Times New Roman" w:hAnsi="Times New Roman" w:cs="Times New Roman"/>
          <w:sz w:val="24"/>
          <w:szCs w:val="24"/>
        </w:rPr>
        <w:t xml:space="preserve">со снижением к уровню 2020 года  в 7,6 раз в </w:t>
      </w:r>
      <w:r w:rsidR="001E461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BF7372">
        <w:rPr>
          <w:rFonts w:ascii="Times New Roman" w:hAnsi="Times New Roman" w:cs="Times New Roman"/>
          <w:sz w:val="24"/>
          <w:szCs w:val="24"/>
        </w:rPr>
        <w:t>10,0</w:t>
      </w:r>
      <w:r w:rsidR="0046131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BF7372">
        <w:rPr>
          <w:rFonts w:ascii="Times New Roman" w:hAnsi="Times New Roman" w:cs="Times New Roman"/>
          <w:sz w:val="24"/>
          <w:szCs w:val="24"/>
        </w:rPr>
        <w:t>1,2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7372">
        <w:rPr>
          <w:rFonts w:ascii="Times New Roman" w:hAnsi="Times New Roman" w:cs="Times New Roman"/>
          <w:sz w:val="24"/>
          <w:szCs w:val="24"/>
        </w:rPr>
        <w:t xml:space="preserve">325,0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CF64A0">
        <w:rPr>
          <w:rFonts w:ascii="Times New Roman" w:hAnsi="Times New Roman" w:cs="Times New Roman"/>
          <w:sz w:val="24"/>
          <w:szCs w:val="24"/>
        </w:rPr>
        <w:t xml:space="preserve">, что составит  </w:t>
      </w:r>
      <w:r w:rsidR="005A55C4">
        <w:rPr>
          <w:rFonts w:ascii="Times New Roman" w:hAnsi="Times New Roman" w:cs="Times New Roman"/>
          <w:sz w:val="24"/>
          <w:szCs w:val="24"/>
        </w:rPr>
        <w:t>3</w:t>
      </w:r>
      <w:r w:rsidR="00BF7372">
        <w:rPr>
          <w:rFonts w:ascii="Times New Roman" w:hAnsi="Times New Roman" w:cs="Times New Roman"/>
          <w:sz w:val="24"/>
          <w:szCs w:val="24"/>
        </w:rPr>
        <w:t>7,8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</w:t>
      </w:r>
      <w:r w:rsidR="00BF737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5A55C4">
        <w:rPr>
          <w:rFonts w:ascii="Times New Roman" w:hAnsi="Times New Roman" w:cs="Times New Roman"/>
          <w:sz w:val="24"/>
          <w:szCs w:val="24"/>
        </w:rPr>
        <w:t xml:space="preserve"> </w:t>
      </w:r>
      <w:r w:rsidR="00CF64A0">
        <w:rPr>
          <w:rFonts w:ascii="Times New Roman" w:hAnsi="Times New Roman" w:cs="Times New Roman"/>
          <w:sz w:val="24"/>
          <w:szCs w:val="24"/>
        </w:rPr>
        <w:t xml:space="preserve"> к  запланированной сумме  2020 года( </w:t>
      </w:r>
      <w:r w:rsidR="00BF7372">
        <w:rPr>
          <w:rFonts w:ascii="Times New Roman" w:hAnsi="Times New Roman" w:cs="Times New Roman"/>
          <w:sz w:val="24"/>
          <w:szCs w:val="24"/>
        </w:rPr>
        <w:t>250,0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BF7372">
        <w:rPr>
          <w:rFonts w:ascii="Times New Roman" w:hAnsi="Times New Roman" w:cs="Times New Roman"/>
          <w:sz w:val="24"/>
          <w:szCs w:val="24"/>
        </w:rPr>
        <w:t>75,0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 xml:space="preserve">, или </w:t>
      </w:r>
      <w:r w:rsidR="00BF7372">
        <w:rPr>
          <w:rFonts w:ascii="Times New Roman" w:hAnsi="Times New Roman" w:cs="Times New Roman"/>
          <w:sz w:val="24"/>
          <w:szCs w:val="24"/>
        </w:rPr>
        <w:t xml:space="preserve">30,0 </w:t>
      </w:r>
      <w:r w:rsidR="00CF64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BF7372">
        <w:rPr>
          <w:rFonts w:ascii="Times New Roman" w:hAnsi="Times New Roman" w:cs="Times New Roman"/>
          <w:sz w:val="24"/>
          <w:szCs w:val="24"/>
        </w:rPr>
        <w:t xml:space="preserve">в сумме  1,00 тыс.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5A55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24,4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270,0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F7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372" w:rsidRDefault="00BF3190" w:rsidP="00BF737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неналоговых доходов в доходах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21,4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21,2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19,9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7372" w:rsidRDefault="00BF3190" w:rsidP="00BF737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5263,6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BF737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3426,8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65,1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297,4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proofErr w:type="spellStart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82,6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72,2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F5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DC4E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</w:t>
      </w:r>
      <w:r w:rsidR="00DC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4929,7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43,6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6373,7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4596,1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, на 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сумме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5D61">
        <w:rPr>
          <w:rFonts w:ascii="Times New Roman" w:eastAsia="Times New Roman" w:hAnsi="Times New Roman" w:cs="Times New Roman"/>
          <w:sz w:val="24"/>
          <w:szCs w:val="24"/>
          <w:lang w:eastAsia="ru-RU"/>
        </w:rPr>
        <w:t>565,8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71096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61" w:rsidRDefault="009D5D61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E50A63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FF4B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</w:tr>
      <w:tr w:rsidR="009D5D61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5D61">
              <w:rPr>
                <w:rFonts w:ascii="Times New Roman" w:hAnsi="Times New Roman"/>
                <w:b/>
              </w:rPr>
              <w:t>11303,4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5D61">
              <w:rPr>
                <w:rFonts w:ascii="Times New Roman" w:hAnsi="Times New Roman"/>
                <w:b/>
              </w:rPr>
              <w:t>6373,7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D6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5D61">
              <w:rPr>
                <w:rFonts w:ascii="Times New Roman" w:hAnsi="Times New Roman"/>
                <w:b/>
              </w:rPr>
              <w:t>4596,1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D6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5D61">
              <w:rPr>
                <w:rFonts w:ascii="Times New Roman" w:hAnsi="Times New Roman"/>
                <w:b/>
              </w:rPr>
              <w:t>4565,8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D6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5D61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56,4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72,1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1435,2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1594,7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1594,7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9D5D6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111,1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105,7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9D5D61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5D61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2009,3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1888,7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1582,7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1515,9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</w:tr>
      <w:tr w:rsidR="009D5D61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94,0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83,8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5030,2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1790,9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9D5D6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35,6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2726,4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995,8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995,8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9D5D61" w:rsidRPr="00D33265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36,5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5D6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D5D61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92,1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D61">
              <w:rPr>
                <w:rFonts w:ascii="Times New Roman" w:hAnsi="Times New Roman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D6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9D5D6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7E12BB" w:rsidRDefault="009D5D6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DC4EB1" w:rsidRDefault="009D5D6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D5D61">
              <w:rPr>
                <w:rFonts w:ascii="Times New Roman" w:hAnsi="Times New Roman"/>
                <w:i/>
                <w:iCs/>
                <w:sz w:val="18"/>
                <w:szCs w:val="18"/>
              </w:rPr>
              <w:t>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D61" w:rsidRPr="009D5D61" w:rsidRDefault="009D5D61" w:rsidP="009D5D61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5D61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5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«Общегосударственные расходы»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 на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594,7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594,7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70344">
        <w:rPr>
          <w:rFonts w:ascii="Times New Roman" w:eastAsia="Calibri" w:hAnsi="Times New Roman" w:cs="Times New Roman"/>
          <w:sz w:val="24"/>
          <w:szCs w:val="24"/>
        </w:rPr>
        <w:t xml:space="preserve"> г. планируется  </w:t>
      </w:r>
      <w:r w:rsidR="00E50A63">
        <w:rPr>
          <w:rFonts w:ascii="Times New Roman" w:eastAsia="Calibri" w:hAnsi="Times New Roman" w:cs="Times New Roman"/>
          <w:sz w:val="24"/>
          <w:szCs w:val="24"/>
        </w:rPr>
        <w:t>1216,6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70344">
        <w:rPr>
          <w:rFonts w:ascii="Times New Roman" w:hAnsi="Times New Roman" w:cs="Times New Roman"/>
          <w:sz w:val="24"/>
          <w:szCs w:val="24"/>
        </w:rPr>
        <w:t>, на 2022 и 2023  годы -</w:t>
      </w:r>
      <w:r w:rsidR="00E50A6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70344">
        <w:rPr>
          <w:rFonts w:ascii="Times New Roman" w:hAnsi="Times New Roman" w:cs="Times New Roman"/>
          <w:sz w:val="24"/>
          <w:szCs w:val="24"/>
        </w:rPr>
        <w:t xml:space="preserve"> по 1</w:t>
      </w:r>
      <w:r w:rsidR="00E50A63">
        <w:rPr>
          <w:rFonts w:ascii="Times New Roman" w:hAnsi="Times New Roman" w:cs="Times New Roman"/>
          <w:sz w:val="24"/>
          <w:szCs w:val="24"/>
        </w:rPr>
        <w:t>216,6</w:t>
      </w:r>
      <w:r w:rsidR="009703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703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0344">
        <w:rPr>
          <w:rFonts w:ascii="Times New Roman" w:hAnsi="Times New Roman" w:cs="Times New Roman"/>
          <w:sz w:val="24"/>
          <w:szCs w:val="24"/>
        </w:rPr>
        <w:t xml:space="preserve"> 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E50A63">
        <w:rPr>
          <w:rFonts w:ascii="Times New Roman" w:eastAsia="Calibri" w:hAnsi="Times New Roman" w:cs="Times New Roman"/>
          <w:sz w:val="24"/>
          <w:szCs w:val="24"/>
        </w:rPr>
        <w:t>30,0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E50A63">
        <w:rPr>
          <w:rFonts w:ascii="Times New Roman" w:eastAsia="Calibri" w:hAnsi="Times New Roman" w:cs="Times New Roman"/>
          <w:sz w:val="24"/>
          <w:szCs w:val="24"/>
        </w:rPr>
        <w:t>344,6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50A63">
        <w:rPr>
          <w:rFonts w:ascii="Times New Roman" w:eastAsia="Calibri" w:hAnsi="Times New Roman" w:cs="Times New Roman"/>
          <w:sz w:val="24"/>
          <w:szCs w:val="24"/>
        </w:rPr>
        <w:t>3,5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605C6">
        <w:rPr>
          <w:rFonts w:ascii="Times New Roman" w:hAnsi="Times New Roman" w:cs="Times New Roman"/>
          <w:sz w:val="24"/>
          <w:szCs w:val="24"/>
        </w:rPr>
        <w:t>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2021 году), на 2023 год –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110,6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93" w:rsidRPr="000924A0" w:rsidRDefault="00702293" w:rsidP="007022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 в рамках муниципальной программы "</w:t>
      </w:r>
      <w:r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888,7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2009,3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582,7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83,8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2021 году), на 2023 год –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515,9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95,8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702293" w:rsidRPr="00F11F4A" w:rsidRDefault="00702293" w:rsidP="0070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2021 год составит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2022 год –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2023 год –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33,2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02293" w:rsidRDefault="00BF3190" w:rsidP="0070229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0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293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1790,9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35,6 % к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параметру 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E5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Планируемая сумма расходов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и 2023 годы составляет ежегодно по 225,0 тыс. руб.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293" w:rsidRPr="00F11F4A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" и " Формирование современной городской среды".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2021 года составит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28,1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70229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редусмотрены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921CD3">
        <w:rPr>
          <w:rFonts w:ascii="Times New Roman" w:hAnsi="Times New Roman" w:cs="Times New Roman"/>
          <w:sz w:val="24"/>
          <w:szCs w:val="24"/>
        </w:rPr>
        <w:t xml:space="preserve"> 995,8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921CD3">
        <w:rPr>
          <w:rFonts w:ascii="Times New Roman" w:hAnsi="Times New Roman" w:cs="Times New Roman"/>
          <w:sz w:val="24"/>
          <w:szCs w:val="24"/>
        </w:rPr>
        <w:t>2726,4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921CD3">
        <w:rPr>
          <w:rFonts w:ascii="Times New Roman" w:hAnsi="Times New Roman" w:cs="Times New Roman"/>
          <w:sz w:val="24"/>
          <w:szCs w:val="24"/>
        </w:rPr>
        <w:t>о снижением в 3 раза.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 202</w:t>
      </w:r>
      <w:r w:rsidR="009E2505">
        <w:rPr>
          <w:rFonts w:ascii="Times New Roman" w:hAnsi="Times New Roman" w:cs="Times New Roman"/>
          <w:sz w:val="24"/>
          <w:szCs w:val="24"/>
        </w:rPr>
        <w:t>2</w:t>
      </w:r>
      <w:r w:rsidR="00E23F34">
        <w:rPr>
          <w:rFonts w:ascii="Times New Roman" w:hAnsi="Times New Roman" w:cs="Times New Roman"/>
          <w:sz w:val="24"/>
          <w:szCs w:val="24"/>
        </w:rPr>
        <w:t xml:space="preserve"> год </w:t>
      </w:r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 w:rsidR="00E23F3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21CD3">
        <w:rPr>
          <w:rFonts w:ascii="Times New Roman" w:hAnsi="Times New Roman" w:cs="Times New Roman"/>
          <w:sz w:val="24"/>
          <w:szCs w:val="24"/>
        </w:rPr>
        <w:t>995,8</w:t>
      </w:r>
      <w:r w:rsidR="00E23F3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E23F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23F34">
        <w:rPr>
          <w:rFonts w:ascii="Times New Roman" w:hAnsi="Times New Roman" w:cs="Times New Roman"/>
          <w:sz w:val="24"/>
          <w:szCs w:val="24"/>
        </w:rPr>
        <w:t xml:space="preserve">, на </w:t>
      </w:r>
      <w:r w:rsidR="003D705E">
        <w:rPr>
          <w:rFonts w:ascii="Times New Roman" w:hAnsi="Times New Roman" w:cs="Times New Roman"/>
          <w:sz w:val="24"/>
          <w:szCs w:val="24"/>
        </w:rPr>
        <w:t>2023 год</w:t>
      </w:r>
      <w:r w:rsidR="00E23F34">
        <w:rPr>
          <w:rFonts w:ascii="Times New Roman" w:hAnsi="Times New Roman" w:cs="Times New Roman"/>
          <w:sz w:val="24"/>
          <w:szCs w:val="24"/>
        </w:rPr>
        <w:t xml:space="preserve"> - </w:t>
      </w:r>
      <w:r w:rsidR="00921CD3">
        <w:rPr>
          <w:rFonts w:ascii="Times New Roman" w:hAnsi="Times New Roman" w:cs="Times New Roman"/>
          <w:sz w:val="24"/>
          <w:szCs w:val="24"/>
        </w:rPr>
        <w:t>937,0</w:t>
      </w:r>
      <w:r w:rsidR="00E23F3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21CD3">
        <w:rPr>
          <w:rFonts w:ascii="Times New Roman" w:hAnsi="Times New Roman" w:cs="Times New Roman"/>
          <w:sz w:val="24"/>
          <w:szCs w:val="24"/>
        </w:rPr>
        <w:t>15,6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92,1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182,6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F5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6373,7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4596,1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4565,8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3709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6373,7 </w:t>
      </w:r>
      <w:r w:rsidR="00921CD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 4596,1 тыс. рублей, на 2023 год – 4565,8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92,2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21CD3">
        <w:rPr>
          <w:rFonts w:ascii="Times New Roman" w:eastAsia="Times New Roman" w:hAnsi="Times New Roman" w:cs="Times New Roman"/>
          <w:sz w:val="24"/>
          <w:szCs w:val="24"/>
          <w:lang w:eastAsia="ru-RU"/>
        </w:rPr>
        <w:t>182,6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Ширтанского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24.11.2020</w:t>
      </w: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767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98" w:rsidRDefault="00C30B98" w:rsidP="00B1668B">
      <w:pPr>
        <w:spacing w:after="0" w:line="240" w:lineRule="auto"/>
      </w:pPr>
      <w:r>
        <w:separator/>
      </w:r>
    </w:p>
  </w:endnote>
  <w:endnote w:type="continuationSeparator" w:id="0">
    <w:p w:rsidR="00C30B98" w:rsidRDefault="00C30B98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98" w:rsidRDefault="00C30B98" w:rsidP="00B1668B">
      <w:pPr>
        <w:spacing w:after="0" w:line="240" w:lineRule="auto"/>
      </w:pPr>
      <w:r>
        <w:separator/>
      </w:r>
    </w:p>
  </w:footnote>
  <w:footnote w:type="continuationSeparator" w:id="0">
    <w:p w:rsidR="00C30B98" w:rsidRDefault="00C30B98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0BFF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6380F"/>
    <w:rsid w:val="00070853"/>
    <w:rsid w:val="00070C59"/>
    <w:rsid w:val="00076064"/>
    <w:rsid w:val="000803AE"/>
    <w:rsid w:val="00082CC8"/>
    <w:rsid w:val="00083983"/>
    <w:rsid w:val="000924A0"/>
    <w:rsid w:val="000927F2"/>
    <w:rsid w:val="00093D75"/>
    <w:rsid w:val="000B2F84"/>
    <w:rsid w:val="000C1F1C"/>
    <w:rsid w:val="000C4EEB"/>
    <w:rsid w:val="000C773C"/>
    <w:rsid w:val="000D6F88"/>
    <w:rsid w:val="000E19D5"/>
    <w:rsid w:val="000E201D"/>
    <w:rsid w:val="000E4AF7"/>
    <w:rsid w:val="00104BC5"/>
    <w:rsid w:val="00105FFD"/>
    <w:rsid w:val="001124C9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0C7A"/>
    <w:rsid w:val="00194A9E"/>
    <w:rsid w:val="001A0E23"/>
    <w:rsid w:val="001A2095"/>
    <w:rsid w:val="001B66D2"/>
    <w:rsid w:val="001D05CC"/>
    <w:rsid w:val="001E4615"/>
    <w:rsid w:val="00200405"/>
    <w:rsid w:val="00204BDB"/>
    <w:rsid w:val="00223448"/>
    <w:rsid w:val="002246E8"/>
    <w:rsid w:val="0023175C"/>
    <w:rsid w:val="00242130"/>
    <w:rsid w:val="00253CC4"/>
    <w:rsid w:val="00264233"/>
    <w:rsid w:val="00264EEE"/>
    <w:rsid w:val="002654BF"/>
    <w:rsid w:val="00271096"/>
    <w:rsid w:val="00274939"/>
    <w:rsid w:val="002841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41E2"/>
    <w:rsid w:val="002F6DC9"/>
    <w:rsid w:val="002F7421"/>
    <w:rsid w:val="00301699"/>
    <w:rsid w:val="00305867"/>
    <w:rsid w:val="0031438A"/>
    <w:rsid w:val="003173FC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57921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75B"/>
    <w:rsid w:val="003C29F6"/>
    <w:rsid w:val="003C2E26"/>
    <w:rsid w:val="003C5F85"/>
    <w:rsid w:val="003C6EC6"/>
    <w:rsid w:val="003D6647"/>
    <w:rsid w:val="003D705E"/>
    <w:rsid w:val="003E3615"/>
    <w:rsid w:val="003E3B2D"/>
    <w:rsid w:val="003F0895"/>
    <w:rsid w:val="004008CC"/>
    <w:rsid w:val="0040561B"/>
    <w:rsid w:val="004112C5"/>
    <w:rsid w:val="00416004"/>
    <w:rsid w:val="004219FB"/>
    <w:rsid w:val="00422E59"/>
    <w:rsid w:val="00426DA9"/>
    <w:rsid w:val="00427294"/>
    <w:rsid w:val="00431153"/>
    <w:rsid w:val="00437C69"/>
    <w:rsid w:val="00441CAB"/>
    <w:rsid w:val="004527FD"/>
    <w:rsid w:val="00460203"/>
    <w:rsid w:val="0046131D"/>
    <w:rsid w:val="00467B69"/>
    <w:rsid w:val="00475F17"/>
    <w:rsid w:val="004767A0"/>
    <w:rsid w:val="00483522"/>
    <w:rsid w:val="00484C36"/>
    <w:rsid w:val="00497C3A"/>
    <w:rsid w:val="004A4C6E"/>
    <w:rsid w:val="004B13AD"/>
    <w:rsid w:val="004B6BAB"/>
    <w:rsid w:val="004C037D"/>
    <w:rsid w:val="004C39AC"/>
    <w:rsid w:val="004D26BF"/>
    <w:rsid w:val="004D42CF"/>
    <w:rsid w:val="004E0DDC"/>
    <w:rsid w:val="004E369C"/>
    <w:rsid w:val="004E5AAC"/>
    <w:rsid w:val="004E5E15"/>
    <w:rsid w:val="004E7214"/>
    <w:rsid w:val="004F4F3F"/>
    <w:rsid w:val="0050054B"/>
    <w:rsid w:val="0050100A"/>
    <w:rsid w:val="00511C71"/>
    <w:rsid w:val="00515ACA"/>
    <w:rsid w:val="00516353"/>
    <w:rsid w:val="00527566"/>
    <w:rsid w:val="0053472B"/>
    <w:rsid w:val="00537095"/>
    <w:rsid w:val="00540DA7"/>
    <w:rsid w:val="00541875"/>
    <w:rsid w:val="005616B8"/>
    <w:rsid w:val="00561F32"/>
    <w:rsid w:val="00564C6F"/>
    <w:rsid w:val="0056518B"/>
    <w:rsid w:val="0056759C"/>
    <w:rsid w:val="005706E6"/>
    <w:rsid w:val="00574AF1"/>
    <w:rsid w:val="0057598C"/>
    <w:rsid w:val="00581EFB"/>
    <w:rsid w:val="005A25BE"/>
    <w:rsid w:val="005A55C4"/>
    <w:rsid w:val="005A6013"/>
    <w:rsid w:val="005A702E"/>
    <w:rsid w:val="005B47AF"/>
    <w:rsid w:val="005C08DF"/>
    <w:rsid w:val="005C23E6"/>
    <w:rsid w:val="005C3245"/>
    <w:rsid w:val="005C6270"/>
    <w:rsid w:val="005D2674"/>
    <w:rsid w:val="005E1E5C"/>
    <w:rsid w:val="005E39AC"/>
    <w:rsid w:val="005F4F42"/>
    <w:rsid w:val="00611401"/>
    <w:rsid w:val="00615956"/>
    <w:rsid w:val="00616BEA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712C"/>
    <w:rsid w:val="0066250E"/>
    <w:rsid w:val="0066359D"/>
    <w:rsid w:val="00666B58"/>
    <w:rsid w:val="0067048B"/>
    <w:rsid w:val="00675EB4"/>
    <w:rsid w:val="00681006"/>
    <w:rsid w:val="00691CFC"/>
    <w:rsid w:val="006929E9"/>
    <w:rsid w:val="00692FE0"/>
    <w:rsid w:val="006A6478"/>
    <w:rsid w:val="006C0A64"/>
    <w:rsid w:val="006C1974"/>
    <w:rsid w:val="006C3B48"/>
    <w:rsid w:val="006D21E0"/>
    <w:rsid w:val="006E100B"/>
    <w:rsid w:val="006E2AA9"/>
    <w:rsid w:val="006E2AFA"/>
    <w:rsid w:val="00702293"/>
    <w:rsid w:val="007046A9"/>
    <w:rsid w:val="00710704"/>
    <w:rsid w:val="00711386"/>
    <w:rsid w:val="007139F1"/>
    <w:rsid w:val="007150BE"/>
    <w:rsid w:val="0072039F"/>
    <w:rsid w:val="0072217C"/>
    <w:rsid w:val="00722BB5"/>
    <w:rsid w:val="0072769D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94F9B"/>
    <w:rsid w:val="007A0911"/>
    <w:rsid w:val="007A14C0"/>
    <w:rsid w:val="007A25F0"/>
    <w:rsid w:val="007A40C5"/>
    <w:rsid w:val="007A472A"/>
    <w:rsid w:val="007B15C1"/>
    <w:rsid w:val="007B377A"/>
    <w:rsid w:val="007B6950"/>
    <w:rsid w:val="007B6FDC"/>
    <w:rsid w:val="007C0ADF"/>
    <w:rsid w:val="007C12EA"/>
    <w:rsid w:val="007C231C"/>
    <w:rsid w:val="007C6219"/>
    <w:rsid w:val="007D18B1"/>
    <w:rsid w:val="007D45BD"/>
    <w:rsid w:val="007E12BB"/>
    <w:rsid w:val="007E4C78"/>
    <w:rsid w:val="007E5A2D"/>
    <w:rsid w:val="00801008"/>
    <w:rsid w:val="008073F4"/>
    <w:rsid w:val="0081000B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05C6"/>
    <w:rsid w:val="00865A7D"/>
    <w:rsid w:val="00866E6F"/>
    <w:rsid w:val="00870077"/>
    <w:rsid w:val="00870D48"/>
    <w:rsid w:val="0088098D"/>
    <w:rsid w:val="00883BFE"/>
    <w:rsid w:val="008943FC"/>
    <w:rsid w:val="008967AF"/>
    <w:rsid w:val="008A77E8"/>
    <w:rsid w:val="008B07F6"/>
    <w:rsid w:val="008B68CD"/>
    <w:rsid w:val="008B7DB3"/>
    <w:rsid w:val="008E2A20"/>
    <w:rsid w:val="008E4478"/>
    <w:rsid w:val="008E7A75"/>
    <w:rsid w:val="0090775D"/>
    <w:rsid w:val="00921CD3"/>
    <w:rsid w:val="00923EB8"/>
    <w:rsid w:val="00924B34"/>
    <w:rsid w:val="00927254"/>
    <w:rsid w:val="00931E42"/>
    <w:rsid w:val="00931F48"/>
    <w:rsid w:val="00942B4C"/>
    <w:rsid w:val="00942C95"/>
    <w:rsid w:val="00943D59"/>
    <w:rsid w:val="00943DBA"/>
    <w:rsid w:val="00951B74"/>
    <w:rsid w:val="00951D39"/>
    <w:rsid w:val="00954595"/>
    <w:rsid w:val="009578FC"/>
    <w:rsid w:val="00960813"/>
    <w:rsid w:val="009618D3"/>
    <w:rsid w:val="009641EC"/>
    <w:rsid w:val="0096786B"/>
    <w:rsid w:val="00970344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D5D61"/>
    <w:rsid w:val="009E2505"/>
    <w:rsid w:val="009F3D78"/>
    <w:rsid w:val="009F632B"/>
    <w:rsid w:val="00A03BE3"/>
    <w:rsid w:val="00A057DF"/>
    <w:rsid w:val="00A175B4"/>
    <w:rsid w:val="00A2030D"/>
    <w:rsid w:val="00A21A82"/>
    <w:rsid w:val="00A2545E"/>
    <w:rsid w:val="00A371F2"/>
    <w:rsid w:val="00A37E9F"/>
    <w:rsid w:val="00A45157"/>
    <w:rsid w:val="00A56410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4488"/>
    <w:rsid w:val="00AF6677"/>
    <w:rsid w:val="00B00383"/>
    <w:rsid w:val="00B01C52"/>
    <w:rsid w:val="00B06073"/>
    <w:rsid w:val="00B0689B"/>
    <w:rsid w:val="00B07C1F"/>
    <w:rsid w:val="00B15FB5"/>
    <w:rsid w:val="00B1668B"/>
    <w:rsid w:val="00B20017"/>
    <w:rsid w:val="00B232A5"/>
    <w:rsid w:val="00B232C0"/>
    <w:rsid w:val="00B353D7"/>
    <w:rsid w:val="00B357C3"/>
    <w:rsid w:val="00B40153"/>
    <w:rsid w:val="00B41A3E"/>
    <w:rsid w:val="00B43D19"/>
    <w:rsid w:val="00B560C4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BF45C9"/>
    <w:rsid w:val="00BF7372"/>
    <w:rsid w:val="00C1442C"/>
    <w:rsid w:val="00C20DC6"/>
    <w:rsid w:val="00C21EA4"/>
    <w:rsid w:val="00C22157"/>
    <w:rsid w:val="00C26CC2"/>
    <w:rsid w:val="00C30B98"/>
    <w:rsid w:val="00C474FB"/>
    <w:rsid w:val="00C543B0"/>
    <w:rsid w:val="00C54D94"/>
    <w:rsid w:val="00C56C50"/>
    <w:rsid w:val="00C641CF"/>
    <w:rsid w:val="00C67806"/>
    <w:rsid w:val="00C72587"/>
    <w:rsid w:val="00C80A3B"/>
    <w:rsid w:val="00C822B0"/>
    <w:rsid w:val="00C94B26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436E"/>
    <w:rsid w:val="00D15021"/>
    <w:rsid w:val="00D170C1"/>
    <w:rsid w:val="00D174B9"/>
    <w:rsid w:val="00D2127C"/>
    <w:rsid w:val="00D27D95"/>
    <w:rsid w:val="00D33265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A730C"/>
    <w:rsid w:val="00DC41CB"/>
    <w:rsid w:val="00DC4EB1"/>
    <w:rsid w:val="00DD3C67"/>
    <w:rsid w:val="00DE14CC"/>
    <w:rsid w:val="00DF75F0"/>
    <w:rsid w:val="00E00749"/>
    <w:rsid w:val="00E02E32"/>
    <w:rsid w:val="00E0393A"/>
    <w:rsid w:val="00E07A83"/>
    <w:rsid w:val="00E10833"/>
    <w:rsid w:val="00E13A6A"/>
    <w:rsid w:val="00E14A0A"/>
    <w:rsid w:val="00E23F34"/>
    <w:rsid w:val="00E33644"/>
    <w:rsid w:val="00E34EAE"/>
    <w:rsid w:val="00E42A93"/>
    <w:rsid w:val="00E47499"/>
    <w:rsid w:val="00E50A63"/>
    <w:rsid w:val="00E62C64"/>
    <w:rsid w:val="00E70FCC"/>
    <w:rsid w:val="00E75B60"/>
    <w:rsid w:val="00E76557"/>
    <w:rsid w:val="00E82256"/>
    <w:rsid w:val="00E9413F"/>
    <w:rsid w:val="00E96867"/>
    <w:rsid w:val="00EB7DCC"/>
    <w:rsid w:val="00EC4E41"/>
    <w:rsid w:val="00ED12D4"/>
    <w:rsid w:val="00EE5D07"/>
    <w:rsid w:val="00EE7689"/>
    <w:rsid w:val="00EF2D4C"/>
    <w:rsid w:val="00EF34E2"/>
    <w:rsid w:val="00EF5A01"/>
    <w:rsid w:val="00F13994"/>
    <w:rsid w:val="00F1775F"/>
    <w:rsid w:val="00F26320"/>
    <w:rsid w:val="00F27429"/>
    <w:rsid w:val="00F2746C"/>
    <w:rsid w:val="00F33057"/>
    <w:rsid w:val="00F3468C"/>
    <w:rsid w:val="00F521EE"/>
    <w:rsid w:val="00F53694"/>
    <w:rsid w:val="00F53C6F"/>
    <w:rsid w:val="00F543F4"/>
    <w:rsid w:val="00F63343"/>
    <w:rsid w:val="00F656FC"/>
    <w:rsid w:val="00F67F03"/>
    <w:rsid w:val="00F70B0A"/>
    <w:rsid w:val="00F70E47"/>
    <w:rsid w:val="00F710A3"/>
    <w:rsid w:val="00F75E35"/>
    <w:rsid w:val="00F76924"/>
    <w:rsid w:val="00F8591E"/>
    <w:rsid w:val="00F922DD"/>
    <w:rsid w:val="00F93FE6"/>
    <w:rsid w:val="00F948EB"/>
    <w:rsid w:val="00F96A6D"/>
    <w:rsid w:val="00FA3BCC"/>
    <w:rsid w:val="00FA6DE8"/>
    <w:rsid w:val="00FA722E"/>
    <w:rsid w:val="00FB34BA"/>
    <w:rsid w:val="00FC0775"/>
    <w:rsid w:val="00FD4981"/>
    <w:rsid w:val="00FD7213"/>
    <w:rsid w:val="00FE04AE"/>
    <w:rsid w:val="00FE2B87"/>
    <w:rsid w:val="00FE4FA6"/>
    <w:rsid w:val="00FE6B44"/>
    <w:rsid w:val="00FE7A6F"/>
    <w:rsid w:val="00FF1BFF"/>
    <w:rsid w:val="00FF4BEE"/>
    <w:rsid w:val="00FF4D81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E9AA-12B4-478E-A305-57BBF91B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7</cp:revision>
  <cp:lastPrinted>2020-12-08T12:48:00Z</cp:lastPrinted>
  <dcterms:created xsi:type="dcterms:W3CDTF">2020-12-04T07:19:00Z</dcterms:created>
  <dcterms:modified xsi:type="dcterms:W3CDTF">2020-12-08T12:52:00Z</dcterms:modified>
</cp:coreProperties>
</file>