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108" w:type="dxa"/>
        <w:tblLayout w:type="fixed"/>
        <w:tblLook w:val="04A0"/>
      </w:tblPr>
      <w:tblGrid>
        <w:gridCol w:w="3972"/>
        <w:gridCol w:w="1702"/>
        <w:gridCol w:w="4256"/>
      </w:tblGrid>
      <w:tr w:rsidR="00294399" w:rsidTr="00294399">
        <w:tc>
          <w:tcPr>
            <w:tcW w:w="3972" w:type="dxa"/>
          </w:tcPr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  <w:r w:rsidRPr="00294399">
              <w:rPr>
                <w:rFonts w:ascii="Times New Roman" w:hAnsi="Times New Roman"/>
              </w:rPr>
              <w:t>ЧАВАШ РЕСПУБЛИКИН</w:t>
            </w:r>
          </w:p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  <w:r w:rsidRPr="00294399">
              <w:rPr>
                <w:rFonts w:ascii="Times New Roman" w:hAnsi="Times New Roman"/>
                <w:bCs/>
                <w:noProof/>
              </w:rPr>
              <w:t>ЙĚПРЕÇ РАЙОНĚН</w:t>
            </w:r>
          </w:p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  <w:r w:rsidRPr="00294399">
              <w:rPr>
                <w:rFonts w:ascii="Times New Roman" w:hAnsi="Times New Roman"/>
              </w:rPr>
              <w:t>Т</w:t>
            </w:r>
            <w:r w:rsidRPr="00294399">
              <w:rPr>
                <w:rFonts w:ascii="Times New Roman" w:hAnsi="Times New Roman"/>
                <w:bCs/>
                <w:noProof/>
              </w:rPr>
              <w:t>ĚРĚ</w:t>
            </w:r>
            <w:r w:rsidRPr="00294399">
              <w:rPr>
                <w:rFonts w:ascii="Times New Roman" w:hAnsi="Times New Roman"/>
              </w:rPr>
              <w:t>СЛЕВПЕ  ШУТЛАВ ОРГАН</w:t>
            </w:r>
            <w:r w:rsidRPr="00294399">
              <w:rPr>
                <w:rFonts w:ascii="Times New Roman" w:hAnsi="Times New Roman"/>
                <w:bCs/>
                <w:noProof/>
              </w:rPr>
              <w:t>Ě</w:t>
            </w:r>
          </w:p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  <w:r w:rsidRPr="00294399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38175" cy="64706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6" w:type="dxa"/>
          </w:tcPr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  <w:r w:rsidRPr="00294399">
              <w:rPr>
                <w:rFonts w:ascii="Times New Roman" w:hAnsi="Times New Roman"/>
              </w:rPr>
              <w:t>КОНТРОЛЬНО-СЧЕТНЫЙ ОРГАН</w:t>
            </w:r>
          </w:p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  <w:r w:rsidRPr="00294399">
              <w:rPr>
                <w:rFonts w:ascii="Times New Roman" w:hAnsi="Times New Roman"/>
              </w:rPr>
              <w:t>ИБРЕСИНСКОГО РАЙОНА</w:t>
            </w:r>
          </w:p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  <w:r w:rsidRPr="00294399">
              <w:rPr>
                <w:rFonts w:ascii="Times New Roman" w:hAnsi="Times New Roman"/>
              </w:rPr>
              <w:t>ЧУВАШСКОЙ РЕСПУБЛИКИ</w:t>
            </w:r>
          </w:p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4399" w:rsidRPr="00847490" w:rsidTr="00294399">
        <w:trPr>
          <w:trHeight w:val="625"/>
        </w:trPr>
        <w:tc>
          <w:tcPr>
            <w:tcW w:w="9930" w:type="dxa"/>
            <w:gridSpan w:val="3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  <w:hideMark/>
          </w:tcPr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  <w:r w:rsidRPr="00294399">
              <w:rPr>
                <w:rFonts w:ascii="Times New Roman" w:hAnsi="Times New Roman"/>
              </w:rPr>
              <w:t>КОНТРОЛЬНО-СЧЕТНЫЙ ОРГАН ИБРЕСИНСКОГО РАЙОНА ЧУВАШСКОЙ РЕСПУБЛИКИ</w:t>
            </w:r>
          </w:p>
        </w:tc>
      </w:tr>
      <w:tr w:rsidR="00294399" w:rsidRPr="00847490" w:rsidTr="00294399">
        <w:trPr>
          <w:trHeight w:val="302"/>
        </w:trPr>
        <w:tc>
          <w:tcPr>
            <w:tcW w:w="9930" w:type="dxa"/>
            <w:gridSpan w:val="3"/>
            <w:tcBorders>
              <w:top w:val="thinThickSmallGap" w:sz="18" w:space="0" w:color="auto"/>
              <w:left w:val="nil"/>
              <w:bottom w:val="thickThinSmallGap" w:sz="18" w:space="0" w:color="auto"/>
              <w:right w:val="nil"/>
            </w:tcBorders>
            <w:vAlign w:val="center"/>
            <w:hideMark/>
          </w:tcPr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  <w:r w:rsidRPr="00294399">
              <w:rPr>
                <w:rFonts w:ascii="Times New Roman" w:hAnsi="Times New Roman"/>
              </w:rPr>
              <w:t xml:space="preserve">429700, Чувашская Республика, </w:t>
            </w:r>
            <w:proofErr w:type="spellStart"/>
            <w:r w:rsidRPr="00294399">
              <w:rPr>
                <w:rFonts w:ascii="Times New Roman" w:hAnsi="Times New Roman"/>
              </w:rPr>
              <w:t>Ибресинский</w:t>
            </w:r>
            <w:proofErr w:type="spellEnd"/>
          </w:p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  <w:r w:rsidRPr="00294399">
              <w:rPr>
                <w:rFonts w:ascii="Times New Roman" w:hAnsi="Times New Roman"/>
              </w:rPr>
              <w:t xml:space="preserve">район, </w:t>
            </w:r>
            <w:proofErr w:type="spellStart"/>
            <w:r w:rsidRPr="00294399">
              <w:rPr>
                <w:rFonts w:ascii="Times New Roman" w:hAnsi="Times New Roman"/>
              </w:rPr>
              <w:t>пос.Ибреси</w:t>
            </w:r>
            <w:proofErr w:type="spellEnd"/>
            <w:r w:rsidRPr="00294399">
              <w:rPr>
                <w:rFonts w:ascii="Times New Roman" w:hAnsi="Times New Roman"/>
              </w:rPr>
              <w:t>, ул. Маресьева, д.49</w:t>
            </w:r>
          </w:p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  <w:b/>
                <w:caps/>
                <w:lang w:val="en-US"/>
              </w:rPr>
            </w:pPr>
            <w:r w:rsidRPr="00294399">
              <w:rPr>
                <w:rFonts w:ascii="Times New Roman" w:hAnsi="Times New Roman"/>
                <w:lang w:val="en-US"/>
              </w:rPr>
              <w:t>E-mail kso@ibresi.cap.ru.</w:t>
            </w:r>
          </w:p>
        </w:tc>
      </w:tr>
    </w:tbl>
    <w:p w:rsidR="003561FB" w:rsidRDefault="003561FB" w:rsidP="00BF31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21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9A1C28" w:rsidRPr="009A1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.11.20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9A1C28" w:rsidRPr="009A1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9A1C28" w:rsidRPr="009A1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</w:p>
    <w:p w:rsidR="00BF3190" w:rsidRPr="009A1C28" w:rsidRDefault="009A1C28" w:rsidP="00BF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F3190" w:rsidRPr="009A1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F3190" w:rsidRPr="009A1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BF3190" w:rsidRPr="00383A97" w:rsidRDefault="00BF3190" w:rsidP="00BF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Контрольно-счетного органа </w:t>
      </w:r>
      <w:r w:rsidR="00F53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</w:t>
      </w:r>
      <w:r w:rsidRPr="00383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</w:t>
      </w:r>
    </w:p>
    <w:p w:rsidR="00BF3190" w:rsidRPr="00383A97" w:rsidRDefault="00BF3190" w:rsidP="00BF31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проект решения Собрания депутатов </w:t>
      </w:r>
      <w:r w:rsidR="00B73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Большеабакасинского</w:t>
      </w:r>
      <w:r w:rsidR="00B73202" w:rsidRPr="00B73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3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</w:t>
      </w:r>
      <w:r w:rsidRPr="00383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льского поселения </w:t>
      </w:r>
      <w:r w:rsidR="00F53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Чувашской Республики «О бюджете </w:t>
      </w:r>
      <w:r w:rsidR="00B73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Большеабакасинского</w:t>
      </w:r>
      <w:r w:rsidR="00264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3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r w:rsidR="00F53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Чувашской Республики на </w:t>
      </w:r>
      <w:r w:rsidR="004C3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год и на плановый период 2022 и 2023 годов</w:t>
      </w:r>
      <w:r w:rsidRPr="00383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F3190" w:rsidRPr="00383A97" w:rsidRDefault="00BF3190" w:rsidP="00BF3190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BF3190" w:rsidRPr="00383A97" w:rsidRDefault="00BF3190" w:rsidP="00BF3190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3190" w:rsidRPr="00383A97" w:rsidRDefault="00BF3190" w:rsidP="00BF3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Контрольно-счетного органа </w:t>
      </w:r>
      <w:r w:rsidR="00F53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на проект решения Собрания депутатов </w:t>
      </w:r>
      <w:r w:rsidR="00B73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Большеабакасинского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F53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«О бюджете </w:t>
      </w:r>
      <w:r w:rsidR="00B73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Большеабакасинского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F53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на </w:t>
      </w:r>
      <w:r w:rsidR="004C39AC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и на плановый период 2022 и 2023 годов</w:t>
      </w: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заключение) подготовлено в соответствии с требованиями Бюджетного кодекса Российской Федерации, Соглашени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передаче полномочий Контрольно-счетного органа </w:t>
      </w:r>
      <w:r w:rsidR="00B73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Большеабакасинского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по осуществлению внешнего муниципального финансового контроля Контрольно-счетному органу </w:t>
      </w:r>
      <w:r w:rsidR="00F53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Контрольно-счетном органе </w:t>
      </w:r>
      <w:r w:rsidR="00F53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3190" w:rsidRDefault="00BF3190" w:rsidP="00BF3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Проект решения Собрания депутатов </w:t>
      </w:r>
      <w:r w:rsidR="00B73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Большеабакасинского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сельского поселения </w:t>
      </w:r>
      <w:r w:rsidR="00F536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 Чувашской Республики «О бюджете </w:t>
      </w:r>
      <w:r w:rsidR="00B73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Большеабакасинского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</w:t>
      </w:r>
      <w:r w:rsidR="00F536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 Чувашской Республики на </w:t>
      </w:r>
      <w:r w:rsidR="004C39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2021 год и на плановый период 2022 и 2023 годов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383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(далее – проект решения) внесен на рассмотрение Собрания депутатов </w:t>
      </w:r>
      <w:r w:rsidR="00B73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Большеабакасинского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сельского поселения </w:t>
      </w:r>
      <w:r w:rsidR="00F536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 Чувашской Республики в срок, установленный ст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35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Положения «О регулировании бюджетных правоотношений 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B73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Большеабакасинском</w:t>
      </w:r>
      <w:proofErr w:type="spellEnd"/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сельском поселении </w:t>
      </w:r>
      <w:r w:rsidR="00F536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Ибресинского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». Перечень документов и материалов, представленных Собранию депутатов </w:t>
      </w:r>
      <w:r w:rsidR="00B73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Большеабакасинского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сельского поселения </w:t>
      </w:r>
      <w:r w:rsidR="00F536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 Чувашской Республики одновременно с проектом решения  </w:t>
      </w:r>
      <w:r w:rsidR="00D150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основном 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соответствует требованиям  Положения «О регулировании бюджетных правоотношений в </w:t>
      </w:r>
      <w:proofErr w:type="spellStart"/>
      <w:r w:rsidR="00B73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Большеабакасинском</w:t>
      </w:r>
      <w:proofErr w:type="spellEnd"/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сельском поселении </w:t>
      </w:r>
      <w:r w:rsidR="00F536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Чувашской Республики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». </w:t>
      </w:r>
    </w:p>
    <w:p w:rsidR="00BF3190" w:rsidRDefault="00BF3190" w:rsidP="00BF3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Проект решения сформирован в программной классификации расходов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основе </w:t>
      </w:r>
      <w:r w:rsidR="00D150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муниципальных программ </w:t>
      </w:r>
      <w:r w:rsidR="00B73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Большеабакасинского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сельского поселения </w:t>
      </w:r>
      <w:r w:rsidR="00F536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Ибресинского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района.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BF3190" w:rsidRDefault="00BF3190" w:rsidP="00BF3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Экспертиза проекта решения проведена Контрольно-счетным органом </w:t>
      </w:r>
      <w:r w:rsidR="00F536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Ибресинского</w:t>
      </w:r>
      <w:r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 в сравнении показател</w:t>
      </w:r>
      <w:r w:rsidR="00EB6A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ей </w:t>
      </w:r>
      <w:r w:rsidR="00F922DD"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="004C39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</w:t>
      </w:r>
      <w:r w:rsidR="00F67F03"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планируемыми показателями </w:t>
      </w:r>
      <w:r w:rsidR="00F922DD"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</w:t>
      </w:r>
      <w:r w:rsidR="004C39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="00F67F03"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и планового периода </w:t>
      </w:r>
      <w:r w:rsidR="00F922DD"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</w:t>
      </w:r>
      <w:r w:rsidR="004C39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</w:t>
      </w:r>
      <w:r w:rsidR="00F922DD"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</w:t>
      </w:r>
      <w:r w:rsidR="004C39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годов.</w:t>
      </w:r>
    </w:p>
    <w:p w:rsidR="00070853" w:rsidRPr="001510D3" w:rsidRDefault="00070853" w:rsidP="00070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510D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</w:t>
      </w:r>
      <w:r w:rsidRPr="001510D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Pr="001510D3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510D3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10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510D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510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1510D3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8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Pr="001510D3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юд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10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10D3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10D3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и статьи 3</w:t>
      </w:r>
      <w:r w:rsid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регулировании бюджетных правоотношений в </w:t>
      </w:r>
      <w:proofErr w:type="spellStart"/>
      <w:r w:rsidR="00B73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Большеабакасинском</w:t>
      </w:r>
      <w:proofErr w:type="spellEnd"/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в статье 1</w:t>
      </w:r>
      <w:r w:rsidRPr="001510D3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реш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510D3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10D3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510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ю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10D3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жатся о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1510D3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Pr="001510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</w:t>
      </w:r>
      <w:r w:rsidRPr="001510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1510D3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жета</w:t>
      </w:r>
      <w:r w:rsidRPr="001510D3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="00B73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Большеабакасинского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151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10D3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="00F922D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202</w:t>
      </w:r>
      <w:r w:rsidR="004C39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</w:t>
      </w:r>
      <w:r w:rsidRPr="001510D3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510D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10D3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й п</w:t>
      </w:r>
      <w:r w:rsidRPr="001510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иод </w:t>
      </w:r>
      <w:r w:rsidR="00F922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202</w:t>
      </w:r>
      <w:r w:rsidR="004C39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</w:t>
      </w:r>
      <w:r w:rsidRPr="00151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</w:t>
      </w:r>
      <w:r w:rsidR="00F922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4C39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ов.</w:t>
      </w:r>
    </w:p>
    <w:p w:rsidR="00070853" w:rsidRPr="001510D3" w:rsidRDefault="00070853" w:rsidP="00070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1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Основные характеристики проекта бюджета </w:t>
      </w:r>
      <w:r w:rsidR="00B73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Большеабакасинского</w:t>
      </w:r>
      <w:r w:rsidR="00264E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151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4C3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 год и на плановый период 2022 и 2023 годов</w:t>
      </w:r>
      <w:r w:rsidRPr="00151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определяются в следующих объемах:</w:t>
      </w:r>
    </w:p>
    <w:p w:rsidR="00070853" w:rsidRPr="001510D3" w:rsidRDefault="00070853" w:rsidP="000708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7"/>
        <w:gridCol w:w="1134"/>
        <w:gridCol w:w="993"/>
        <w:gridCol w:w="1134"/>
        <w:gridCol w:w="1134"/>
        <w:gridCol w:w="1275"/>
        <w:gridCol w:w="1134"/>
      </w:tblGrid>
      <w:tr w:rsidR="00070853" w:rsidRPr="00070853" w:rsidTr="0072217C">
        <w:trPr>
          <w:trHeight w:val="97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53" w:rsidRPr="00AB31CF" w:rsidRDefault="00070853" w:rsidP="00070853">
            <w:pPr>
              <w:spacing w:after="0" w:line="240" w:lineRule="auto"/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AB" w:rsidRPr="00AB31CF" w:rsidRDefault="00F922DD" w:rsidP="00070853">
            <w:pPr>
              <w:spacing w:after="0" w:line="240" w:lineRule="auto"/>
              <w:ind w:left="-108" w:right="-108"/>
              <w:jc w:val="center"/>
              <w:rPr>
                <w:rFonts w:ascii="TimesET" w:eastAsia="Times New Roman" w:hAnsi="TimesET" w:cs="Times New Roman"/>
                <w:color w:val="000000"/>
                <w:sz w:val="20"/>
                <w:szCs w:val="20"/>
                <w:lang w:eastAsia="ru-RU"/>
              </w:rPr>
            </w:pPr>
            <w:r w:rsidRPr="00AB31CF">
              <w:rPr>
                <w:rFonts w:ascii="TimesET" w:eastAsia="Times New Roman" w:hAnsi="TimesET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4C39AC">
              <w:rPr>
                <w:rFonts w:ascii="TimesET" w:eastAsia="Times New Roman" w:hAnsi="TimesET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070853" w:rsidRPr="00AB31CF">
              <w:rPr>
                <w:rFonts w:ascii="TimesET" w:eastAsia="Times New Roman" w:hAnsi="TimesET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 w:rsidR="00441CAB" w:rsidRPr="00AB31CF">
              <w:rPr>
                <w:rFonts w:ascii="TimesET" w:eastAsia="Times New Roman" w:hAnsi="TimesET" w:cs="Times New Roman"/>
                <w:color w:val="000000"/>
                <w:sz w:val="20"/>
                <w:szCs w:val="20"/>
                <w:lang w:eastAsia="ru-RU"/>
              </w:rPr>
              <w:t xml:space="preserve"> (решение о бюджете)</w:t>
            </w:r>
          </w:p>
          <w:p w:rsidR="00070853" w:rsidRPr="00AB31CF" w:rsidRDefault="00070853" w:rsidP="00070853">
            <w:pPr>
              <w:spacing w:after="0" w:line="240" w:lineRule="auto"/>
              <w:ind w:left="-108" w:right="-108"/>
              <w:jc w:val="center"/>
              <w:rPr>
                <w:rFonts w:ascii="TimesET" w:eastAsia="Times New Roman" w:hAnsi="TimesET" w:cs="Times New Roman"/>
                <w:color w:val="000000"/>
                <w:sz w:val="20"/>
                <w:szCs w:val="20"/>
                <w:lang w:eastAsia="ru-RU"/>
              </w:rPr>
            </w:pPr>
            <w:r w:rsidRPr="00AB31CF">
              <w:rPr>
                <w:rFonts w:ascii="TimesET" w:eastAsia="Times New Roman" w:hAnsi="TimesET" w:cs="Times New Roman"/>
                <w:color w:val="000000"/>
                <w:sz w:val="20"/>
                <w:szCs w:val="20"/>
                <w:lang w:eastAsia="ru-RU"/>
              </w:rPr>
              <w:t xml:space="preserve">сумма, </w:t>
            </w:r>
          </w:p>
          <w:p w:rsidR="00070853" w:rsidRPr="00AB31CF" w:rsidRDefault="00070853" w:rsidP="0007085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</w:pPr>
            <w:r w:rsidRPr="00AB31CF">
              <w:rPr>
                <w:rFonts w:ascii="TimesET" w:eastAsia="Times New Roman" w:hAnsi="TimesET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53" w:rsidRPr="00AB31CF" w:rsidRDefault="009A1C28" w:rsidP="004C39A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</w:pPr>
            <w:r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202</w:t>
            </w:r>
            <w:r w:rsidR="004C39AC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 xml:space="preserve"> г. </w:t>
            </w:r>
            <w:r w:rsidR="00070853" w:rsidRPr="00AB31CF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сумма, тыс.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53" w:rsidRPr="00AB31CF" w:rsidRDefault="00070853" w:rsidP="00070853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</w:pPr>
            <w:r w:rsidRPr="00AB31CF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53" w:rsidRPr="00AB31CF" w:rsidRDefault="009A1C28" w:rsidP="004C39A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</w:pPr>
            <w:r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202</w:t>
            </w:r>
            <w:r w:rsidR="004C39AC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 xml:space="preserve"> г. </w:t>
            </w:r>
            <w:r w:rsidR="00070853" w:rsidRPr="00AB31CF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сумма,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53" w:rsidRPr="00AB31CF" w:rsidRDefault="00070853" w:rsidP="0007085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</w:pPr>
            <w:r w:rsidRPr="00AB31CF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53" w:rsidRPr="00AB31CF" w:rsidRDefault="009A1C28" w:rsidP="004C39A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</w:pPr>
            <w:r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202</w:t>
            </w:r>
            <w:r w:rsidR="004C39AC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 xml:space="preserve"> г.   </w:t>
            </w:r>
            <w:r w:rsidR="00070853" w:rsidRPr="00AB31CF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сумма,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53" w:rsidRPr="00AB31CF" w:rsidRDefault="00070853" w:rsidP="0007085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</w:pPr>
            <w:r w:rsidRPr="00AB31CF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в % к предыдущему году</w:t>
            </w:r>
          </w:p>
        </w:tc>
      </w:tr>
      <w:tr w:rsidR="001860B2" w:rsidRPr="00070853" w:rsidTr="009A1C2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2" w:rsidRPr="009A1C28" w:rsidRDefault="001860B2" w:rsidP="009A1C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9A1C28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0B2" w:rsidRDefault="001860B2" w:rsidP="001860B2">
            <w:pPr>
              <w:jc w:val="center"/>
              <w:rPr>
                <w:rFonts w:ascii="TimesET" w:hAnsi="TimesET"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color w:val="000000"/>
                <w:sz w:val="20"/>
                <w:szCs w:val="20"/>
              </w:rPr>
              <w:t>6992,3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0B2" w:rsidRDefault="001860B2" w:rsidP="001860B2">
            <w:pPr>
              <w:jc w:val="center"/>
              <w:rPr>
                <w:rFonts w:ascii="TimesET" w:hAnsi="TimesET"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color w:val="000000"/>
                <w:sz w:val="20"/>
                <w:szCs w:val="20"/>
              </w:rPr>
              <w:t>4889,5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0B2" w:rsidRDefault="001860B2" w:rsidP="001860B2">
            <w:pPr>
              <w:jc w:val="center"/>
              <w:rPr>
                <w:rFonts w:ascii="TimesET" w:hAnsi="TimesET"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0B2" w:rsidRDefault="001860B2" w:rsidP="001860B2">
            <w:pPr>
              <w:jc w:val="center"/>
              <w:rPr>
                <w:rFonts w:ascii="TimesET" w:hAnsi="TimesET"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color w:val="000000"/>
                <w:sz w:val="20"/>
                <w:szCs w:val="20"/>
              </w:rPr>
              <w:t>4628,1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0B2" w:rsidRDefault="001860B2" w:rsidP="001860B2">
            <w:pPr>
              <w:jc w:val="center"/>
              <w:rPr>
                <w:rFonts w:ascii="TimesET" w:hAnsi="TimesET"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color w:val="000000"/>
                <w:sz w:val="20"/>
                <w:szCs w:val="20"/>
              </w:rPr>
              <w:t>94,7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0B2" w:rsidRDefault="001860B2" w:rsidP="001860B2">
            <w:pPr>
              <w:jc w:val="center"/>
              <w:rPr>
                <w:rFonts w:ascii="TimesET" w:hAnsi="TimesET"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color w:val="000000"/>
                <w:sz w:val="20"/>
                <w:szCs w:val="20"/>
              </w:rPr>
              <w:t>4570,8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0B2" w:rsidRDefault="001860B2" w:rsidP="001860B2">
            <w:pPr>
              <w:jc w:val="center"/>
              <w:rPr>
                <w:rFonts w:ascii="TimesET" w:hAnsi="TimesET"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color w:val="000000"/>
                <w:sz w:val="20"/>
                <w:szCs w:val="20"/>
              </w:rPr>
              <w:t>98,8</w:t>
            </w:r>
          </w:p>
        </w:tc>
      </w:tr>
      <w:tr w:rsidR="001860B2" w:rsidRPr="00070853" w:rsidTr="009A1C2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2" w:rsidRPr="009A1C28" w:rsidRDefault="001860B2" w:rsidP="009A1C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9A1C28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0B2" w:rsidRDefault="001860B2" w:rsidP="001860B2">
            <w:pPr>
              <w:jc w:val="center"/>
              <w:rPr>
                <w:rFonts w:ascii="TimesET" w:hAnsi="TimesET"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color w:val="000000"/>
                <w:sz w:val="20"/>
                <w:szCs w:val="20"/>
              </w:rPr>
              <w:t>7734,8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0B2" w:rsidRDefault="001860B2" w:rsidP="001860B2">
            <w:pPr>
              <w:jc w:val="center"/>
              <w:rPr>
                <w:rFonts w:ascii="TimesET" w:hAnsi="TimesET"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color w:val="000000"/>
                <w:sz w:val="20"/>
                <w:szCs w:val="20"/>
              </w:rPr>
              <w:t>4889,5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0B2" w:rsidRDefault="001860B2" w:rsidP="001860B2">
            <w:pPr>
              <w:jc w:val="center"/>
              <w:rPr>
                <w:rFonts w:ascii="TimesET" w:hAnsi="TimesET"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color w:val="000000"/>
                <w:sz w:val="20"/>
                <w:szCs w:val="20"/>
              </w:rPr>
              <w:t>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0B2" w:rsidRDefault="001860B2" w:rsidP="001860B2">
            <w:pPr>
              <w:jc w:val="center"/>
              <w:rPr>
                <w:rFonts w:ascii="TimesET" w:hAnsi="TimesET"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color w:val="000000"/>
                <w:sz w:val="20"/>
                <w:szCs w:val="20"/>
              </w:rPr>
              <w:t>4628,1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0B2" w:rsidRDefault="001860B2" w:rsidP="001860B2">
            <w:pPr>
              <w:jc w:val="center"/>
              <w:rPr>
                <w:rFonts w:ascii="TimesET" w:hAnsi="TimesET"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color w:val="000000"/>
                <w:sz w:val="20"/>
                <w:szCs w:val="20"/>
              </w:rPr>
              <w:t>94,7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0B2" w:rsidRDefault="001860B2" w:rsidP="001860B2">
            <w:pPr>
              <w:jc w:val="center"/>
              <w:rPr>
                <w:rFonts w:ascii="TimesET" w:hAnsi="TimesET"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color w:val="000000"/>
                <w:sz w:val="20"/>
                <w:szCs w:val="20"/>
              </w:rPr>
              <w:t>4570,8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0B2" w:rsidRDefault="001860B2" w:rsidP="001860B2">
            <w:pPr>
              <w:jc w:val="center"/>
              <w:rPr>
                <w:rFonts w:ascii="TimesET" w:hAnsi="TimesET"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color w:val="000000"/>
                <w:sz w:val="20"/>
                <w:szCs w:val="20"/>
              </w:rPr>
              <w:t>98,8</w:t>
            </w:r>
          </w:p>
        </w:tc>
      </w:tr>
      <w:tr w:rsidR="001860B2" w:rsidRPr="00070853" w:rsidTr="00B76DE9">
        <w:trPr>
          <w:trHeight w:val="4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2" w:rsidRPr="009A1C28" w:rsidRDefault="001860B2" w:rsidP="002C5B93">
            <w:pPr>
              <w:autoSpaceDE w:val="0"/>
              <w:autoSpaceDN w:val="0"/>
              <w:spacing w:after="0" w:line="240" w:lineRule="auto"/>
              <w:ind w:right="-108" w:firstLine="34"/>
              <w:jc w:val="center"/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</w:pPr>
            <w:r w:rsidRPr="009A1C28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(-)Дефицит; (+)</w:t>
            </w:r>
            <w:proofErr w:type="spellStart"/>
            <w:r w:rsidRPr="009A1C28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профицит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B2" w:rsidRDefault="001860B2" w:rsidP="001860B2">
            <w:pPr>
              <w:jc w:val="center"/>
              <w:rPr>
                <w:rFonts w:ascii="TimesET" w:hAnsi="TimesET"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color w:val="000000"/>
                <w:sz w:val="20"/>
                <w:szCs w:val="20"/>
              </w:rPr>
              <w:t>-742,5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0B2" w:rsidRDefault="001860B2" w:rsidP="001860B2">
            <w:pPr>
              <w:jc w:val="center"/>
              <w:rPr>
                <w:rFonts w:ascii="TimesET" w:hAnsi="TimesET"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0B2" w:rsidRDefault="001860B2" w:rsidP="001860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0B2" w:rsidRDefault="001860B2" w:rsidP="001860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0B2" w:rsidRDefault="001860B2" w:rsidP="001860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0B2" w:rsidRDefault="001860B2" w:rsidP="001860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0B2" w:rsidRDefault="001860B2" w:rsidP="001860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</w:tbl>
    <w:p w:rsidR="00070853" w:rsidRPr="00931E42" w:rsidRDefault="002C5B93" w:rsidP="000708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70853" w:rsidRPr="00931E42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</w:t>
      </w:r>
      <w:r w:rsidR="00070853" w:rsidRPr="00931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</w:t>
      </w:r>
      <w:r w:rsidR="00070853" w:rsidRPr="00931E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="00070853" w:rsidRPr="00931E4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70853" w:rsidRPr="00931E4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="00070853" w:rsidRPr="00931E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еб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r w:rsidR="00070853" w:rsidRPr="00931E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="00070853" w:rsidRPr="00931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0853" w:rsidRPr="00931E42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пунктов </w:t>
      </w:r>
      <w:r w:rsidR="00070853" w:rsidRPr="00931E42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2 и 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70853" w:rsidRPr="00931E4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</w:t>
      </w:r>
      <w:r w:rsidR="00070853" w:rsidRPr="00931E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18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070853" w:rsidRPr="00931E42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="00070853" w:rsidRPr="00931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="00070853" w:rsidRPr="00931E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ю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</w:t>
      </w:r>
      <w:r w:rsidR="00070853" w:rsidRPr="00931E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070853" w:rsidRPr="00931E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70853" w:rsidRPr="00931E4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="00070853" w:rsidRPr="00931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70853" w:rsidRPr="00931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Российской Федерации,</w:t>
      </w:r>
      <w:r w:rsidR="00070853" w:rsidRPr="00931E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</w:t>
      </w:r>
      <w:r w:rsidR="00070853" w:rsidRPr="00931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реш</w:t>
      </w:r>
      <w:r w:rsidR="00070853" w:rsidRPr="00931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070853" w:rsidRPr="00931E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070853" w:rsidRPr="00931E4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="00070853" w:rsidRPr="00931E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</w:t>
      </w:r>
      <w:r w:rsidR="00070853" w:rsidRPr="00931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ы:</w:t>
      </w:r>
    </w:p>
    <w:p w:rsidR="00070853" w:rsidRPr="00931E42" w:rsidRDefault="00070853" w:rsidP="00070853">
      <w:pPr>
        <w:widowControl w:val="0"/>
        <w:tabs>
          <w:tab w:val="left" w:pos="1133"/>
          <w:tab w:val="left" w:pos="3140"/>
          <w:tab w:val="left" w:pos="4799"/>
          <w:tab w:val="left" w:pos="6679"/>
          <w:tab w:val="left" w:pos="7216"/>
          <w:tab w:val="left" w:pos="861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объем бюджетных ассигнований муниципального дорожного фонда </w:t>
      </w:r>
      <w:r w:rsidR="00B73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Большеабакасинского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составляет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96A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</w:t>
      </w:r>
      <w:r w:rsidR="0048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0B2">
        <w:rPr>
          <w:rFonts w:ascii="Times New Roman" w:eastAsia="Times New Roman" w:hAnsi="Times New Roman" w:cs="Times New Roman"/>
          <w:sz w:val="24"/>
          <w:szCs w:val="24"/>
          <w:lang w:eastAsia="ru-RU"/>
        </w:rPr>
        <w:t>985,2</w:t>
      </w:r>
      <w:r w:rsid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96A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1860B2">
        <w:rPr>
          <w:rFonts w:ascii="Times New Roman" w:eastAsia="Times New Roman" w:hAnsi="Times New Roman" w:cs="Times New Roman"/>
          <w:sz w:val="24"/>
          <w:szCs w:val="24"/>
          <w:lang w:eastAsia="ru-RU"/>
        </w:rPr>
        <w:t>1282,1</w:t>
      </w:r>
      <w:r w:rsidR="0072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96A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1860B2">
        <w:rPr>
          <w:rFonts w:ascii="Times New Roman" w:eastAsia="Times New Roman" w:hAnsi="Times New Roman" w:cs="Times New Roman"/>
          <w:sz w:val="24"/>
          <w:szCs w:val="24"/>
          <w:lang w:eastAsia="ru-RU"/>
        </w:rPr>
        <w:t>1361,7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070853" w:rsidRPr="002654BF" w:rsidRDefault="00070853" w:rsidP="00070853">
      <w:pPr>
        <w:widowControl w:val="0"/>
        <w:tabs>
          <w:tab w:val="left" w:pos="993"/>
          <w:tab w:val="left" w:pos="1007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r w:rsidRPr="002654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2654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щ</w:t>
      </w:r>
      <w:r w:rsidRPr="002654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654BF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2654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</w:t>
      </w:r>
      <w:r w:rsidRPr="002654BF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654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утвержденных</w:t>
      </w:r>
      <w:r w:rsidRPr="002654BF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654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54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хо</w:t>
      </w:r>
      <w:r w:rsidRPr="002654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654BF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бю</w:t>
      </w:r>
      <w:r w:rsidRPr="002654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жета</w:t>
      </w:r>
      <w:r w:rsidRPr="002654BF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654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плановом периоде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654B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654BF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2654B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654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</w:t>
      </w:r>
      <w:r w:rsidRPr="002654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654BF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="0004144C"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922DD"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96A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1860B2">
        <w:rPr>
          <w:rFonts w:ascii="Times New Roman" w:eastAsia="Times New Roman" w:hAnsi="Times New Roman" w:cs="Times New Roman"/>
          <w:sz w:val="24"/>
          <w:szCs w:val="24"/>
          <w:lang w:eastAsia="ru-RU"/>
        </w:rPr>
        <w:t>92,8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(нормативу соответствует – не менее 2,5% общего объема расходов бюджета 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направление);</w:t>
      </w:r>
      <w:r w:rsidRPr="002654BF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в </w:t>
      </w:r>
      <w:r w:rsidR="00F922DD" w:rsidRPr="002654BF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202</w:t>
      </w:r>
      <w:r w:rsidR="00F96A6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3</w:t>
      </w:r>
      <w:r w:rsidRPr="002654BF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году – </w:t>
      </w:r>
      <w:r w:rsidR="001860B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182,5</w:t>
      </w:r>
      <w:r w:rsidRPr="002654BF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тыс. рублей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(нормативу соответствует - в объеме не менее 5,0 процентов общего объема расходов бюджета).</w:t>
      </w:r>
    </w:p>
    <w:p w:rsidR="00070853" w:rsidRPr="00A057DF" w:rsidRDefault="00070853" w:rsidP="00070853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2654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Проектом </w:t>
      </w:r>
      <w:r w:rsidRPr="0026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</w:t>
      </w:r>
      <w:r w:rsidRPr="002654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26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2654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6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также установлен размер Резервного фонда администрации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3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Большеабакасинского</w:t>
      </w:r>
      <w:r w:rsidR="0026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на </w:t>
      </w:r>
      <w:r w:rsidR="00845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48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92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48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в сумме </w:t>
      </w:r>
      <w:r w:rsidR="007C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30,0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 ежегодно, что с</w:t>
      </w:r>
      <w:r w:rsidRPr="00A05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</w:t>
      </w:r>
      <w:r w:rsidRPr="00A05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огр</w:t>
      </w:r>
      <w:r w:rsidRPr="00A05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A05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ниям,</w:t>
      </w:r>
      <w:r w:rsidRPr="00A05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05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</w:t>
      </w:r>
      <w:r w:rsidRPr="00A05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05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A05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05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статьей 81 Б</w:t>
      </w:r>
      <w:r w:rsidRPr="00A05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A05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A05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05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5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05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кодекса 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951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0853" w:rsidRDefault="00070853" w:rsidP="00070853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бюджета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96A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0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96A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0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96A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0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предоставление и исполнение муниципальных гарантий </w:t>
      </w:r>
      <w:r w:rsidR="00B73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Большеабакасинского</w:t>
      </w:r>
      <w:r w:rsidR="0026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A05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планируется.</w:t>
      </w:r>
    </w:p>
    <w:p w:rsidR="00070853" w:rsidRPr="00951D39" w:rsidRDefault="00070853" w:rsidP="00070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3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951D39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Pr="00951D39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951D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</w:t>
      </w:r>
      <w:r w:rsidRPr="00951D3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951D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951D3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51D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951D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51D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951D3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51D3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951D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51D39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951D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бюджета</w:t>
      </w:r>
      <w:r w:rsidRPr="00951D39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95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учтены положения налогового законодательства, действующие на момент составления проекта бюджета, а также изменения и дополнения в него, вступающие в действие с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96A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5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070853" w:rsidRDefault="00070853" w:rsidP="00BF3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F3190" w:rsidRPr="00383A97" w:rsidRDefault="00BF3190" w:rsidP="00BF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Доходы бюджета </w:t>
      </w:r>
      <w:r w:rsidR="00B73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Большеабакасинского</w:t>
      </w:r>
      <w:r w:rsidR="00264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3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383A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53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Чувашской Республики</w:t>
      </w:r>
    </w:p>
    <w:p w:rsidR="00337962" w:rsidRPr="00337962" w:rsidRDefault="00337962" w:rsidP="003379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Доходы бюджета </w:t>
      </w:r>
      <w:r w:rsidR="00B73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Большеабакасинского</w:t>
      </w:r>
      <w:r w:rsidR="00264E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3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</w:t>
      </w:r>
      <w:r w:rsidR="004C3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 год и на плановый период 2022 и 2023 годов</w:t>
      </w:r>
      <w:r w:rsidRPr="0033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запланированы в соответствии с требованиями, установленными Бюджетным кодексом Российской Федерации, Положения о регулировании бюджетных правоотношений в </w:t>
      </w:r>
      <w:proofErr w:type="spellStart"/>
      <w:r w:rsidR="00B73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Большеабакасинском</w:t>
      </w:r>
      <w:proofErr w:type="spellEnd"/>
      <w:r w:rsidR="00264E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3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сельском поселении, рассчитаны на основе сценарных условий функционирования экономики поселения и основных показателей прогноза социально-экономического развития поселения на </w:t>
      </w:r>
      <w:r w:rsidR="00F92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F96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95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92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F96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33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годы,  с учетом  фактического поступления налоговых и неналоговых доходов за 9 месяцев </w:t>
      </w:r>
      <w:r w:rsidR="00F92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A76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33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года, ожидаемой оценки поступления доходов в </w:t>
      </w:r>
      <w:r w:rsidR="00F92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A76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33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году, спрогнозированных на уровне утвержденных плановых показателей, а также с учетом изменений и дополнений, внесенных в законодательство Российской Федерации о налогах и сборах, вступающих в силу с 01 января </w:t>
      </w:r>
      <w:r w:rsidR="00F92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</w:t>
      </w:r>
      <w:r w:rsidRPr="0033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 При расчете доходной части бюджета учтены нормативы отчислений в бюджет </w:t>
      </w:r>
      <w:r w:rsidR="00B73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Большеабакасинского</w:t>
      </w:r>
      <w:r w:rsidR="00264E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3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федеральных налогов и сборов, в том числе налогов, предусмотренных специальными налоговыми режимами, региональных налогов, неналоговых доходов, установленных статьями 41, 42, 46, 58, 61.</w:t>
      </w:r>
      <w:r w:rsidR="00294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33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62 Бюджетного кодекса Российской Федерации, статьями 8.1 Закона Чувашской Республики «О регулировании бюджетных правоотношений в Чувашской Республике» </w:t>
      </w:r>
      <w:r w:rsidRPr="00634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23.07.2001г</w:t>
      </w:r>
      <w:r w:rsidR="002C0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11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4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36.</w:t>
      </w:r>
    </w:p>
    <w:p w:rsidR="006A6478" w:rsidRDefault="006A6478" w:rsidP="006A6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</w:t>
      </w:r>
      <w:r w:rsidRPr="002C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доходов бюджета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Большеабакасинского </w:t>
      </w:r>
      <w:r w:rsidRPr="002C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76DE9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№2</w:t>
      </w:r>
    </w:p>
    <w:p w:rsidR="00611401" w:rsidRDefault="00611401" w:rsidP="003379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70FD" w:rsidRPr="003A70FD" w:rsidRDefault="003A70FD" w:rsidP="006A6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DE9">
        <w:rPr>
          <w:rFonts w:ascii="Times New Roman" w:hAnsi="Times New Roman" w:cs="Times New Roman"/>
          <w:sz w:val="24"/>
          <w:szCs w:val="24"/>
        </w:rPr>
        <w:t xml:space="preserve">Общая сумма доходов </w:t>
      </w:r>
      <w:r w:rsidR="00B73202">
        <w:rPr>
          <w:rFonts w:ascii="Times New Roman" w:hAnsi="Times New Roman" w:cs="Times New Roman"/>
          <w:sz w:val="24"/>
          <w:szCs w:val="24"/>
        </w:rPr>
        <w:t>Большеабакасинского</w:t>
      </w:r>
      <w:r w:rsidR="00264EEE" w:rsidRPr="00B76DE9">
        <w:rPr>
          <w:rFonts w:ascii="Times New Roman" w:hAnsi="Times New Roman" w:cs="Times New Roman"/>
          <w:sz w:val="24"/>
          <w:szCs w:val="24"/>
        </w:rPr>
        <w:t xml:space="preserve"> </w:t>
      </w:r>
      <w:r w:rsidRPr="00B76DE9">
        <w:rPr>
          <w:rFonts w:ascii="Times New Roman" w:hAnsi="Times New Roman" w:cs="Times New Roman"/>
          <w:sz w:val="24"/>
          <w:szCs w:val="24"/>
        </w:rPr>
        <w:t xml:space="preserve"> сельского поселения на 2021 год планируется в размере </w:t>
      </w:r>
      <w:r w:rsidR="006A6478">
        <w:rPr>
          <w:rFonts w:ascii="Times New Roman" w:hAnsi="Times New Roman" w:cs="Times New Roman"/>
          <w:sz w:val="24"/>
          <w:szCs w:val="24"/>
        </w:rPr>
        <w:t>4889,5</w:t>
      </w:r>
      <w:r w:rsidRPr="00B76DE9">
        <w:rPr>
          <w:rFonts w:ascii="Times New Roman" w:hAnsi="Times New Roman" w:cs="Times New Roman"/>
          <w:sz w:val="24"/>
          <w:szCs w:val="24"/>
        </w:rPr>
        <w:t xml:space="preserve"> тыс. рублей. По сравнению с утвержденными</w:t>
      </w:r>
      <w:r w:rsidRPr="003A70FD">
        <w:rPr>
          <w:rFonts w:ascii="Times New Roman" w:hAnsi="Times New Roman" w:cs="Times New Roman"/>
          <w:sz w:val="24"/>
          <w:szCs w:val="24"/>
        </w:rPr>
        <w:t xml:space="preserve"> бюджетными назначениями 2020 года  снижение поступления составит </w:t>
      </w:r>
      <w:r w:rsidR="006A6478">
        <w:rPr>
          <w:rFonts w:ascii="Times New Roman" w:hAnsi="Times New Roman" w:cs="Times New Roman"/>
          <w:sz w:val="24"/>
          <w:szCs w:val="24"/>
        </w:rPr>
        <w:t>30,1</w:t>
      </w:r>
      <w:r w:rsidRPr="003A70FD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3A70FD" w:rsidRPr="003A70FD" w:rsidRDefault="003A70FD" w:rsidP="006A6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0FD">
        <w:rPr>
          <w:rFonts w:ascii="Times New Roman" w:hAnsi="Times New Roman" w:cs="Times New Roman"/>
          <w:sz w:val="24"/>
          <w:szCs w:val="24"/>
        </w:rPr>
        <w:t xml:space="preserve">Поступление доходов на 2022 год  прогнозируется в сумме </w:t>
      </w:r>
      <w:r w:rsidR="006A6478">
        <w:rPr>
          <w:rFonts w:ascii="Times New Roman" w:hAnsi="Times New Roman" w:cs="Times New Roman"/>
          <w:sz w:val="24"/>
          <w:szCs w:val="24"/>
        </w:rPr>
        <w:t>4628,1</w:t>
      </w:r>
      <w:r w:rsidRPr="003A70FD">
        <w:rPr>
          <w:rFonts w:ascii="Times New Roman" w:hAnsi="Times New Roman" w:cs="Times New Roman"/>
          <w:sz w:val="24"/>
          <w:szCs w:val="24"/>
        </w:rPr>
        <w:t xml:space="preserve"> тыс. рублей , и на 2023 год – </w:t>
      </w:r>
      <w:r w:rsidR="006A6478">
        <w:rPr>
          <w:rFonts w:ascii="Times New Roman" w:hAnsi="Times New Roman" w:cs="Times New Roman"/>
          <w:sz w:val="24"/>
          <w:szCs w:val="24"/>
        </w:rPr>
        <w:t>4570,8</w:t>
      </w:r>
      <w:r w:rsidRPr="003A70F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E2A20" w:rsidRDefault="00BF3190" w:rsidP="006A64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Структура</w:t>
      </w: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бюджета </w:t>
      </w:r>
      <w:r w:rsidR="00B73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Большеабакасинского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766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7669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в </w:t>
      </w:r>
      <w:r w:rsidR="002C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вышеприведенной </w:t>
      </w: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таблице</w:t>
      </w:r>
      <w:r w:rsidR="002C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76D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pPr w:leftFromText="180" w:rightFromText="180" w:horzAnchor="margin" w:tblpY="50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276"/>
        <w:gridCol w:w="992"/>
        <w:gridCol w:w="1276"/>
        <w:gridCol w:w="992"/>
        <w:gridCol w:w="1276"/>
        <w:gridCol w:w="1124"/>
        <w:gridCol w:w="968"/>
      </w:tblGrid>
      <w:tr w:rsidR="008E2A20" w:rsidRPr="002C0229" w:rsidTr="008E2A20">
        <w:tc>
          <w:tcPr>
            <w:tcW w:w="1985" w:type="dxa"/>
            <w:vMerge w:val="restart"/>
            <w:shd w:val="clear" w:color="auto" w:fill="auto"/>
          </w:tcPr>
          <w:p w:rsidR="008E2A20" w:rsidRPr="002C0229" w:rsidRDefault="008E2A20" w:rsidP="006A6478">
            <w:pPr>
              <w:tabs>
                <w:tab w:val="left" w:pos="3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E2A20" w:rsidRPr="002C0229" w:rsidRDefault="008E2A20" w:rsidP="006A6478">
            <w:pPr>
              <w:spacing w:after="0" w:line="240" w:lineRule="auto"/>
              <w:ind w:left="-108" w:right="-108"/>
              <w:jc w:val="both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2C0229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20</w:t>
            </w:r>
            <w:r w:rsidR="00A7669F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20</w:t>
            </w:r>
            <w:r w:rsidRPr="002C0229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год (решение о бюджете) сумма </w:t>
            </w:r>
          </w:p>
          <w:p w:rsidR="008E2A20" w:rsidRPr="002C0229" w:rsidRDefault="008E2A20" w:rsidP="006A6478">
            <w:pPr>
              <w:tabs>
                <w:tab w:val="left" w:pos="3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229">
              <w:rPr>
                <w:rFonts w:ascii="TimesET" w:eastAsia="Times New Roman" w:hAnsi="TimesET" w:cs="Times New Roman"/>
                <w:sz w:val="18"/>
                <w:szCs w:val="18"/>
                <w:lang w:eastAsia="ru-RU"/>
              </w:rPr>
              <w:t xml:space="preserve">(тыс. </w:t>
            </w:r>
            <w:proofErr w:type="spellStart"/>
            <w:r w:rsidRPr="002C0229">
              <w:rPr>
                <w:rFonts w:ascii="TimesET" w:eastAsia="Times New Roman" w:hAnsi="TimesET" w:cs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2C0229">
              <w:rPr>
                <w:rFonts w:ascii="TimesET" w:eastAsia="Times New Roman" w:hAnsi="TimesET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E2A20" w:rsidRPr="002C0229" w:rsidRDefault="008E2A20" w:rsidP="006A6478">
            <w:pPr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2C0229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202</w:t>
            </w:r>
            <w:r w:rsidR="00A7669F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1</w:t>
            </w:r>
            <w:r w:rsidRPr="002C0229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E2A20" w:rsidRPr="002C0229" w:rsidRDefault="008E2A20" w:rsidP="006A6478">
            <w:pPr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2C0229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202</w:t>
            </w:r>
            <w:r w:rsidR="00A7669F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</w:t>
            </w:r>
            <w:r w:rsidRPr="002C0229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8E2A20" w:rsidRPr="002C0229" w:rsidRDefault="008E2A20" w:rsidP="006A6478">
            <w:pPr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2C0229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202</w:t>
            </w:r>
            <w:r w:rsidR="00A7669F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3</w:t>
            </w:r>
            <w:r w:rsidRPr="002C0229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E2A20" w:rsidRPr="002C0229" w:rsidTr="008E2A20">
        <w:tc>
          <w:tcPr>
            <w:tcW w:w="1985" w:type="dxa"/>
            <w:vMerge/>
            <w:shd w:val="clear" w:color="auto" w:fill="auto"/>
          </w:tcPr>
          <w:p w:rsidR="008E2A20" w:rsidRPr="002C0229" w:rsidRDefault="008E2A20" w:rsidP="006A6478">
            <w:pPr>
              <w:tabs>
                <w:tab w:val="left" w:pos="3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2A20" w:rsidRPr="002C0229" w:rsidRDefault="008E2A20" w:rsidP="006A6478">
            <w:pPr>
              <w:tabs>
                <w:tab w:val="left" w:pos="3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E2A20" w:rsidRPr="002C0229" w:rsidRDefault="008E2A20" w:rsidP="006A6478">
            <w:pPr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2C0229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сумма (</w:t>
            </w:r>
            <w:r w:rsidRPr="002C0229">
              <w:rPr>
                <w:rFonts w:ascii="TimesET" w:eastAsia="Times New Roman" w:hAnsi="TimesET" w:cs="Times New Roman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1276" w:type="dxa"/>
            <w:shd w:val="clear" w:color="auto" w:fill="auto"/>
          </w:tcPr>
          <w:p w:rsidR="008E2A20" w:rsidRPr="002C0229" w:rsidRDefault="008E2A20" w:rsidP="006A6478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proofErr w:type="spellStart"/>
            <w:r w:rsidRPr="002C0229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предыду</w:t>
            </w:r>
            <w:proofErr w:type="spellEnd"/>
          </w:p>
          <w:p w:rsidR="008E2A20" w:rsidRPr="002C0229" w:rsidRDefault="008E2A20" w:rsidP="006A6478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2C0229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C0229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щему</w:t>
            </w:r>
            <w:proofErr w:type="spellEnd"/>
            <w:r w:rsidRPr="002C0229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8E2A20" w:rsidRPr="002C0229" w:rsidRDefault="008E2A20" w:rsidP="006A6478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ET" w:eastAsia="Times New Roman" w:hAnsi="TimesET" w:cs="Times New Roman"/>
                <w:sz w:val="18"/>
                <w:szCs w:val="18"/>
                <w:lang w:eastAsia="ru-RU"/>
              </w:rPr>
            </w:pPr>
            <w:r w:rsidRPr="002C0229">
              <w:rPr>
                <w:rFonts w:ascii="TimesET" w:eastAsia="Times New Roman" w:hAnsi="TimesET" w:cs="Times New Roman"/>
                <w:sz w:val="18"/>
                <w:szCs w:val="18"/>
                <w:lang w:eastAsia="ru-RU"/>
              </w:rPr>
              <w:t>(%)</w:t>
            </w:r>
          </w:p>
        </w:tc>
        <w:tc>
          <w:tcPr>
            <w:tcW w:w="992" w:type="dxa"/>
            <w:shd w:val="clear" w:color="auto" w:fill="auto"/>
          </w:tcPr>
          <w:p w:rsidR="008E2A20" w:rsidRPr="002C0229" w:rsidRDefault="008E2A20" w:rsidP="006A6478">
            <w:pPr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2C0229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сумма </w:t>
            </w:r>
            <w:r w:rsidRPr="002C0229">
              <w:rPr>
                <w:rFonts w:ascii="TimesET" w:eastAsia="Times New Roman" w:hAnsi="TimesET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276" w:type="dxa"/>
            <w:shd w:val="clear" w:color="auto" w:fill="auto"/>
          </w:tcPr>
          <w:p w:rsidR="008E2A20" w:rsidRPr="002C0229" w:rsidRDefault="008E2A20" w:rsidP="006A6478">
            <w:pPr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2C0229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2C0229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предыду-щему</w:t>
            </w:r>
            <w:proofErr w:type="spellEnd"/>
            <w:r w:rsidRPr="002C0229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8E2A20" w:rsidRPr="002C0229" w:rsidRDefault="008E2A20" w:rsidP="006A6478">
            <w:pPr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ET" w:eastAsia="Times New Roman" w:hAnsi="TimesET" w:cs="Times New Roman"/>
                <w:sz w:val="18"/>
                <w:szCs w:val="18"/>
                <w:lang w:eastAsia="ru-RU"/>
              </w:rPr>
            </w:pPr>
            <w:r w:rsidRPr="002C0229">
              <w:rPr>
                <w:rFonts w:ascii="TimesET" w:eastAsia="Times New Roman" w:hAnsi="TimesET" w:cs="Times New Roman"/>
                <w:sz w:val="18"/>
                <w:szCs w:val="18"/>
                <w:lang w:eastAsia="ru-RU"/>
              </w:rPr>
              <w:t>(%)</w:t>
            </w:r>
          </w:p>
        </w:tc>
        <w:tc>
          <w:tcPr>
            <w:tcW w:w="1124" w:type="dxa"/>
            <w:shd w:val="clear" w:color="auto" w:fill="auto"/>
          </w:tcPr>
          <w:p w:rsidR="008E2A20" w:rsidRPr="002C0229" w:rsidRDefault="008E2A20" w:rsidP="006A6478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2C0229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сумма </w:t>
            </w:r>
            <w:r w:rsidRPr="002C0229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968" w:type="dxa"/>
            <w:shd w:val="clear" w:color="auto" w:fill="auto"/>
          </w:tcPr>
          <w:p w:rsidR="008E2A20" w:rsidRPr="002C0229" w:rsidRDefault="008E2A20" w:rsidP="006A6478">
            <w:pPr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2C0229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</w:t>
            </w:r>
            <w:r w:rsidRPr="008E2A20">
              <w:rPr>
                <w:rFonts w:ascii="TimesET" w:eastAsia="Times New Roman" w:hAnsi="TimesET" w:cs="Times New Roman"/>
                <w:lang w:eastAsia="ru-RU"/>
              </w:rPr>
              <w:t xml:space="preserve">к </w:t>
            </w:r>
            <w:proofErr w:type="spellStart"/>
            <w:r w:rsidRPr="008E2A20">
              <w:rPr>
                <w:rFonts w:ascii="TimesET" w:eastAsia="Times New Roman" w:hAnsi="TimesET" w:cs="Times New Roman"/>
                <w:lang w:eastAsia="ru-RU"/>
              </w:rPr>
              <w:t>преды-дущему</w:t>
            </w:r>
            <w:proofErr w:type="spellEnd"/>
            <w:r w:rsidRPr="008E2A20">
              <w:rPr>
                <w:rFonts w:ascii="TimesET" w:eastAsia="Times New Roman" w:hAnsi="TimesET" w:cs="Times New Roman"/>
                <w:lang w:eastAsia="ru-RU"/>
              </w:rPr>
              <w:t xml:space="preserve"> году</w:t>
            </w:r>
            <w:r w:rsidRPr="002C0229">
              <w:rPr>
                <w:rFonts w:ascii="TimesET" w:eastAsia="Times New Roman" w:hAnsi="TimesET" w:cs="Times New Roman"/>
                <w:sz w:val="18"/>
                <w:szCs w:val="18"/>
                <w:lang w:eastAsia="ru-RU"/>
              </w:rPr>
              <w:t>(%)</w:t>
            </w:r>
          </w:p>
        </w:tc>
      </w:tr>
      <w:tr w:rsidR="007C0ADF" w:rsidRPr="002C0229" w:rsidTr="008B7DB3">
        <w:trPr>
          <w:trHeight w:val="471"/>
        </w:trPr>
        <w:tc>
          <w:tcPr>
            <w:tcW w:w="1985" w:type="dxa"/>
            <w:shd w:val="clear" w:color="auto" w:fill="auto"/>
          </w:tcPr>
          <w:p w:rsidR="007C0ADF" w:rsidRPr="00B76DE9" w:rsidRDefault="007C0ADF" w:rsidP="006A64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Доходы, всего</w:t>
            </w:r>
          </w:p>
        </w:tc>
        <w:tc>
          <w:tcPr>
            <w:tcW w:w="1276" w:type="dxa"/>
            <w:shd w:val="clear" w:color="auto" w:fill="auto"/>
          </w:tcPr>
          <w:p w:rsidR="007C0ADF" w:rsidRDefault="007C0ADF" w:rsidP="006A6478">
            <w:pPr>
              <w:jc w:val="both"/>
              <w:rPr>
                <w:rFonts w:ascii="TimesET" w:hAnsi="TimesE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b/>
                <w:bCs/>
                <w:color w:val="000000"/>
                <w:sz w:val="20"/>
                <w:szCs w:val="20"/>
              </w:rPr>
              <w:t>6992,3</w:t>
            </w:r>
          </w:p>
        </w:tc>
        <w:tc>
          <w:tcPr>
            <w:tcW w:w="992" w:type="dxa"/>
            <w:shd w:val="clear" w:color="auto" w:fill="auto"/>
          </w:tcPr>
          <w:p w:rsidR="007C0ADF" w:rsidRDefault="007C0ADF" w:rsidP="006A6478">
            <w:pPr>
              <w:jc w:val="both"/>
              <w:rPr>
                <w:rFonts w:ascii="TimesET" w:hAnsi="TimesE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b/>
                <w:bCs/>
                <w:color w:val="000000"/>
                <w:sz w:val="20"/>
                <w:szCs w:val="20"/>
              </w:rPr>
              <w:t>4889,5</w:t>
            </w:r>
          </w:p>
        </w:tc>
        <w:tc>
          <w:tcPr>
            <w:tcW w:w="1276" w:type="dxa"/>
            <w:shd w:val="clear" w:color="auto" w:fill="auto"/>
          </w:tcPr>
          <w:p w:rsidR="007C0ADF" w:rsidRDefault="007C0ADF" w:rsidP="006A6478">
            <w:pPr>
              <w:jc w:val="both"/>
              <w:rPr>
                <w:rFonts w:ascii="TimesET" w:hAnsi="TimesE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b/>
                <w:bCs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992" w:type="dxa"/>
            <w:shd w:val="clear" w:color="auto" w:fill="auto"/>
          </w:tcPr>
          <w:p w:rsidR="007C0ADF" w:rsidRDefault="007C0ADF" w:rsidP="006A6478">
            <w:pPr>
              <w:jc w:val="both"/>
              <w:rPr>
                <w:rFonts w:ascii="TimesET" w:hAnsi="TimesE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b/>
                <w:bCs/>
                <w:color w:val="000000"/>
                <w:sz w:val="20"/>
                <w:szCs w:val="20"/>
              </w:rPr>
              <w:t>4628,1</w:t>
            </w:r>
          </w:p>
        </w:tc>
        <w:tc>
          <w:tcPr>
            <w:tcW w:w="1276" w:type="dxa"/>
            <w:shd w:val="clear" w:color="auto" w:fill="auto"/>
          </w:tcPr>
          <w:p w:rsidR="007C0ADF" w:rsidRDefault="007C0ADF" w:rsidP="006A6478">
            <w:pPr>
              <w:jc w:val="both"/>
              <w:rPr>
                <w:rFonts w:ascii="TimesET" w:hAnsi="TimesE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b/>
                <w:bCs/>
                <w:color w:val="000000"/>
                <w:sz w:val="20"/>
                <w:szCs w:val="20"/>
              </w:rPr>
              <w:t>94,7</w:t>
            </w:r>
          </w:p>
        </w:tc>
        <w:tc>
          <w:tcPr>
            <w:tcW w:w="1124" w:type="dxa"/>
            <w:shd w:val="clear" w:color="auto" w:fill="auto"/>
          </w:tcPr>
          <w:p w:rsidR="007C0ADF" w:rsidRDefault="007C0ADF" w:rsidP="006A6478">
            <w:pPr>
              <w:jc w:val="both"/>
              <w:rPr>
                <w:rFonts w:ascii="TimesET" w:hAnsi="TimesE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b/>
                <w:bCs/>
                <w:color w:val="000000"/>
                <w:sz w:val="20"/>
                <w:szCs w:val="20"/>
              </w:rPr>
              <w:t>4570,8</w:t>
            </w:r>
          </w:p>
        </w:tc>
        <w:tc>
          <w:tcPr>
            <w:tcW w:w="968" w:type="dxa"/>
            <w:shd w:val="clear" w:color="auto" w:fill="auto"/>
          </w:tcPr>
          <w:p w:rsidR="007C0ADF" w:rsidRDefault="007C0ADF" w:rsidP="006A6478">
            <w:pPr>
              <w:jc w:val="both"/>
              <w:rPr>
                <w:rFonts w:ascii="TimesET" w:hAnsi="TimesE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b/>
                <w:bCs/>
                <w:color w:val="000000"/>
                <w:sz w:val="20"/>
                <w:szCs w:val="20"/>
              </w:rPr>
              <w:t>-98,8</w:t>
            </w:r>
          </w:p>
        </w:tc>
      </w:tr>
      <w:tr w:rsidR="007C0ADF" w:rsidRPr="002C0229" w:rsidTr="00B76DE9">
        <w:trPr>
          <w:trHeight w:val="291"/>
        </w:trPr>
        <w:tc>
          <w:tcPr>
            <w:tcW w:w="1985" w:type="dxa"/>
            <w:shd w:val="clear" w:color="auto" w:fill="auto"/>
          </w:tcPr>
          <w:p w:rsidR="007C0ADF" w:rsidRPr="007C0ADF" w:rsidRDefault="007C0ADF" w:rsidP="006A6478">
            <w:pPr>
              <w:pStyle w:val="ac"/>
              <w:jc w:val="both"/>
              <w:rPr>
                <w:rFonts w:ascii="Times New Roman" w:hAnsi="Times New Roman"/>
              </w:rPr>
            </w:pPr>
            <w:r w:rsidRPr="007C0ADF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276" w:type="dxa"/>
            <w:shd w:val="clear" w:color="auto" w:fill="auto"/>
          </w:tcPr>
          <w:p w:rsidR="007C0ADF" w:rsidRDefault="007C0ADF" w:rsidP="006A6478">
            <w:pPr>
              <w:pStyle w:val="ac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92" w:type="dxa"/>
            <w:shd w:val="clear" w:color="auto" w:fill="auto"/>
          </w:tcPr>
          <w:p w:rsidR="007C0ADF" w:rsidRDefault="007C0ADF" w:rsidP="006A6478">
            <w:pPr>
              <w:pStyle w:val="ac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6" w:type="dxa"/>
            <w:shd w:val="clear" w:color="auto" w:fill="auto"/>
          </w:tcPr>
          <w:p w:rsidR="007C0ADF" w:rsidRDefault="007C0ADF" w:rsidP="006A6478">
            <w:pPr>
              <w:pStyle w:val="ac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92" w:type="dxa"/>
            <w:shd w:val="clear" w:color="auto" w:fill="auto"/>
          </w:tcPr>
          <w:p w:rsidR="007C0ADF" w:rsidRDefault="007C0ADF" w:rsidP="006A6478">
            <w:pPr>
              <w:pStyle w:val="ac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6" w:type="dxa"/>
            <w:shd w:val="clear" w:color="auto" w:fill="auto"/>
          </w:tcPr>
          <w:p w:rsidR="007C0ADF" w:rsidRDefault="007C0ADF" w:rsidP="006A6478">
            <w:pPr>
              <w:pStyle w:val="ac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24" w:type="dxa"/>
            <w:shd w:val="clear" w:color="auto" w:fill="auto"/>
          </w:tcPr>
          <w:p w:rsidR="007C0ADF" w:rsidRDefault="007C0ADF" w:rsidP="006A6478">
            <w:pPr>
              <w:pStyle w:val="ac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68" w:type="dxa"/>
            <w:shd w:val="clear" w:color="auto" w:fill="auto"/>
          </w:tcPr>
          <w:p w:rsidR="007C0ADF" w:rsidRDefault="007C0ADF" w:rsidP="006A6478">
            <w:pPr>
              <w:pStyle w:val="ac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7C0ADF" w:rsidRPr="002C0229" w:rsidTr="008E2A20">
        <w:trPr>
          <w:trHeight w:val="557"/>
        </w:trPr>
        <w:tc>
          <w:tcPr>
            <w:tcW w:w="1985" w:type="dxa"/>
            <w:shd w:val="clear" w:color="auto" w:fill="auto"/>
          </w:tcPr>
          <w:p w:rsidR="007C0ADF" w:rsidRPr="00B76DE9" w:rsidRDefault="007C0ADF" w:rsidP="006A64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Собственные доходы</w:t>
            </w:r>
          </w:p>
        </w:tc>
        <w:tc>
          <w:tcPr>
            <w:tcW w:w="1276" w:type="dxa"/>
            <w:shd w:val="clear" w:color="auto" w:fill="auto"/>
          </w:tcPr>
          <w:p w:rsidR="007C0ADF" w:rsidRDefault="007C0ADF" w:rsidP="006A6478">
            <w:pPr>
              <w:jc w:val="both"/>
              <w:rPr>
                <w:rFonts w:ascii="TimesET" w:hAnsi="TimesET"/>
                <w:color w:val="000000"/>
              </w:rPr>
            </w:pPr>
            <w:r>
              <w:rPr>
                <w:rFonts w:ascii="TimesET" w:hAnsi="TimesET"/>
                <w:color w:val="000000"/>
              </w:rPr>
              <w:t>1255,9</w:t>
            </w:r>
          </w:p>
        </w:tc>
        <w:tc>
          <w:tcPr>
            <w:tcW w:w="992" w:type="dxa"/>
            <w:shd w:val="clear" w:color="auto" w:fill="auto"/>
          </w:tcPr>
          <w:p w:rsidR="007C0ADF" w:rsidRDefault="007C0ADF" w:rsidP="006A6478">
            <w:pPr>
              <w:jc w:val="both"/>
              <w:rPr>
                <w:rFonts w:ascii="TimesET" w:hAnsi="TimesET"/>
                <w:color w:val="000000"/>
              </w:rPr>
            </w:pPr>
            <w:r>
              <w:rPr>
                <w:rFonts w:ascii="TimesET" w:hAnsi="TimesET"/>
                <w:color w:val="000000"/>
              </w:rPr>
              <w:t>1288,7</w:t>
            </w:r>
          </w:p>
        </w:tc>
        <w:tc>
          <w:tcPr>
            <w:tcW w:w="1276" w:type="dxa"/>
            <w:shd w:val="clear" w:color="auto" w:fill="auto"/>
          </w:tcPr>
          <w:p w:rsidR="007C0ADF" w:rsidRDefault="007C0ADF" w:rsidP="006A6478">
            <w:pPr>
              <w:jc w:val="both"/>
              <w:rPr>
                <w:rFonts w:ascii="TimesET" w:hAnsi="TimesET"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992" w:type="dxa"/>
            <w:shd w:val="clear" w:color="auto" w:fill="auto"/>
          </w:tcPr>
          <w:p w:rsidR="007C0ADF" w:rsidRDefault="007C0ADF" w:rsidP="006A6478">
            <w:pPr>
              <w:jc w:val="both"/>
              <w:rPr>
                <w:rFonts w:ascii="TimesET" w:hAnsi="TimesET"/>
                <w:color w:val="000000"/>
              </w:rPr>
            </w:pPr>
            <w:r>
              <w:rPr>
                <w:rFonts w:ascii="TimesET" w:hAnsi="TimesET"/>
                <w:color w:val="000000"/>
              </w:rPr>
              <w:t>1338,6</w:t>
            </w:r>
          </w:p>
        </w:tc>
        <w:tc>
          <w:tcPr>
            <w:tcW w:w="1276" w:type="dxa"/>
            <w:shd w:val="clear" w:color="auto" w:fill="auto"/>
          </w:tcPr>
          <w:p w:rsidR="007C0ADF" w:rsidRDefault="007C0ADF" w:rsidP="006A6478">
            <w:pPr>
              <w:jc w:val="both"/>
              <w:rPr>
                <w:rFonts w:ascii="TimesET" w:hAnsi="TimesET"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color w:val="000000"/>
                <w:sz w:val="20"/>
                <w:szCs w:val="20"/>
              </w:rPr>
              <w:t>103,9</w:t>
            </w:r>
          </w:p>
        </w:tc>
        <w:tc>
          <w:tcPr>
            <w:tcW w:w="1124" w:type="dxa"/>
            <w:shd w:val="clear" w:color="auto" w:fill="auto"/>
          </w:tcPr>
          <w:p w:rsidR="007C0ADF" w:rsidRDefault="007C0ADF" w:rsidP="006A6478">
            <w:pPr>
              <w:jc w:val="both"/>
              <w:rPr>
                <w:rFonts w:ascii="TimesET" w:hAnsi="TimesET"/>
                <w:color w:val="000000"/>
              </w:rPr>
            </w:pPr>
            <w:r>
              <w:rPr>
                <w:rFonts w:ascii="TimesET" w:hAnsi="TimesET"/>
                <w:color w:val="000000"/>
              </w:rPr>
              <w:t>1442,3</w:t>
            </w:r>
          </w:p>
        </w:tc>
        <w:tc>
          <w:tcPr>
            <w:tcW w:w="968" w:type="dxa"/>
            <w:shd w:val="clear" w:color="auto" w:fill="auto"/>
          </w:tcPr>
          <w:p w:rsidR="007C0ADF" w:rsidRDefault="007C0ADF" w:rsidP="006A6478">
            <w:pPr>
              <w:jc w:val="both"/>
              <w:rPr>
                <w:rFonts w:ascii="TimesET" w:hAnsi="TimesET"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color w:val="000000"/>
                <w:sz w:val="20"/>
                <w:szCs w:val="20"/>
              </w:rPr>
              <w:t>-107,7</w:t>
            </w:r>
          </w:p>
        </w:tc>
      </w:tr>
      <w:tr w:rsidR="007C0ADF" w:rsidRPr="002C0229" w:rsidTr="008E2A20">
        <w:trPr>
          <w:trHeight w:val="580"/>
        </w:trPr>
        <w:tc>
          <w:tcPr>
            <w:tcW w:w="1985" w:type="dxa"/>
            <w:shd w:val="clear" w:color="auto" w:fill="auto"/>
          </w:tcPr>
          <w:p w:rsidR="007C0ADF" w:rsidRPr="00B76DE9" w:rsidRDefault="007C0ADF" w:rsidP="006A64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 общем объеме доходов</w:t>
            </w:r>
          </w:p>
        </w:tc>
        <w:tc>
          <w:tcPr>
            <w:tcW w:w="1276" w:type="dxa"/>
            <w:shd w:val="clear" w:color="auto" w:fill="auto"/>
          </w:tcPr>
          <w:p w:rsidR="007C0ADF" w:rsidRDefault="007C0ADF" w:rsidP="006A6478">
            <w:pPr>
              <w:jc w:val="both"/>
              <w:rPr>
                <w:rFonts w:ascii="TimesET" w:hAnsi="TimesET"/>
                <w:color w:val="000000"/>
              </w:rPr>
            </w:pPr>
            <w:r>
              <w:rPr>
                <w:rFonts w:ascii="TimesET" w:hAnsi="TimesET"/>
                <w:color w:val="000000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7C0ADF" w:rsidRDefault="007C0ADF" w:rsidP="006A6478">
            <w:pPr>
              <w:jc w:val="both"/>
              <w:rPr>
                <w:rFonts w:ascii="TimesET" w:hAnsi="TimesET"/>
                <w:color w:val="000000"/>
              </w:rPr>
            </w:pPr>
            <w:r>
              <w:rPr>
                <w:rFonts w:ascii="TimesET" w:hAnsi="TimesET"/>
                <w:color w:val="000000"/>
              </w:rPr>
              <w:t>26,4</w:t>
            </w:r>
          </w:p>
        </w:tc>
        <w:tc>
          <w:tcPr>
            <w:tcW w:w="1276" w:type="dxa"/>
            <w:shd w:val="clear" w:color="auto" w:fill="auto"/>
          </w:tcPr>
          <w:p w:rsidR="007C0ADF" w:rsidRDefault="007C0ADF" w:rsidP="006A6478">
            <w:pPr>
              <w:jc w:val="both"/>
              <w:rPr>
                <w:rFonts w:ascii="TimesET" w:hAnsi="TimesE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ET" w:hAnsi="TimesET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C0ADF" w:rsidRDefault="007C0ADF" w:rsidP="006A6478">
            <w:pPr>
              <w:jc w:val="both"/>
              <w:rPr>
                <w:rFonts w:ascii="TimesET" w:hAnsi="TimesET"/>
                <w:color w:val="000000"/>
              </w:rPr>
            </w:pPr>
            <w:r>
              <w:rPr>
                <w:rFonts w:ascii="TimesET" w:hAnsi="TimesET"/>
                <w:color w:val="000000"/>
              </w:rPr>
              <w:t>28,9</w:t>
            </w:r>
          </w:p>
        </w:tc>
        <w:tc>
          <w:tcPr>
            <w:tcW w:w="1276" w:type="dxa"/>
            <w:shd w:val="clear" w:color="auto" w:fill="auto"/>
          </w:tcPr>
          <w:p w:rsidR="007C0ADF" w:rsidRDefault="007C0ADF" w:rsidP="006A6478">
            <w:pPr>
              <w:jc w:val="both"/>
              <w:rPr>
                <w:rFonts w:ascii="TimesET" w:hAnsi="TimesE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ET" w:hAnsi="TimesET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4" w:type="dxa"/>
            <w:shd w:val="clear" w:color="auto" w:fill="auto"/>
          </w:tcPr>
          <w:p w:rsidR="007C0ADF" w:rsidRDefault="007C0ADF" w:rsidP="006A6478">
            <w:pPr>
              <w:jc w:val="both"/>
              <w:rPr>
                <w:rFonts w:ascii="TimesET" w:hAnsi="TimesET"/>
                <w:color w:val="000000"/>
              </w:rPr>
            </w:pPr>
            <w:r>
              <w:rPr>
                <w:rFonts w:ascii="TimesET" w:hAnsi="TimesET"/>
                <w:color w:val="000000"/>
              </w:rPr>
              <w:t>31,6</w:t>
            </w:r>
          </w:p>
        </w:tc>
        <w:tc>
          <w:tcPr>
            <w:tcW w:w="968" w:type="dxa"/>
            <w:shd w:val="clear" w:color="auto" w:fill="auto"/>
          </w:tcPr>
          <w:p w:rsidR="007C0ADF" w:rsidRDefault="007C0ADF" w:rsidP="006A6478">
            <w:pPr>
              <w:jc w:val="both"/>
              <w:rPr>
                <w:rFonts w:ascii="TimesET" w:hAnsi="TimesE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ET" w:hAnsi="TimesET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7C0ADF" w:rsidRPr="002C0229" w:rsidTr="008E2A20">
        <w:tc>
          <w:tcPr>
            <w:tcW w:w="1985" w:type="dxa"/>
            <w:shd w:val="clear" w:color="auto" w:fill="auto"/>
          </w:tcPr>
          <w:p w:rsidR="007C0ADF" w:rsidRPr="00B76DE9" w:rsidRDefault="007C0ADF" w:rsidP="006A64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</w:tcPr>
          <w:p w:rsidR="007C0ADF" w:rsidRDefault="007C0ADF" w:rsidP="006A6478">
            <w:pPr>
              <w:jc w:val="both"/>
              <w:rPr>
                <w:rFonts w:ascii="TimesET" w:hAnsi="TimesET"/>
                <w:color w:val="000000"/>
              </w:rPr>
            </w:pPr>
            <w:r>
              <w:rPr>
                <w:rFonts w:ascii="TimesET" w:hAnsi="TimesET"/>
                <w:color w:val="000000"/>
              </w:rPr>
              <w:t>5736,4</w:t>
            </w:r>
          </w:p>
        </w:tc>
        <w:tc>
          <w:tcPr>
            <w:tcW w:w="992" w:type="dxa"/>
            <w:shd w:val="clear" w:color="auto" w:fill="auto"/>
          </w:tcPr>
          <w:p w:rsidR="007C0ADF" w:rsidRDefault="007C0ADF" w:rsidP="006A6478">
            <w:pPr>
              <w:jc w:val="both"/>
              <w:rPr>
                <w:rFonts w:ascii="TimesET" w:hAnsi="TimesET"/>
                <w:color w:val="000000"/>
              </w:rPr>
            </w:pPr>
            <w:r>
              <w:rPr>
                <w:rFonts w:ascii="TimesET" w:hAnsi="TimesET"/>
                <w:color w:val="000000"/>
              </w:rPr>
              <w:t>3600,8</w:t>
            </w:r>
          </w:p>
        </w:tc>
        <w:tc>
          <w:tcPr>
            <w:tcW w:w="1276" w:type="dxa"/>
            <w:shd w:val="clear" w:color="auto" w:fill="auto"/>
          </w:tcPr>
          <w:p w:rsidR="007C0ADF" w:rsidRDefault="007C0ADF" w:rsidP="006A6478">
            <w:pPr>
              <w:jc w:val="both"/>
              <w:rPr>
                <w:rFonts w:ascii="TimesET" w:hAnsi="TimesET"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992" w:type="dxa"/>
            <w:shd w:val="clear" w:color="auto" w:fill="auto"/>
          </w:tcPr>
          <w:p w:rsidR="007C0ADF" w:rsidRDefault="007C0ADF" w:rsidP="006A6478">
            <w:pPr>
              <w:jc w:val="both"/>
              <w:rPr>
                <w:rFonts w:ascii="TimesET" w:hAnsi="TimesET"/>
                <w:color w:val="000000"/>
              </w:rPr>
            </w:pPr>
            <w:r>
              <w:rPr>
                <w:rFonts w:ascii="TimesET" w:hAnsi="TimesET"/>
                <w:color w:val="000000"/>
              </w:rPr>
              <w:t>3289,5</w:t>
            </w:r>
          </w:p>
        </w:tc>
        <w:tc>
          <w:tcPr>
            <w:tcW w:w="1276" w:type="dxa"/>
            <w:shd w:val="clear" w:color="auto" w:fill="auto"/>
          </w:tcPr>
          <w:p w:rsidR="007C0ADF" w:rsidRDefault="007C0ADF" w:rsidP="006A6478">
            <w:pPr>
              <w:jc w:val="both"/>
              <w:rPr>
                <w:rFonts w:ascii="TimesET" w:hAnsi="TimesET"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color w:val="000000"/>
                <w:sz w:val="20"/>
                <w:szCs w:val="20"/>
              </w:rPr>
              <w:t>91,4</w:t>
            </w:r>
          </w:p>
        </w:tc>
        <w:tc>
          <w:tcPr>
            <w:tcW w:w="1124" w:type="dxa"/>
            <w:shd w:val="clear" w:color="auto" w:fill="auto"/>
          </w:tcPr>
          <w:p w:rsidR="007C0ADF" w:rsidRDefault="007C0ADF" w:rsidP="006A6478">
            <w:pPr>
              <w:jc w:val="both"/>
              <w:rPr>
                <w:rFonts w:ascii="TimesET" w:hAnsi="TimesET"/>
                <w:color w:val="000000"/>
              </w:rPr>
            </w:pPr>
            <w:r>
              <w:rPr>
                <w:rFonts w:ascii="TimesET" w:hAnsi="TimesET"/>
                <w:color w:val="000000"/>
              </w:rPr>
              <w:t>3128,5</w:t>
            </w:r>
          </w:p>
        </w:tc>
        <w:tc>
          <w:tcPr>
            <w:tcW w:w="968" w:type="dxa"/>
            <w:shd w:val="clear" w:color="auto" w:fill="auto"/>
          </w:tcPr>
          <w:p w:rsidR="007C0ADF" w:rsidRDefault="007C0ADF" w:rsidP="006A6478">
            <w:pPr>
              <w:jc w:val="both"/>
              <w:rPr>
                <w:rFonts w:ascii="TimesET" w:hAnsi="TimesET"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color w:val="000000"/>
                <w:sz w:val="20"/>
                <w:szCs w:val="20"/>
              </w:rPr>
              <w:t>-95,1</w:t>
            </w:r>
          </w:p>
        </w:tc>
      </w:tr>
      <w:tr w:rsidR="00B76DE9" w:rsidRPr="002C0229" w:rsidTr="008E2A20">
        <w:trPr>
          <w:trHeight w:val="604"/>
        </w:trPr>
        <w:tc>
          <w:tcPr>
            <w:tcW w:w="1985" w:type="dxa"/>
            <w:shd w:val="clear" w:color="auto" w:fill="auto"/>
          </w:tcPr>
          <w:p w:rsidR="00B76DE9" w:rsidRPr="00B76DE9" w:rsidRDefault="00B76DE9" w:rsidP="006A64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 общем объеме доходов</w:t>
            </w:r>
          </w:p>
        </w:tc>
        <w:tc>
          <w:tcPr>
            <w:tcW w:w="1276" w:type="dxa"/>
            <w:shd w:val="clear" w:color="auto" w:fill="auto"/>
          </w:tcPr>
          <w:p w:rsidR="00B76DE9" w:rsidRPr="00B76DE9" w:rsidRDefault="00B76DE9" w:rsidP="006A647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992" w:type="dxa"/>
            <w:shd w:val="clear" w:color="auto" w:fill="auto"/>
          </w:tcPr>
          <w:p w:rsidR="00B76DE9" w:rsidRPr="00B76DE9" w:rsidRDefault="00B76DE9" w:rsidP="006A647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82,1</w:t>
            </w:r>
          </w:p>
        </w:tc>
        <w:tc>
          <w:tcPr>
            <w:tcW w:w="1276" w:type="dxa"/>
            <w:shd w:val="clear" w:color="auto" w:fill="auto"/>
          </w:tcPr>
          <w:p w:rsidR="00B76DE9" w:rsidRPr="00B76DE9" w:rsidRDefault="00B76DE9" w:rsidP="006A647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76DE9" w:rsidRPr="00B76DE9" w:rsidRDefault="00B76DE9" w:rsidP="006A647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</w:t>
            </w:r>
          </w:p>
        </w:tc>
        <w:tc>
          <w:tcPr>
            <w:tcW w:w="1276" w:type="dxa"/>
            <w:shd w:val="clear" w:color="auto" w:fill="auto"/>
          </w:tcPr>
          <w:p w:rsidR="00B76DE9" w:rsidRPr="00B76DE9" w:rsidRDefault="00B76DE9" w:rsidP="006A647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24" w:type="dxa"/>
            <w:shd w:val="clear" w:color="auto" w:fill="auto"/>
          </w:tcPr>
          <w:p w:rsidR="00B76DE9" w:rsidRPr="00B76DE9" w:rsidRDefault="00B76DE9" w:rsidP="006A647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</w:t>
            </w:r>
          </w:p>
        </w:tc>
        <w:tc>
          <w:tcPr>
            <w:tcW w:w="968" w:type="dxa"/>
            <w:shd w:val="clear" w:color="auto" w:fill="auto"/>
          </w:tcPr>
          <w:p w:rsidR="00B76DE9" w:rsidRPr="00B76DE9" w:rsidRDefault="00B76DE9" w:rsidP="006A647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</w:tbl>
    <w:p w:rsidR="00B76DE9" w:rsidRDefault="003A70FD" w:rsidP="006A6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0FD">
        <w:rPr>
          <w:rFonts w:ascii="Times New Roman" w:hAnsi="Times New Roman" w:cs="Times New Roman"/>
          <w:sz w:val="24"/>
          <w:szCs w:val="24"/>
        </w:rPr>
        <w:t>Собственные доходы поселения</w:t>
      </w:r>
      <w:r w:rsidR="005C23E6">
        <w:rPr>
          <w:rFonts w:ascii="Times New Roman" w:hAnsi="Times New Roman" w:cs="Times New Roman"/>
          <w:sz w:val="24"/>
          <w:szCs w:val="24"/>
        </w:rPr>
        <w:t xml:space="preserve">  </w:t>
      </w:r>
      <w:r w:rsidRPr="003A70FD">
        <w:rPr>
          <w:rFonts w:ascii="Times New Roman" w:hAnsi="Times New Roman" w:cs="Times New Roman"/>
          <w:sz w:val="24"/>
          <w:szCs w:val="24"/>
        </w:rPr>
        <w:t xml:space="preserve">на 2021 год </w:t>
      </w:r>
      <w:r w:rsidR="005C23E6">
        <w:rPr>
          <w:rFonts w:ascii="Times New Roman" w:hAnsi="Times New Roman" w:cs="Times New Roman"/>
          <w:sz w:val="24"/>
          <w:szCs w:val="24"/>
        </w:rPr>
        <w:t xml:space="preserve"> планируются в сумме </w:t>
      </w:r>
      <w:r w:rsidRPr="003A70FD">
        <w:rPr>
          <w:rFonts w:ascii="Times New Roman" w:hAnsi="Times New Roman" w:cs="Times New Roman"/>
          <w:sz w:val="24"/>
          <w:szCs w:val="24"/>
        </w:rPr>
        <w:t xml:space="preserve"> </w:t>
      </w:r>
      <w:r w:rsidR="006A6478">
        <w:rPr>
          <w:rFonts w:ascii="Times New Roman" w:hAnsi="Times New Roman" w:cs="Times New Roman"/>
          <w:sz w:val="24"/>
          <w:szCs w:val="24"/>
        </w:rPr>
        <w:t>1288,7</w:t>
      </w:r>
      <w:r w:rsidRPr="003A70F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6250E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6A6478">
        <w:rPr>
          <w:rFonts w:ascii="Times New Roman" w:hAnsi="Times New Roman" w:cs="Times New Roman"/>
          <w:sz w:val="24"/>
          <w:szCs w:val="24"/>
        </w:rPr>
        <w:t>102,6</w:t>
      </w:r>
      <w:r w:rsidR="0066250E">
        <w:rPr>
          <w:rFonts w:ascii="Times New Roman" w:hAnsi="Times New Roman" w:cs="Times New Roman"/>
          <w:sz w:val="24"/>
          <w:szCs w:val="24"/>
        </w:rPr>
        <w:t xml:space="preserve"> % к 2020 году. Их удельный вес в доходах поселения составит </w:t>
      </w:r>
      <w:r w:rsidR="006A6478">
        <w:rPr>
          <w:rFonts w:ascii="Times New Roman" w:hAnsi="Times New Roman" w:cs="Times New Roman"/>
          <w:sz w:val="24"/>
          <w:szCs w:val="24"/>
        </w:rPr>
        <w:t>26,4</w:t>
      </w:r>
      <w:r w:rsidR="0066250E">
        <w:rPr>
          <w:rFonts w:ascii="Times New Roman" w:hAnsi="Times New Roman" w:cs="Times New Roman"/>
          <w:sz w:val="24"/>
          <w:szCs w:val="24"/>
        </w:rPr>
        <w:t xml:space="preserve"> %</w:t>
      </w:r>
      <w:r w:rsidR="00B76DE9">
        <w:rPr>
          <w:rFonts w:ascii="Times New Roman" w:hAnsi="Times New Roman" w:cs="Times New Roman"/>
          <w:sz w:val="24"/>
          <w:szCs w:val="24"/>
        </w:rPr>
        <w:t>, что  на 2,0 %-</w:t>
      </w:r>
      <w:proofErr w:type="spellStart"/>
      <w:r w:rsidR="00B76DE9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="00B76DE9">
        <w:rPr>
          <w:rFonts w:ascii="Times New Roman" w:hAnsi="Times New Roman" w:cs="Times New Roman"/>
          <w:sz w:val="24"/>
          <w:szCs w:val="24"/>
        </w:rPr>
        <w:t xml:space="preserve">  пункта выше уровня 2020 года.</w:t>
      </w:r>
    </w:p>
    <w:p w:rsidR="003A70FD" w:rsidRPr="003A70FD" w:rsidRDefault="005C23E6" w:rsidP="006A6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="006A6478">
        <w:rPr>
          <w:rFonts w:ascii="Times New Roman" w:hAnsi="Times New Roman" w:cs="Times New Roman"/>
          <w:sz w:val="24"/>
          <w:szCs w:val="24"/>
        </w:rPr>
        <w:t xml:space="preserve">собственных доходов </w:t>
      </w:r>
      <w:r>
        <w:rPr>
          <w:rFonts w:ascii="Times New Roman" w:hAnsi="Times New Roman" w:cs="Times New Roman"/>
          <w:sz w:val="24"/>
          <w:szCs w:val="24"/>
        </w:rPr>
        <w:t xml:space="preserve">на плановый период  прогнозируется  в сумме </w:t>
      </w:r>
      <w:r w:rsidR="003A70FD" w:rsidRPr="003A70FD">
        <w:rPr>
          <w:rFonts w:ascii="Times New Roman" w:hAnsi="Times New Roman" w:cs="Times New Roman"/>
          <w:sz w:val="24"/>
          <w:szCs w:val="24"/>
        </w:rPr>
        <w:t xml:space="preserve"> </w:t>
      </w:r>
      <w:r w:rsidR="006A6478">
        <w:rPr>
          <w:rFonts w:ascii="Times New Roman" w:hAnsi="Times New Roman" w:cs="Times New Roman"/>
          <w:sz w:val="24"/>
          <w:szCs w:val="24"/>
        </w:rPr>
        <w:t>1338,6</w:t>
      </w:r>
      <w:r w:rsidR="003A70FD" w:rsidRPr="003A70FD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на 2022 год, и </w:t>
      </w:r>
      <w:r w:rsidR="006A6478">
        <w:rPr>
          <w:rFonts w:ascii="Times New Roman" w:hAnsi="Times New Roman" w:cs="Times New Roman"/>
          <w:sz w:val="24"/>
          <w:szCs w:val="24"/>
        </w:rPr>
        <w:t>1442,3</w:t>
      </w:r>
      <w:r w:rsidR="003A70FD" w:rsidRPr="003A70F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D4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на 2023 год.</w:t>
      </w:r>
      <w:r w:rsidR="003A70FD" w:rsidRPr="003A7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3E6" w:rsidRDefault="003A70FD" w:rsidP="006A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F3190"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безвозмездных поступлений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C23E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3190"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прогнозируется в сумме </w:t>
      </w:r>
      <w:r w:rsidR="006A6478">
        <w:rPr>
          <w:rFonts w:ascii="Times New Roman" w:eastAsia="Times New Roman" w:hAnsi="Times New Roman" w:cs="Times New Roman"/>
          <w:sz w:val="24"/>
          <w:szCs w:val="24"/>
          <w:lang w:eastAsia="ru-RU"/>
        </w:rPr>
        <w:t>3600,8</w:t>
      </w:r>
      <w:r w:rsidR="00BF3190"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666B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C2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 w:rsidR="004D42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37,</w:t>
      </w:r>
      <w:r w:rsidR="006A64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5C23E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утвержденны</w:t>
      </w:r>
      <w:r w:rsidR="0032605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C2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</w:t>
      </w:r>
      <w:r w:rsidR="0032605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C2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</w:t>
      </w:r>
      <w:r w:rsidR="0032605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C2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предшествующего года . На </w:t>
      </w:r>
      <w:r w:rsidR="0066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C23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6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5C2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безвозмездное поступление </w:t>
      </w:r>
      <w:r w:rsidR="005C2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в сумме </w:t>
      </w:r>
      <w:r w:rsidR="0066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478">
        <w:rPr>
          <w:rFonts w:ascii="Times New Roman" w:eastAsia="Times New Roman" w:hAnsi="Times New Roman" w:cs="Times New Roman"/>
          <w:sz w:val="24"/>
          <w:szCs w:val="24"/>
          <w:lang w:eastAsia="ru-RU"/>
        </w:rPr>
        <w:t>3289,5</w:t>
      </w:r>
      <w:r w:rsidR="0066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тыс.рублей, </w:t>
      </w:r>
      <w:r w:rsidR="005C2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C23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6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478">
        <w:rPr>
          <w:rFonts w:ascii="Times New Roman" w:eastAsia="Times New Roman" w:hAnsi="Times New Roman" w:cs="Times New Roman"/>
          <w:sz w:val="24"/>
          <w:szCs w:val="24"/>
          <w:lang w:eastAsia="ru-RU"/>
        </w:rPr>
        <w:t>3128,5</w:t>
      </w:r>
      <w:r w:rsidR="004D42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BF3190" w:rsidRPr="003B0526" w:rsidRDefault="00BF3190" w:rsidP="006A64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собственных доходов бюджета </w:t>
      </w:r>
      <w:r w:rsidR="00B73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Большеабакасинского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 w:rsidRPr="006D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представлена</w:t>
      </w: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нижеприведенной таблице</w:t>
      </w:r>
      <w:r w:rsidR="004D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</w:t>
      </w: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3190" w:rsidRDefault="004D42CF" w:rsidP="006A6478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Таблица №3</w:t>
      </w:r>
    </w:p>
    <w:tbl>
      <w:tblPr>
        <w:tblStyle w:val="a3"/>
        <w:tblW w:w="9746" w:type="dxa"/>
        <w:tblInd w:w="108" w:type="dxa"/>
        <w:tblLayout w:type="fixed"/>
        <w:tblLook w:val="01E0"/>
      </w:tblPr>
      <w:tblGrid>
        <w:gridCol w:w="3261"/>
        <w:gridCol w:w="1134"/>
        <w:gridCol w:w="992"/>
        <w:gridCol w:w="825"/>
        <w:gridCol w:w="876"/>
        <w:gridCol w:w="1276"/>
        <w:gridCol w:w="1382"/>
      </w:tblGrid>
      <w:tr w:rsidR="0066250E" w:rsidRPr="00B20B85" w:rsidTr="0032605B">
        <w:trPr>
          <w:trHeight w:val="21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50E" w:rsidRDefault="006625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50E" w:rsidRDefault="006625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 год план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50E" w:rsidRDefault="006625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0E" w:rsidRDefault="006625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Динамика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50E" w:rsidRDefault="006625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50E" w:rsidRDefault="006625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2023 год</w:t>
            </w:r>
          </w:p>
        </w:tc>
      </w:tr>
      <w:tr w:rsidR="0066250E" w:rsidRPr="00B20B85" w:rsidTr="0032605B">
        <w:trPr>
          <w:trHeight w:val="24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0E" w:rsidRDefault="0066250E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0E" w:rsidRDefault="0066250E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0E" w:rsidRDefault="0066250E">
            <w:pPr>
              <w:jc w:val="both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0E" w:rsidRDefault="006625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(%)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0E" w:rsidRDefault="0066250E" w:rsidP="004D42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(+ ; </w:t>
            </w:r>
            <w:r w:rsidR="004D42CF">
              <w:rPr>
                <w:color w:val="000000"/>
              </w:rPr>
              <w:t>-)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0E" w:rsidRDefault="0066250E">
            <w:pPr>
              <w:jc w:val="both"/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0E" w:rsidRDefault="0066250E">
            <w:pPr>
              <w:jc w:val="both"/>
              <w:rPr>
                <w:color w:val="000000"/>
              </w:rPr>
            </w:pPr>
          </w:p>
        </w:tc>
      </w:tr>
      <w:tr w:rsidR="004767A0" w:rsidRPr="00B20B85" w:rsidTr="003260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A0" w:rsidRPr="00931F48" w:rsidRDefault="004767A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31F48">
              <w:rPr>
                <w:b/>
                <w:color w:val="000000"/>
              </w:rPr>
              <w:t>Собственные доходы, всего,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A0" w:rsidRDefault="004767A0">
            <w:pPr>
              <w:jc w:val="right"/>
              <w:rPr>
                <w:rFonts w:ascii="TimesET" w:hAnsi="TimesE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ET" w:hAnsi="TimesET"/>
                <w:b/>
                <w:bCs/>
                <w:color w:val="000000"/>
                <w:sz w:val="22"/>
                <w:szCs w:val="22"/>
              </w:rPr>
              <w:t>1255,9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A0" w:rsidRDefault="004767A0">
            <w:pPr>
              <w:jc w:val="right"/>
              <w:rPr>
                <w:rFonts w:ascii="TimesET" w:hAnsi="TimesE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ET" w:hAnsi="TimesET"/>
                <w:b/>
                <w:bCs/>
                <w:color w:val="000000"/>
                <w:sz w:val="22"/>
                <w:szCs w:val="22"/>
              </w:rPr>
              <w:t>1288,7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A0" w:rsidRDefault="004767A0">
            <w:pPr>
              <w:jc w:val="right"/>
              <w:rPr>
                <w:rFonts w:ascii="TimesET" w:hAnsi="TimesET"/>
                <w:b/>
                <w:bCs/>
                <w:color w:val="000000"/>
              </w:rPr>
            </w:pPr>
            <w:r>
              <w:rPr>
                <w:rFonts w:ascii="TimesET" w:hAnsi="TimesET"/>
                <w:b/>
                <w:bCs/>
                <w:color w:val="000000"/>
              </w:rPr>
              <w:t>102,6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A0" w:rsidRDefault="004767A0">
            <w:pPr>
              <w:jc w:val="right"/>
              <w:rPr>
                <w:rFonts w:ascii="TimesET" w:hAnsi="TimesE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ET" w:hAnsi="TimesET"/>
                <w:b/>
                <w:bCs/>
                <w:color w:val="000000"/>
                <w:sz w:val="22"/>
                <w:szCs w:val="22"/>
              </w:rPr>
              <w:t>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A0" w:rsidRDefault="004767A0">
            <w:pPr>
              <w:jc w:val="right"/>
              <w:rPr>
                <w:rFonts w:ascii="TimesET" w:hAnsi="TimesET"/>
                <w:b/>
                <w:bCs/>
                <w:color w:val="000000"/>
              </w:rPr>
            </w:pPr>
            <w:r>
              <w:rPr>
                <w:rFonts w:ascii="TimesET" w:hAnsi="TimesET"/>
                <w:b/>
                <w:bCs/>
                <w:color w:val="000000"/>
              </w:rPr>
              <w:t>1338,6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A0" w:rsidRDefault="004767A0">
            <w:pPr>
              <w:jc w:val="right"/>
              <w:rPr>
                <w:rFonts w:ascii="TimesET" w:hAnsi="TimesE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ET" w:hAnsi="TimesET"/>
                <w:b/>
                <w:bCs/>
                <w:color w:val="000000"/>
                <w:sz w:val="22"/>
                <w:szCs w:val="22"/>
              </w:rPr>
              <w:t>1442,3</w:t>
            </w:r>
          </w:p>
        </w:tc>
      </w:tr>
      <w:tr w:rsidR="004767A0" w:rsidRPr="00B20B85" w:rsidTr="003260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A0" w:rsidRDefault="004767A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A0" w:rsidRDefault="004767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A0" w:rsidRDefault="004767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A0" w:rsidRDefault="004767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A0" w:rsidRDefault="004767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A0" w:rsidRDefault="004767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A0" w:rsidRDefault="004767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767A0" w:rsidRPr="00B20B85" w:rsidTr="003260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A0" w:rsidRPr="004D42CF" w:rsidRDefault="004767A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42CF">
              <w:rPr>
                <w:b/>
                <w:color w:val="000000"/>
              </w:rPr>
              <w:t>Налоговые доходы,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A0" w:rsidRDefault="004767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A0" w:rsidRDefault="004767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960,1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A0" w:rsidRDefault="004767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A0" w:rsidRDefault="004767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A0" w:rsidRDefault="004767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A0" w:rsidRDefault="004767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1101,6</w:t>
            </w:r>
          </w:p>
        </w:tc>
      </w:tr>
      <w:tr w:rsidR="004767A0" w:rsidRPr="00B20B85" w:rsidTr="003260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A0" w:rsidRDefault="004767A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Доля в общем объеме доходов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A0" w:rsidRDefault="004767A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A0" w:rsidRDefault="004767A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74,5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A0" w:rsidRDefault="004767A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A0" w:rsidRDefault="004767A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A0" w:rsidRDefault="004767A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A0" w:rsidRDefault="004767A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76,4</w:t>
            </w:r>
          </w:p>
        </w:tc>
      </w:tr>
      <w:tr w:rsidR="004767A0" w:rsidRPr="00B20B85" w:rsidTr="003260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A0" w:rsidRDefault="004767A0" w:rsidP="004D42CF">
            <w:pPr>
              <w:jc w:val="both"/>
              <w:rPr>
                <w:color w:val="000000"/>
                <w:sz w:val="24"/>
                <w:szCs w:val="24"/>
              </w:rPr>
            </w:pPr>
            <w:r w:rsidRPr="004D42CF">
              <w:rPr>
                <w:b/>
                <w:color w:val="000000"/>
              </w:rPr>
              <w:t xml:space="preserve">Неналоговые </w:t>
            </w:r>
            <w:proofErr w:type="spellStart"/>
            <w:r w:rsidRPr="004D42CF">
              <w:rPr>
                <w:b/>
                <w:color w:val="000000"/>
              </w:rPr>
              <w:t>доходы,тыс</w:t>
            </w:r>
            <w:proofErr w:type="spellEnd"/>
            <w:r w:rsidRPr="004D42CF">
              <w:rPr>
                <w:b/>
                <w:color w:val="000000"/>
              </w:rPr>
              <w:t>. руб</w:t>
            </w:r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A0" w:rsidRDefault="004767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A0" w:rsidRDefault="004767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328,6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A0" w:rsidRDefault="004767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A0" w:rsidRDefault="004767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A0" w:rsidRDefault="004767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329,6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A0" w:rsidRDefault="004767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340,7</w:t>
            </w:r>
          </w:p>
        </w:tc>
      </w:tr>
      <w:tr w:rsidR="004767A0" w:rsidRPr="00B20B85" w:rsidTr="003260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A0" w:rsidRDefault="004767A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Доля в общем объеме доходов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A0" w:rsidRDefault="004767A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A0" w:rsidRDefault="004767A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A0" w:rsidRDefault="004767A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A0" w:rsidRDefault="004767A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A0" w:rsidRDefault="004767A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A0" w:rsidRDefault="004767A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23,6</w:t>
            </w:r>
          </w:p>
        </w:tc>
      </w:tr>
    </w:tbl>
    <w:p w:rsidR="00BF3190" w:rsidRPr="003B0526" w:rsidRDefault="00BF3190" w:rsidP="00BF319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B0A" w:rsidRDefault="00BF3190" w:rsidP="002C5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Наибольший удельный вес в объеме собственных доходов </w:t>
      </w:r>
      <w:r w:rsidR="00F7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 налоговые доходы</w:t>
      </w:r>
      <w:r w:rsidR="00F70B0A">
        <w:rPr>
          <w:rFonts w:ascii="Times New Roman" w:eastAsia="Times New Roman" w:hAnsi="Times New Roman" w:cs="Times New Roman"/>
          <w:sz w:val="24"/>
          <w:szCs w:val="24"/>
          <w:lang w:eastAsia="ru-RU"/>
        </w:rPr>
        <w:t>.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доля  </w:t>
      </w:r>
      <w:r w:rsidR="006D21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32605B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="006D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0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93FE6">
        <w:rPr>
          <w:rFonts w:ascii="Times New Roman" w:eastAsia="Times New Roman" w:hAnsi="Times New Roman" w:cs="Times New Roman"/>
          <w:sz w:val="24"/>
          <w:szCs w:val="24"/>
          <w:lang w:eastAsia="ru-RU"/>
        </w:rPr>
        <w:t>4,5</w:t>
      </w:r>
      <w:r w:rsidR="006D21E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F7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на </w:t>
      </w:r>
      <w:r w:rsidR="00F93FE6">
        <w:rPr>
          <w:rFonts w:ascii="Times New Roman" w:eastAsia="Times New Roman" w:hAnsi="Times New Roman" w:cs="Times New Roman"/>
          <w:sz w:val="24"/>
          <w:szCs w:val="24"/>
          <w:lang w:eastAsia="ru-RU"/>
        </w:rPr>
        <w:t>0,5</w:t>
      </w:r>
      <w:r w:rsidR="00F7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%-ных пункта выше  уровня предшествующего года. </w:t>
      </w:r>
      <w:r w:rsidR="00662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2021 год поступление налоговых доходов прогнозируется </w:t>
      </w:r>
      <w:r w:rsidR="00D8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F93FE6">
        <w:rPr>
          <w:rFonts w:ascii="Times New Roman" w:eastAsia="Times New Roman" w:hAnsi="Times New Roman" w:cs="Times New Roman"/>
          <w:sz w:val="24"/>
          <w:szCs w:val="24"/>
          <w:lang w:eastAsia="ru-RU"/>
        </w:rPr>
        <w:t>960,1</w:t>
      </w:r>
      <w:r w:rsidR="00D8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или  </w:t>
      </w:r>
      <w:r w:rsidR="00662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1</w:t>
      </w:r>
      <w:r w:rsidR="00D83FE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93FE6">
        <w:rPr>
          <w:rFonts w:ascii="Times New Roman" w:eastAsia="Times New Roman" w:hAnsi="Times New Roman" w:cs="Times New Roman"/>
          <w:sz w:val="24"/>
          <w:szCs w:val="24"/>
          <w:lang w:eastAsia="ru-RU"/>
        </w:rPr>
        <w:t>1,9</w:t>
      </w:r>
      <w:r w:rsidR="00662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 запланированно</w:t>
      </w:r>
      <w:r w:rsidR="00F93FE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62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2020 год </w:t>
      </w:r>
      <w:r w:rsidR="0005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сумме</w:t>
      </w:r>
      <w:r w:rsidR="00D8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r w:rsidR="00F93FE6">
        <w:rPr>
          <w:rFonts w:ascii="Times New Roman" w:eastAsia="Times New Roman" w:hAnsi="Times New Roman" w:cs="Times New Roman"/>
          <w:sz w:val="24"/>
          <w:szCs w:val="24"/>
          <w:lang w:eastAsia="ru-RU"/>
        </w:rPr>
        <w:t>942,3</w:t>
      </w:r>
      <w:r w:rsidR="0005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D83FE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05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5C89" w:rsidRDefault="00055C89" w:rsidP="002C5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неналоговых доходов в 2021 году прогнозируется в сумме </w:t>
      </w:r>
      <w:r w:rsidR="00F93FE6">
        <w:rPr>
          <w:rFonts w:ascii="Times New Roman" w:eastAsia="Times New Roman" w:hAnsi="Times New Roman" w:cs="Times New Roman"/>
          <w:sz w:val="24"/>
          <w:szCs w:val="24"/>
          <w:lang w:eastAsia="ru-RU"/>
        </w:rPr>
        <w:t>328,6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составляет </w:t>
      </w:r>
      <w:r w:rsidR="00F93FE6">
        <w:rPr>
          <w:rFonts w:ascii="Times New Roman" w:eastAsia="Times New Roman" w:hAnsi="Times New Roman" w:cs="Times New Roman"/>
          <w:sz w:val="24"/>
          <w:szCs w:val="24"/>
          <w:lang w:eastAsia="ru-RU"/>
        </w:rPr>
        <w:t>104,8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уровню 2020 года</w:t>
      </w:r>
      <w:r w:rsidR="00F9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3FE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93FE6">
        <w:rPr>
          <w:rFonts w:ascii="Times New Roman" w:eastAsia="Times New Roman" w:hAnsi="Times New Roman" w:cs="Times New Roman"/>
          <w:sz w:val="24"/>
          <w:szCs w:val="24"/>
          <w:lang w:eastAsia="ru-RU"/>
        </w:rPr>
        <w:t>313,6</w:t>
      </w:r>
      <w:r w:rsidR="00D8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B0A" w:rsidRDefault="00055C89" w:rsidP="002C5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Удельный  в</w:t>
      </w:r>
      <w:r w:rsidR="00F7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 неналоговых доходов в 2021 году  составит  </w:t>
      </w:r>
      <w:r w:rsidR="00F93FE6">
        <w:rPr>
          <w:rFonts w:ascii="Times New Roman" w:eastAsia="Times New Roman" w:hAnsi="Times New Roman" w:cs="Times New Roman"/>
          <w:sz w:val="24"/>
          <w:szCs w:val="24"/>
          <w:lang w:eastAsia="ru-RU"/>
        </w:rPr>
        <w:t>25,5</w:t>
      </w:r>
      <w:r w:rsidR="00F7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что  соответственно ниже показателя 2020 года на </w:t>
      </w:r>
      <w:r w:rsidR="00F93FE6">
        <w:rPr>
          <w:rFonts w:ascii="Times New Roman" w:eastAsia="Times New Roman" w:hAnsi="Times New Roman" w:cs="Times New Roman"/>
          <w:sz w:val="24"/>
          <w:szCs w:val="24"/>
          <w:lang w:eastAsia="ru-RU"/>
        </w:rPr>
        <w:t>0,5</w:t>
      </w:r>
      <w:r w:rsidR="00F7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%-ных пункта.  </w:t>
      </w:r>
    </w:p>
    <w:p w:rsidR="001B66D2" w:rsidRDefault="001B66D2" w:rsidP="002C5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80" w:type="dxa"/>
        <w:tblInd w:w="94" w:type="dxa"/>
        <w:tblLook w:val="04A0"/>
      </w:tblPr>
      <w:tblGrid>
        <w:gridCol w:w="1938"/>
        <w:gridCol w:w="1139"/>
        <w:gridCol w:w="1019"/>
        <w:gridCol w:w="1140"/>
        <w:gridCol w:w="1129"/>
        <w:gridCol w:w="1357"/>
        <w:gridCol w:w="1258"/>
      </w:tblGrid>
      <w:tr w:rsidR="001B66D2" w:rsidRPr="001B66D2" w:rsidTr="00527566">
        <w:trPr>
          <w:trHeight w:val="315"/>
        </w:trPr>
        <w:tc>
          <w:tcPr>
            <w:tcW w:w="1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66D2" w:rsidRPr="001B66D2" w:rsidRDefault="001B66D2" w:rsidP="001B6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21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66D2" w:rsidRPr="001B66D2" w:rsidRDefault="003C6EC6" w:rsidP="003C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Утвержденные бюджетные назначения на 2020г </w:t>
            </w:r>
          </w:p>
        </w:tc>
        <w:tc>
          <w:tcPr>
            <w:tcW w:w="22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B66D2" w:rsidRPr="001B66D2" w:rsidRDefault="001B66D2" w:rsidP="004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на  2021 год</w:t>
            </w:r>
          </w:p>
        </w:tc>
        <w:tc>
          <w:tcPr>
            <w:tcW w:w="26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B66D2" w:rsidRPr="001B66D2" w:rsidRDefault="001B66D2" w:rsidP="004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</w:t>
            </w:r>
          </w:p>
        </w:tc>
      </w:tr>
      <w:tr w:rsidR="001B66D2" w:rsidRPr="001B66D2" w:rsidTr="00527566">
        <w:trPr>
          <w:trHeight w:val="525"/>
        </w:trPr>
        <w:tc>
          <w:tcPr>
            <w:tcW w:w="1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B66D2" w:rsidRPr="001B66D2" w:rsidRDefault="001B66D2" w:rsidP="001B6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1B66D2" w:rsidRPr="001B66D2" w:rsidRDefault="001B66D2" w:rsidP="004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66D2" w:rsidRPr="001B66D2" w:rsidRDefault="001B66D2" w:rsidP="004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66D2" w:rsidRPr="001B66D2" w:rsidRDefault="001B66D2" w:rsidP="004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вес, %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66D2" w:rsidRPr="001B66D2" w:rsidRDefault="001B66D2" w:rsidP="004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(+ ; -)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66D2" w:rsidRPr="001B66D2" w:rsidRDefault="001B66D2" w:rsidP="004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527566" w:rsidRPr="001B66D2" w:rsidTr="00527566">
        <w:trPr>
          <w:trHeight w:val="540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1B66D2" w:rsidRDefault="00527566" w:rsidP="001B6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66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Налоговые доходы, всего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  <w:b/>
              </w:rPr>
            </w:pPr>
            <w:r w:rsidRPr="0078596C">
              <w:rPr>
                <w:rFonts w:ascii="Times New Roman" w:hAnsi="Times New Roman"/>
                <w:b/>
              </w:rPr>
              <w:t>942,3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  <w:b/>
              </w:rPr>
            </w:pPr>
            <w:r w:rsidRPr="0078596C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  <w:b/>
              </w:rPr>
            </w:pPr>
            <w:r w:rsidRPr="0078596C">
              <w:rPr>
                <w:rFonts w:ascii="Times New Roman" w:hAnsi="Times New Roman"/>
                <w:b/>
              </w:rPr>
              <w:t>960,1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  <w:b/>
              </w:rPr>
            </w:pPr>
            <w:r w:rsidRPr="0078596C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  <w:b/>
              </w:rPr>
            </w:pPr>
            <w:r w:rsidRPr="0078596C">
              <w:rPr>
                <w:rFonts w:ascii="Times New Roman" w:hAnsi="Times New Roman"/>
                <w:b/>
              </w:rPr>
              <w:t>17,8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  <w:b/>
              </w:rPr>
            </w:pPr>
            <w:r w:rsidRPr="0078596C">
              <w:rPr>
                <w:rFonts w:ascii="Times New Roman" w:hAnsi="Times New Roman"/>
                <w:b/>
              </w:rPr>
              <w:t>101,9</w:t>
            </w:r>
          </w:p>
        </w:tc>
      </w:tr>
      <w:tr w:rsidR="00527566" w:rsidRPr="001B66D2" w:rsidTr="00527566">
        <w:trPr>
          <w:trHeight w:val="315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1B66D2" w:rsidRDefault="00527566" w:rsidP="001B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 </w:t>
            </w:r>
          </w:p>
        </w:tc>
      </w:tr>
      <w:tr w:rsidR="00527566" w:rsidRPr="001B66D2" w:rsidTr="00527566">
        <w:trPr>
          <w:trHeight w:val="315"/>
        </w:trPr>
        <w:tc>
          <w:tcPr>
            <w:tcW w:w="1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27566" w:rsidRPr="001B66D2" w:rsidRDefault="00527566" w:rsidP="001B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НДФЛ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52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5,5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101,9</w:t>
            </w:r>
          </w:p>
        </w:tc>
      </w:tr>
      <w:tr w:rsidR="00527566" w:rsidRPr="001B66D2" w:rsidTr="00527566">
        <w:trPr>
          <w:trHeight w:val="479"/>
        </w:trPr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1B66D2" w:rsidRDefault="00527566" w:rsidP="001B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уплаты акцизов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388,6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41,2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431,1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44,9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42,5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110,9</w:t>
            </w:r>
          </w:p>
        </w:tc>
      </w:tr>
      <w:tr w:rsidR="00527566" w:rsidRPr="001B66D2" w:rsidTr="00527566">
        <w:trPr>
          <w:trHeight w:val="540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1B66D2" w:rsidRDefault="00527566" w:rsidP="001B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Налоги на </w:t>
            </w:r>
            <w:proofErr w:type="spellStart"/>
            <w:r w:rsidRPr="001B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совокуп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1B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доход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45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4,7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0,0</w:t>
            </w:r>
          </w:p>
        </w:tc>
      </w:tr>
      <w:tr w:rsidR="00527566" w:rsidRPr="001B66D2" w:rsidTr="00527566">
        <w:trPr>
          <w:trHeight w:val="540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1B66D2" w:rsidRDefault="00527566" w:rsidP="001B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172,7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18,3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15,6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-22,7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86,9</w:t>
            </w:r>
          </w:p>
        </w:tc>
      </w:tr>
      <w:tr w:rsidR="00527566" w:rsidRPr="001B66D2" w:rsidTr="00527566">
        <w:trPr>
          <w:trHeight w:val="540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1B66D2" w:rsidRDefault="00527566" w:rsidP="001B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налог с </w:t>
            </w:r>
            <w:proofErr w:type="spellStart"/>
            <w:r w:rsidRPr="001B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3,9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100,0</w:t>
            </w:r>
          </w:p>
        </w:tc>
      </w:tr>
      <w:tr w:rsidR="00527566" w:rsidRPr="001B66D2" w:rsidTr="00527566">
        <w:trPr>
          <w:trHeight w:val="540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1B66D2" w:rsidRDefault="00527566" w:rsidP="001B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налог  физ.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1B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245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26,0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243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25,3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-2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99,2</w:t>
            </w:r>
          </w:p>
        </w:tc>
      </w:tr>
      <w:tr w:rsidR="00527566" w:rsidRPr="001B66D2" w:rsidTr="00527566">
        <w:trPr>
          <w:trHeight w:val="315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1B66D2" w:rsidRDefault="00527566" w:rsidP="001B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Госпошлина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0,1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-1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566" w:rsidRPr="0078596C" w:rsidRDefault="00527566" w:rsidP="004527FD">
            <w:pPr>
              <w:pStyle w:val="ac"/>
              <w:jc w:val="right"/>
              <w:rPr>
                <w:rFonts w:ascii="Times New Roman" w:hAnsi="Times New Roman"/>
              </w:rPr>
            </w:pPr>
            <w:r w:rsidRPr="0078596C">
              <w:rPr>
                <w:rFonts w:ascii="Times New Roman" w:hAnsi="Times New Roman"/>
              </w:rPr>
              <w:t>0,0</w:t>
            </w:r>
          </w:p>
        </w:tc>
      </w:tr>
    </w:tbl>
    <w:p w:rsidR="001B66D2" w:rsidRDefault="001B66D2" w:rsidP="002C5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6DB" w:rsidRDefault="00063062" w:rsidP="001B66D2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Поступление н</w:t>
      </w:r>
      <w:r w:rsidRPr="00063062">
        <w:rPr>
          <w:rFonts w:ascii="Times New Roman" w:hAnsi="Times New Roman" w:cs="Times New Roman"/>
          <w:b/>
          <w:sz w:val="24"/>
          <w:szCs w:val="24"/>
        </w:rPr>
        <w:t>алог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63062">
        <w:rPr>
          <w:rFonts w:ascii="Times New Roman" w:hAnsi="Times New Roman" w:cs="Times New Roman"/>
          <w:b/>
          <w:sz w:val="24"/>
          <w:szCs w:val="24"/>
        </w:rPr>
        <w:t xml:space="preserve"> на доходы физических лиц</w:t>
      </w:r>
      <w:r w:rsidRPr="00063062">
        <w:rPr>
          <w:rFonts w:ascii="Times New Roman" w:hAnsi="Times New Roman" w:cs="Times New Roman"/>
          <w:sz w:val="24"/>
          <w:szCs w:val="24"/>
        </w:rPr>
        <w:t xml:space="preserve"> на 202</w:t>
      </w:r>
      <w:r w:rsidR="00931F48">
        <w:rPr>
          <w:rFonts w:ascii="Times New Roman" w:hAnsi="Times New Roman" w:cs="Times New Roman"/>
          <w:sz w:val="24"/>
          <w:szCs w:val="24"/>
        </w:rPr>
        <w:t>1</w:t>
      </w:r>
      <w:r w:rsidRPr="00063062">
        <w:rPr>
          <w:rFonts w:ascii="Times New Roman" w:hAnsi="Times New Roman" w:cs="Times New Roman"/>
          <w:sz w:val="24"/>
          <w:szCs w:val="24"/>
        </w:rPr>
        <w:t xml:space="preserve"> год  </w:t>
      </w:r>
      <w:r>
        <w:rPr>
          <w:rFonts w:ascii="Times New Roman" w:hAnsi="Times New Roman" w:cs="Times New Roman"/>
          <w:sz w:val="24"/>
          <w:szCs w:val="24"/>
        </w:rPr>
        <w:t xml:space="preserve">запланировано в </w:t>
      </w:r>
      <w:r w:rsidRPr="00063062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3C6EC6">
        <w:rPr>
          <w:rFonts w:ascii="Times New Roman" w:hAnsi="Times New Roman" w:cs="Times New Roman"/>
          <w:sz w:val="24"/>
          <w:szCs w:val="24"/>
        </w:rPr>
        <w:t xml:space="preserve"> 53,</w:t>
      </w:r>
      <w:r w:rsidR="001B66D2">
        <w:rPr>
          <w:rFonts w:ascii="Times New Roman" w:hAnsi="Times New Roman" w:cs="Times New Roman"/>
          <w:sz w:val="24"/>
          <w:szCs w:val="24"/>
        </w:rPr>
        <w:t>0</w:t>
      </w:r>
      <w:r w:rsidRPr="00063062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с приростом </w:t>
      </w:r>
      <w:r w:rsidR="003C6EC6">
        <w:rPr>
          <w:rFonts w:ascii="Times New Roman" w:hAnsi="Times New Roman" w:cs="Times New Roman"/>
          <w:sz w:val="24"/>
          <w:szCs w:val="24"/>
        </w:rPr>
        <w:t>к</w:t>
      </w:r>
      <w:r w:rsidR="00931F48">
        <w:rPr>
          <w:rFonts w:ascii="Times New Roman" w:hAnsi="Times New Roman" w:cs="Times New Roman"/>
          <w:sz w:val="24"/>
          <w:szCs w:val="24"/>
        </w:rPr>
        <w:t xml:space="preserve"> </w:t>
      </w:r>
      <w:r w:rsidR="003C6EC6">
        <w:rPr>
          <w:rFonts w:ascii="Times New Roman" w:hAnsi="Times New Roman" w:cs="Times New Roman"/>
          <w:sz w:val="24"/>
          <w:szCs w:val="24"/>
        </w:rPr>
        <w:t xml:space="preserve">запланированной  сумме </w:t>
      </w:r>
      <w:r w:rsidR="00931F48">
        <w:rPr>
          <w:rFonts w:ascii="Times New Roman" w:hAnsi="Times New Roman" w:cs="Times New Roman"/>
          <w:sz w:val="24"/>
          <w:szCs w:val="24"/>
        </w:rPr>
        <w:t xml:space="preserve"> поступления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931F4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3C6EC6">
        <w:rPr>
          <w:rFonts w:ascii="Times New Roman" w:hAnsi="Times New Roman" w:cs="Times New Roman"/>
          <w:sz w:val="24"/>
          <w:szCs w:val="24"/>
        </w:rPr>
        <w:t>1,0</w:t>
      </w:r>
      <w:r w:rsidR="001B66D2">
        <w:rPr>
          <w:rFonts w:ascii="Times New Roman" w:hAnsi="Times New Roman" w:cs="Times New Roman"/>
          <w:sz w:val="24"/>
          <w:szCs w:val="24"/>
        </w:rPr>
        <w:t xml:space="preserve"> тыс. руб. ,или </w:t>
      </w:r>
      <w:r w:rsidR="003C6EC6">
        <w:rPr>
          <w:rFonts w:ascii="Times New Roman" w:hAnsi="Times New Roman" w:cs="Times New Roman"/>
          <w:sz w:val="24"/>
          <w:szCs w:val="24"/>
        </w:rPr>
        <w:t>1,9</w:t>
      </w:r>
      <w:r w:rsidR="00931F48">
        <w:rPr>
          <w:rFonts w:ascii="Times New Roman" w:hAnsi="Times New Roman" w:cs="Times New Roman"/>
          <w:sz w:val="24"/>
          <w:szCs w:val="24"/>
        </w:rPr>
        <w:t xml:space="preserve"> %</w:t>
      </w:r>
      <w:r w:rsidR="007336DB">
        <w:rPr>
          <w:rFonts w:ascii="Times New Roman" w:hAnsi="Times New Roman" w:cs="Times New Roman"/>
          <w:sz w:val="24"/>
          <w:szCs w:val="24"/>
        </w:rPr>
        <w:t xml:space="preserve">. Удельный вес налога составит </w:t>
      </w:r>
      <w:r w:rsidRPr="00063062">
        <w:rPr>
          <w:rFonts w:ascii="Times New Roman" w:hAnsi="Times New Roman" w:cs="Times New Roman"/>
          <w:sz w:val="24"/>
          <w:szCs w:val="24"/>
        </w:rPr>
        <w:t xml:space="preserve"> </w:t>
      </w:r>
      <w:r w:rsidR="003C6EC6">
        <w:rPr>
          <w:rFonts w:ascii="Times New Roman" w:hAnsi="Times New Roman" w:cs="Times New Roman"/>
          <w:sz w:val="24"/>
          <w:szCs w:val="24"/>
        </w:rPr>
        <w:t>5,5</w:t>
      </w:r>
      <w:r w:rsidRPr="00063062">
        <w:rPr>
          <w:rFonts w:ascii="Times New Roman" w:hAnsi="Times New Roman" w:cs="Times New Roman"/>
          <w:sz w:val="24"/>
          <w:szCs w:val="24"/>
        </w:rPr>
        <w:t xml:space="preserve"> % от общей суммы </w:t>
      </w:r>
      <w:r w:rsidR="001B66D2">
        <w:rPr>
          <w:rFonts w:ascii="Times New Roman" w:hAnsi="Times New Roman" w:cs="Times New Roman"/>
          <w:sz w:val="24"/>
          <w:szCs w:val="24"/>
        </w:rPr>
        <w:t>п</w:t>
      </w:r>
      <w:r w:rsidRPr="00063062">
        <w:rPr>
          <w:rFonts w:ascii="Times New Roman" w:hAnsi="Times New Roman" w:cs="Times New Roman"/>
          <w:sz w:val="24"/>
          <w:szCs w:val="24"/>
        </w:rPr>
        <w:t xml:space="preserve">редполагаемых </w:t>
      </w:r>
      <w:r w:rsidR="003C6EC6">
        <w:rPr>
          <w:rFonts w:ascii="Times New Roman" w:hAnsi="Times New Roman" w:cs="Times New Roman"/>
          <w:sz w:val="24"/>
          <w:szCs w:val="24"/>
        </w:rPr>
        <w:t>налоговых</w:t>
      </w:r>
      <w:r w:rsidRPr="00063062">
        <w:rPr>
          <w:rFonts w:ascii="Times New Roman" w:hAnsi="Times New Roman" w:cs="Times New Roman"/>
          <w:sz w:val="24"/>
          <w:szCs w:val="24"/>
        </w:rPr>
        <w:t xml:space="preserve"> доходов</w:t>
      </w:r>
      <w:r w:rsidR="007336DB">
        <w:rPr>
          <w:rFonts w:ascii="Times New Roman" w:hAnsi="Times New Roman" w:cs="Times New Roman"/>
          <w:sz w:val="24"/>
          <w:szCs w:val="24"/>
        </w:rPr>
        <w:t>.</w:t>
      </w:r>
    </w:p>
    <w:p w:rsidR="00063062" w:rsidRPr="00063062" w:rsidRDefault="007336DB" w:rsidP="001B66D2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63062" w:rsidRPr="00063062">
        <w:rPr>
          <w:rFonts w:ascii="Times New Roman" w:hAnsi="Times New Roman" w:cs="Times New Roman"/>
          <w:sz w:val="24"/>
          <w:szCs w:val="24"/>
        </w:rPr>
        <w:t>202</w:t>
      </w:r>
      <w:r w:rsidR="00931F48">
        <w:rPr>
          <w:rFonts w:ascii="Times New Roman" w:hAnsi="Times New Roman" w:cs="Times New Roman"/>
          <w:sz w:val="24"/>
          <w:szCs w:val="24"/>
        </w:rPr>
        <w:t>2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год </w:t>
      </w:r>
      <w:r w:rsidR="00931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прогнозируемый  объем поступления состави</w:t>
      </w:r>
      <w:r w:rsidR="008E2A2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</w:t>
      </w:r>
      <w:r w:rsidR="003C6EC6">
        <w:rPr>
          <w:rFonts w:ascii="Times New Roman" w:hAnsi="Times New Roman" w:cs="Times New Roman"/>
          <w:sz w:val="24"/>
          <w:szCs w:val="24"/>
        </w:rPr>
        <w:t>55,0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на 202</w:t>
      </w:r>
      <w:r w:rsidR="00931F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931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</w:t>
      </w:r>
      <w:r w:rsidR="003C6EC6">
        <w:rPr>
          <w:rFonts w:ascii="Times New Roman" w:hAnsi="Times New Roman" w:cs="Times New Roman"/>
          <w:sz w:val="24"/>
          <w:szCs w:val="24"/>
        </w:rPr>
        <w:t>56,0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тыс. рублей.  </w:t>
      </w:r>
    </w:p>
    <w:p w:rsidR="00931F48" w:rsidRDefault="007336DB" w:rsidP="001B66D2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Поступление</w:t>
      </w:r>
      <w:r w:rsidRPr="000630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063062" w:rsidRPr="00063062">
        <w:rPr>
          <w:rFonts w:ascii="Times New Roman" w:hAnsi="Times New Roman" w:cs="Times New Roman"/>
          <w:b/>
          <w:sz w:val="24"/>
          <w:szCs w:val="24"/>
        </w:rPr>
        <w:t>от уплаты акцизов на автомобильный бензин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на 202</w:t>
      </w:r>
      <w:r w:rsidR="00931F48">
        <w:rPr>
          <w:rFonts w:ascii="Times New Roman" w:hAnsi="Times New Roman" w:cs="Times New Roman"/>
          <w:sz w:val="24"/>
          <w:szCs w:val="24"/>
        </w:rPr>
        <w:t>1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прогнозируется 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3C6EC6">
        <w:rPr>
          <w:rFonts w:ascii="Times New Roman" w:hAnsi="Times New Roman" w:cs="Times New Roman"/>
          <w:sz w:val="24"/>
          <w:szCs w:val="24"/>
        </w:rPr>
        <w:t>431,1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тыс. рублей </w:t>
      </w:r>
      <w:r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3C6EC6">
        <w:rPr>
          <w:rFonts w:ascii="Times New Roman" w:hAnsi="Times New Roman" w:cs="Times New Roman"/>
          <w:sz w:val="24"/>
          <w:szCs w:val="24"/>
        </w:rPr>
        <w:t>44,9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% от общей суммы </w:t>
      </w:r>
      <w:r w:rsidR="00931F48">
        <w:rPr>
          <w:rFonts w:ascii="Times New Roman" w:hAnsi="Times New Roman" w:cs="Times New Roman"/>
          <w:sz w:val="24"/>
          <w:szCs w:val="24"/>
        </w:rPr>
        <w:t xml:space="preserve">налоговых 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доходов</w:t>
      </w:r>
      <w:r>
        <w:rPr>
          <w:rFonts w:ascii="Times New Roman" w:hAnsi="Times New Roman" w:cs="Times New Roman"/>
          <w:sz w:val="24"/>
          <w:szCs w:val="24"/>
        </w:rPr>
        <w:t xml:space="preserve">. Прирост к </w:t>
      </w:r>
      <w:r w:rsidR="00931F48">
        <w:rPr>
          <w:rFonts w:ascii="Times New Roman" w:hAnsi="Times New Roman" w:cs="Times New Roman"/>
          <w:sz w:val="24"/>
          <w:szCs w:val="24"/>
        </w:rPr>
        <w:t xml:space="preserve"> </w:t>
      </w:r>
      <w:r w:rsidR="003C6EC6">
        <w:rPr>
          <w:rFonts w:ascii="Times New Roman" w:hAnsi="Times New Roman" w:cs="Times New Roman"/>
          <w:sz w:val="24"/>
          <w:szCs w:val="24"/>
        </w:rPr>
        <w:t xml:space="preserve">запланированной сумме </w:t>
      </w:r>
      <w:r w:rsidR="00931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931F4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года( </w:t>
      </w:r>
      <w:r w:rsidR="003C6EC6">
        <w:rPr>
          <w:rFonts w:ascii="Times New Roman" w:hAnsi="Times New Roman" w:cs="Times New Roman"/>
          <w:sz w:val="24"/>
          <w:szCs w:val="24"/>
        </w:rPr>
        <w:t>388,6</w:t>
      </w:r>
      <w:r>
        <w:rPr>
          <w:rFonts w:ascii="Times New Roman" w:hAnsi="Times New Roman" w:cs="Times New Roman"/>
          <w:sz w:val="24"/>
          <w:szCs w:val="24"/>
        </w:rPr>
        <w:t xml:space="preserve"> тыс. руб.) составит </w:t>
      </w:r>
      <w:r w:rsidR="001B66D2">
        <w:rPr>
          <w:rFonts w:ascii="Times New Roman" w:hAnsi="Times New Roman" w:cs="Times New Roman"/>
          <w:sz w:val="24"/>
          <w:szCs w:val="24"/>
        </w:rPr>
        <w:t>4</w:t>
      </w:r>
      <w:r w:rsidR="00931F48">
        <w:rPr>
          <w:rFonts w:ascii="Times New Roman" w:hAnsi="Times New Roman" w:cs="Times New Roman"/>
          <w:sz w:val="24"/>
          <w:szCs w:val="24"/>
        </w:rPr>
        <w:t>2,</w:t>
      </w:r>
      <w:r w:rsidR="003C6EC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, или 1</w:t>
      </w:r>
      <w:r w:rsidR="003C6EC6">
        <w:rPr>
          <w:rFonts w:ascii="Times New Roman" w:hAnsi="Times New Roman" w:cs="Times New Roman"/>
          <w:sz w:val="24"/>
          <w:szCs w:val="24"/>
        </w:rPr>
        <w:t>0,9</w:t>
      </w:r>
      <w:r>
        <w:rPr>
          <w:rFonts w:ascii="Times New Roman" w:hAnsi="Times New Roman" w:cs="Times New Roman"/>
          <w:sz w:val="24"/>
          <w:szCs w:val="24"/>
        </w:rPr>
        <w:t xml:space="preserve"> %. </w:t>
      </w:r>
      <w:r w:rsidR="00931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062" w:rsidRDefault="007336DB" w:rsidP="001B66D2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202</w:t>
      </w:r>
      <w:r w:rsidR="00931F48">
        <w:rPr>
          <w:rFonts w:ascii="Times New Roman" w:hAnsi="Times New Roman" w:cs="Times New Roman"/>
          <w:sz w:val="24"/>
          <w:szCs w:val="24"/>
        </w:rPr>
        <w:t>2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 планируемая сумма поступления составит </w:t>
      </w:r>
      <w:r w:rsidR="003C6EC6">
        <w:rPr>
          <w:rFonts w:ascii="Times New Roman" w:hAnsi="Times New Roman" w:cs="Times New Roman"/>
          <w:sz w:val="24"/>
          <w:szCs w:val="24"/>
        </w:rPr>
        <w:t>473,0</w:t>
      </w:r>
      <w:r w:rsidR="001B66D2">
        <w:rPr>
          <w:rFonts w:ascii="Times New Roman" w:hAnsi="Times New Roman" w:cs="Times New Roman"/>
          <w:sz w:val="24"/>
          <w:szCs w:val="24"/>
        </w:rPr>
        <w:t xml:space="preserve"> </w:t>
      </w:r>
      <w:r w:rsidR="00063062" w:rsidRPr="00063062">
        <w:rPr>
          <w:rFonts w:ascii="Times New Roman" w:hAnsi="Times New Roman" w:cs="Times New Roman"/>
          <w:sz w:val="24"/>
          <w:szCs w:val="24"/>
        </w:rPr>
        <w:t>тыс. рублей, на 202</w:t>
      </w:r>
      <w:r w:rsidR="00931F48">
        <w:rPr>
          <w:rFonts w:ascii="Times New Roman" w:hAnsi="Times New Roman" w:cs="Times New Roman"/>
          <w:sz w:val="24"/>
          <w:szCs w:val="24"/>
        </w:rPr>
        <w:t>3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3C6EC6">
        <w:rPr>
          <w:rFonts w:ascii="Times New Roman" w:hAnsi="Times New Roman" w:cs="Times New Roman"/>
          <w:sz w:val="24"/>
          <w:szCs w:val="24"/>
        </w:rPr>
        <w:t>552,6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3C6EC6" w:rsidRDefault="003C6EC6" w:rsidP="003C6EC6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E47">
        <w:rPr>
          <w:rFonts w:ascii="Times New Roman" w:hAnsi="Times New Roman" w:cs="Times New Roman"/>
          <w:b/>
          <w:sz w:val="24"/>
          <w:szCs w:val="24"/>
        </w:rPr>
        <w:t>Поступление налогов на совокупный доход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06306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3062">
        <w:rPr>
          <w:rFonts w:ascii="Times New Roman" w:hAnsi="Times New Roman" w:cs="Times New Roman"/>
          <w:sz w:val="24"/>
          <w:szCs w:val="24"/>
        </w:rPr>
        <w:t xml:space="preserve"> год </w:t>
      </w:r>
      <w:r w:rsidR="00F70E47">
        <w:rPr>
          <w:rFonts w:ascii="Times New Roman" w:hAnsi="Times New Roman" w:cs="Times New Roman"/>
          <w:sz w:val="24"/>
          <w:szCs w:val="24"/>
        </w:rPr>
        <w:t xml:space="preserve">, как и на 2020 год </w:t>
      </w:r>
      <w:r>
        <w:rPr>
          <w:rFonts w:ascii="Times New Roman" w:hAnsi="Times New Roman" w:cs="Times New Roman"/>
          <w:sz w:val="24"/>
          <w:szCs w:val="24"/>
        </w:rPr>
        <w:t xml:space="preserve">прогнозируется </w:t>
      </w:r>
      <w:r w:rsidRPr="00063062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F70E47">
        <w:rPr>
          <w:rFonts w:ascii="Times New Roman" w:hAnsi="Times New Roman" w:cs="Times New Roman"/>
          <w:sz w:val="24"/>
          <w:szCs w:val="24"/>
        </w:rPr>
        <w:t>45,0 тыс</w:t>
      </w:r>
      <w:r w:rsidRPr="00063062">
        <w:rPr>
          <w:rFonts w:ascii="Times New Roman" w:hAnsi="Times New Roman" w:cs="Times New Roman"/>
          <w:sz w:val="24"/>
          <w:szCs w:val="24"/>
        </w:rPr>
        <w:t xml:space="preserve">. рублей </w:t>
      </w:r>
      <w:r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F70E47">
        <w:rPr>
          <w:rFonts w:ascii="Times New Roman" w:hAnsi="Times New Roman" w:cs="Times New Roman"/>
          <w:sz w:val="24"/>
          <w:szCs w:val="24"/>
        </w:rPr>
        <w:t>4,7</w:t>
      </w:r>
      <w:r w:rsidRPr="00063062">
        <w:rPr>
          <w:rFonts w:ascii="Times New Roman" w:hAnsi="Times New Roman" w:cs="Times New Roman"/>
          <w:sz w:val="24"/>
          <w:szCs w:val="24"/>
        </w:rPr>
        <w:t xml:space="preserve">% от общей суммы </w:t>
      </w:r>
      <w:r>
        <w:rPr>
          <w:rFonts w:ascii="Times New Roman" w:hAnsi="Times New Roman" w:cs="Times New Roman"/>
          <w:sz w:val="24"/>
          <w:szCs w:val="24"/>
        </w:rPr>
        <w:t xml:space="preserve">налоговых </w:t>
      </w:r>
      <w:r w:rsidRPr="00063062">
        <w:rPr>
          <w:rFonts w:ascii="Times New Roman" w:hAnsi="Times New Roman" w:cs="Times New Roman"/>
          <w:sz w:val="24"/>
          <w:szCs w:val="24"/>
        </w:rPr>
        <w:t xml:space="preserve"> доходов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C6EC6" w:rsidRDefault="003C6EC6" w:rsidP="003C6EC6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06306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3062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 планируемая сумма поступления состав</w:t>
      </w:r>
      <w:r w:rsidR="00F70E47">
        <w:rPr>
          <w:rFonts w:ascii="Times New Roman" w:hAnsi="Times New Roman" w:cs="Times New Roman"/>
          <w:sz w:val="24"/>
          <w:szCs w:val="24"/>
        </w:rPr>
        <w:t>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E47">
        <w:rPr>
          <w:rFonts w:ascii="Times New Roman" w:hAnsi="Times New Roman" w:cs="Times New Roman"/>
          <w:sz w:val="24"/>
          <w:szCs w:val="24"/>
        </w:rPr>
        <w:t>45,0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062">
        <w:rPr>
          <w:rFonts w:ascii="Times New Roman" w:hAnsi="Times New Roman" w:cs="Times New Roman"/>
          <w:sz w:val="24"/>
          <w:szCs w:val="24"/>
        </w:rPr>
        <w:t>тыс. рублей,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3062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F70E47">
        <w:rPr>
          <w:rFonts w:ascii="Times New Roman" w:hAnsi="Times New Roman" w:cs="Times New Roman"/>
          <w:sz w:val="24"/>
          <w:szCs w:val="24"/>
        </w:rPr>
        <w:t>47,0</w:t>
      </w:r>
      <w:r w:rsidRPr="00063062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1D05CC" w:rsidRDefault="001D05CC" w:rsidP="002C5B93">
      <w:pPr>
        <w:pBdr>
          <w:bottom w:val="single" w:sz="12" w:space="21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Поступление н</w:t>
      </w:r>
      <w:r w:rsidR="00063062" w:rsidRPr="00063062">
        <w:rPr>
          <w:rFonts w:ascii="Times New Roman" w:hAnsi="Times New Roman" w:cs="Times New Roman"/>
          <w:b/>
          <w:sz w:val="24"/>
          <w:szCs w:val="24"/>
        </w:rPr>
        <w:t>алог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63062" w:rsidRPr="00063062">
        <w:rPr>
          <w:rFonts w:ascii="Times New Roman" w:hAnsi="Times New Roman" w:cs="Times New Roman"/>
          <w:b/>
          <w:sz w:val="24"/>
          <w:szCs w:val="24"/>
        </w:rPr>
        <w:t xml:space="preserve"> на имущество физических лиц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 на 202</w:t>
      </w:r>
      <w:r w:rsidR="008B07F6">
        <w:rPr>
          <w:rFonts w:ascii="Times New Roman" w:hAnsi="Times New Roman" w:cs="Times New Roman"/>
          <w:sz w:val="24"/>
          <w:szCs w:val="24"/>
        </w:rPr>
        <w:t>1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запланировано </w:t>
      </w:r>
      <w:r w:rsidR="00F70E47">
        <w:rPr>
          <w:rFonts w:ascii="Times New Roman" w:hAnsi="Times New Roman" w:cs="Times New Roman"/>
          <w:sz w:val="24"/>
          <w:szCs w:val="24"/>
        </w:rPr>
        <w:t xml:space="preserve">в сумме 150,0 тыс. руб., или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70E47">
        <w:rPr>
          <w:rFonts w:ascii="Times New Roman" w:hAnsi="Times New Roman" w:cs="Times New Roman"/>
          <w:sz w:val="24"/>
          <w:szCs w:val="24"/>
        </w:rPr>
        <w:t>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E47">
        <w:rPr>
          <w:rFonts w:ascii="Times New Roman" w:hAnsi="Times New Roman" w:cs="Times New Roman"/>
          <w:sz w:val="24"/>
          <w:szCs w:val="24"/>
        </w:rPr>
        <w:t xml:space="preserve">снижением  к плану 2020 года на 22,7 </w:t>
      </w:r>
      <w:r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или </w:t>
      </w:r>
      <w:r w:rsidR="001B66D2">
        <w:rPr>
          <w:rFonts w:ascii="Times New Roman" w:hAnsi="Times New Roman" w:cs="Times New Roman"/>
          <w:sz w:val="24"/>
          <w:szCs w:val="24"/>
        </w:rPr>
        <w:t xml:space="preserve"> на </w:t>
      </w:r>
      <w:r w:rsidR="00F70E47">
        <w:rPr>
          <w:rFonts w:ascii="Times New Roman" w:hAnsi="Times New Roman" w:cs="Times New Roman"/>
          <w:sz w:val="24"/>
          <w:szCs w:val="24"/>
        </w:rPr>
        <w:t>13,1</w:t>
      </w:r>
      <w:r w:rsidR="001B66D2">
        <w:rPr>
          <w:rFonts w:ascii="Times New Roman" w:hAnsi="Times New Roman" w:cs="Times New Roman"/>
          <w:sz w:val="24"/>
          <w:szCs w:val="24"/>
        </w:rPr>
        <w:t>%</w:t>
      </w:r>
      <w:r w:rsidR="00F70E47">
        <w:rPr>
          <w:rFonts w:ascii="Times New Roman" w:hAnsi="Times New Roman" w:cs="Times New Roman"/>
          <w:sz w:val="24"/>
          <w:szCs w:val="24"/>
        </w:rPr>
        <w:t>.</w:t>
      </w:r>
      <w:r w:rsidR="008B0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063062">
        <w:rPr>
          <w:rFonts w:ascii="Times New Roman" w:hAnsi="Times New Roman" w:cs="Times New Roman"/>
          <w:sz w:val="24"/>
          <w:szCs w:val="24"/>
        </w:rPr>
        <w:t>общей сумм</w:t>
      </w:r>
      <w:r w:rsidR="008B07F6">
        <w:rPr>
          <w:rFonts w:ascii="Times New Roman" w:hAnsi="Times New Roman" w:cs="Times New Roman"/>
          <w:sz w:val="24"/>
          <w:szCs w:val="24"/>
        </w:rPr>
        <w:t xml:space="preserve">е налоговых поступлений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7F6">
        <w:rPr>
          <w:rFonts w:ascii="Times New Roman" w:hAnsi="Times New Roman" w:cs="Times New Roman"/>
          <w:sz w:val="24"/>
          <w:szCs w:val="24"/>
        </w:rPr>
        <w:t xml:space="preserve">удельный вес налога </w:t>
      </w:r>
      <w:r>
        <w:rPr>
          <w:rFonts w:ascii="Times New Roman" w:hAnsi="Times New Roman" w:cs="Times New Roman"/>
          <w:sz w:val="24"/>
          <w:szCs w:val="24"/>
        </w:rPr>
        <w:t>составит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</w:t>
      </w:r>
      <w:r w:rsidR="00F70E47">
        <w:rPr>
          <w:rFonts w:ascii="Times New Roman" w:hAnsi="Times New Roman" w:cs="Times New Roman"/>
          <w:sz w:val="24"/>
          <w:szCs w:val="24"/>
        </w:rPr>
        <w:t>15,6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3062" w:rsidRPr="00063062" w:rsidRDefault="001D05CC" w:rsidP="002C5B93">
      <w:pPr>
        <w:pBdr>
          <w:bottom w:val="single" w:sz="12" w:space="21" w:color="auto"/>
        </w:pBd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202</w:t>
      </w:r>
      <w:r w:rsidR="008B07F6">
        <w:rPr>
          <w:rFonts w:ascii="Times New Roman" w:hAnsi="Times New Roman" w:cs="Times New Roman"/>
          <w:sz w:val="24"/>
          <w:szCs w:val="24"/>
        </w:rPr>
        <w:t>2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поступление запланировано в сумме 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</w:t>
      </w:r>
      <w:r w:rsidR="00F70E47">
        <w:rPr>
          <w:rFonts w:ascii="Times New Roman" w:hAnsi="Times New Roman" w:cs="Times New Roman"/>
          <w:sz w:val="24"/>
          <w:szCs w:val="24"/>
        </w:rPr>
        <w:t>150,0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8B07F6">
        <w:rPr>
          <w:rFonts w:ascii="Times New Roman" w:hAnsi="Times New Roman" w:cs="Times New Roman"/>
          <w:sz w:val="24"/>
          <w:szCs w:val="24"/>
        </w:rPr>
        <w:t>3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 год – </w:t>
      </w:r>
      <w:r w:rsidR="0057598C">
        <w:rPr>
          <w:rFonts w:ascii="Times New Roman" w:hAnsi="Times New Roman" w:cs="Times New Roman"/>
          <w:sz w:val="24"/>
          <w:szCs w:val="24"/>
        </w:rPr>
        <w:t>1</w:t>
      </w:r>
      <w:r w:rsidR="00E14A0A">
        <w:rPr>
          <w:rFonts w:ascii="Times New Roman" w:hAnsi="Times New Roman" w:cs="Times New Roman"/>
          <w:sz w:val="24"/>
          <w:szCs w:val="24"/>
        </w:rPr>
        <w:t>5</w:t>
      </w:r>
      <w:r w:rsidR="00F70E47">
        <w:rPr>
          <w:rFonts w:ascii="Times New Roman" w:hAnsi="Times New Roman" w:cs="Times New Roman"/>
          <w:sz w:val="24"/>
          <w:szCs w:val="24"/>
        </w:rPr>
        <w:t>5</w:t>
      </w:r>
      <w:r w:rsidR="00E14A0A">
        <w:rPr>
          <w:rFonts w:ascii="Times New Roman" w:hAnsi="Times New Roman" w:cs="Times New Roman"/>
          <w:sz w:val="24"/>
          <w:szCs w:val="24"/>
        </w:rPr>
        <w:t>,0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063062" w:rsidRPr="0006306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B01C52" w:rsidRDefault="001D05CC" w:rsidP="008E2A20">
      <w:pPr>
        <w:pBdr>
          <w:bottom w:val="single" w:sz="12" w:space="21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поступления  </w:t>
      </w:r>
      <w:r w:rsidR="00063062" w:rsidRPr="00063062">
        <w:rPr>
          <w:rFonts w:ascii="Times New Roman" w:hAnsi="Times New Roman" w:cs="Times New Roman"/>
          <w:b/>
          <w:sz w:val="24"/>
          <w:szCs w:val="24"/>
        </w:rPr>
        <w:t>земельн</w:t>
      </w:r>
      <w:r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063062" w:rsidRPr="00063062">
        <w:rPr>
          <w:rFonts w:ascii="Times New Roman" w:hAnsi="Times New Roman" w:cs="Times New Roman"/>
          <w:b/>
          <w:sz w:val="24"/>
          <w:szCs w:val="24"/>
        </w:rPr>
        <w:t>налог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063062" w:rsidRPr="00063062">
        <w:rPr>
          <w:rFonts w:ascii="Times New Roman" w:hAnsi="Times New Roman" w:cs="Times New Roman"/>
          <w:b/>
          <w:sz w:val="24"/>
          <w:szCs w:val="24"/>
        </w:rPr>
        <w:t xml:space="preserve"> с организаций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 </w:t>
      </w:r>
      <w:r w:rsidR="00B01C52">
        <w:rPr>
          <w:rFonts w:ascii="Times New Roman" w:hAnsi="Times New Roman" w:cs="Times New Roman"/>
          <w:sz w:val="24"/>
          <w:szCs w:val="24"/>
        </w:rPr>
        <w:t xml:space="preserve">на 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202</w:t>
      </w:r>
      <w:r w:rsidR="0057598C">
        <w:rPr>
          <w:rFonts w:ascii="Times New Roman" w:hAnsi="Times New Roman" w:cs="Times New Roman"/>
          <w:sz w:val="24"/>
          <w:szCs w:val="24"/>
        </w:rPr>
        <w:t>1</w:t>
      </w:r>
      <w:r w:rsidR="00F70E47">
        <w:rPr>
          <w:rFonts w:ascii="Times New Roman" w:hAnsi="Times New Roman" w:cs="Times New Roman"/>
          <w:sz w:val="24"/>
          <w:szCs w:val="24"/>
        </w:rPr>
        <w:t xml:space="preserve">, 2022 и 2023 </w:t>
      </w:r>
      <w:r w:rsidR="00B01C52">
        <w:rPr>
          <w:rFonts w:ascii="Times New Roman" w:hAnsi="Times New Roman" w:cs="Times New Roman"/>
          <w:sz w:val="24"/>
          <w:szCs w:val="24"/>
        </w:rPr>
        <w:t xml:space="preserve"> 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год</w:t>
      </w:r>
      <w:r w:rsidR="00B01C52">
        <w:rPr>
          <w:rFonts w:ascii="Times New Roman" w:hAnsi="Times New Roman" w:cs="Times New Roman"/>
          <w:sz w:val="24"/>
          <w:szCs w:val="24"/>
        </w:rPr>
        <w:t xml:space="preserve">ы запланировано  </w:t>
      </w:r>
      <w:r w:rsidR="00E14A0A">
        <w:rPr>
          <w:rFonts w:ascii="Times New Roman" w:hAnsi="Times New Roman" w:cs="Times New Roman"/>
          <w:sz w:val="24"/>
          <w:szCs w:val="24"/>
        </w:rPr>
        <w:t xml:space="preserve"> </w:t>
      </w:r>
      <w:r w:rsidR="00F70E47">
        <w:rPr>
          <w:rFonts w:ascii="Times New Roman" w:hAnsi="Times New Roman" w:cs="Times New Roman"/>
          <w:sz w:val="24"/>
          <w:szCs w:val="24"/>
        </w:rPr>
        <w:t xml:space="preserve"> по </w:t>
      </w:r>
      <w:r w:rsidR="00E14A0A">
        <w:rPr>
          <w:rFonts w:ascii="Times New Roman" w:hAnsi="Times New Roman" w:cs="Times New Roman"/>
          <w:sz w:val="24"/>
          <w:szCs w:val="24"/>
        </w:rPr>
        <w:t xml:space="preserve"> </w:t>
      </w:r>
      <w:r w:rsidR="00F70E47">
        <w:rPr>
          <w:rFonts w:ascii="Times New Roman" w:hAnsi="Times New Roman" w:cs="Times New Roman"/>
          <w:sz w:val="24"/>
          <w:szCs w:val="24"/>
        </w:rPr>
        <w:t>37,0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тыс.  руб</w:t>
      </w:r>
      <w:r w:rsidR="00B01C52">
        <w:rPr>
          <w:rFonts w:ascii="Times New Roman" w:hAnsi="Times New Roman" w:cs="Times New Roman"/>
          <w:sz w:val="24"/>
          <w:szCs w:val="24"/>
        </w:rPr>
        <w:t>.</w:t>
      </w:r>
      <w:r w:rsidR="00F70E47">
        <w:rPr>
          <w:rFonts w:ascii="Times New Roman" w:hAnsi="Times New Roman" w:cs="Times New Roman"/>
          <w:sz w:val="24"/>
          <w:szCs w:val="24"/>
        </w:rPr>
        <w:t xml:space="preserve"> на каждый год.</w:t>
      </w:r>
      <w:r w:rsidR="00B01C52">
        <w:rPr>
          <w:rFonts w:ascii="Times New Roman" w:hAnsi="Times New Roman" w:cs="Times New Roman"/>
          <w:sz w:val="24"/>
          <w:szCs w:val="24"/>
        </w:rPr>
        <w:t xml:space="preserve">  Удельный вес налога составит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</w:t>
      </w:r>
      <w:r w:rsidR="00F70E47">
        <w:rPr>
          <w:rFonts w:ascii="Times New Roman" w:hAnsi="Times New Roman" w:cs="Times New Roman"/>
          <w:sz w:val="24"/>
          <w:szCs w:val="24"/>
        </w:rPr>
        <w:t>3,9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% от общей суммы </w:t>
      </w:r>
      <w:r w:rsidR="00F70E47">
        <w:rPr>
          <w:rFonts w:ascii="Times New Roman" w:hAnsi="Times New Roman" w:cs="Times New Roman"/>
          <w:sz w:val="24"/>
          <w:szCs w:val="24"/>
        </w:rPr>
        <w:t>налоговых до</w:t>
      </w:r>
      <w:r w:rsidR="00063062" w:rsidRPr="00063062">
        <w:rPr>
          <w:rFonts w:ascii="Times New Roman" w:hAnsi="Times New Roman" w:cs="Times New Roman"/>
          <w:sz w:val="24"/>
          <w:szCs w:val="24"/>
        </w:rPr>
        <w:t>ходов</w:t>
      </w:r>
      <w:r w:rsidR="00B01C52">
        <w:rPr>
          <w:rFonts w:ascii="Times New Roman" w:hAnsi="Times New Roman" w:cs="Times New Roman"/>
          <w:sz w:val="24"/>
          <w:szCs w:val="24"/>
        </w:rPr>
        <w:t>.</w:t>
      </w:r>
    </w:p>
    <w:p w:rsidR="00B01C52" w:rsidRDefault="00B01C52" w:rsidP="002C5B93">
      <w:pPr>
        <w:pBdr>
          <w:bottom w:val="single" w:sz="12" w:space="21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</w:t>
      </w:r>
      <w:r w:rsidR="00063062" w:rsidRPr="00063062">
        <w:rPr>
          <w:rFonts w:ascii="Times New Roman" w:hAnsi="Times New Roman" w:cs="Times New Roman"/>
          <w:b/>
          <w:sz w:val="24"/>
          <w:szCs w:val="24"/>
        </w:rPr>
        <w:t>земельн</w:t>
      </w:r>
      <w:r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063062" w:rsidRPr="00063062">
        <w:rPr>
          <w:rFonts w:ascii="Times New Roman" w:hAnsi="Times New Roman" w:cs="Times New Roman"/>
          <w:b/>
          <w:sz w:val="24"/>
          <w:szCs w:val="24"/>
        </w:rPr>
        <w:t xml:space="preserve"> налог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063062" w:rsidRPr="00063062">
        <w:rPr>
          <w:rFonts w:ascii="Times New Roman" w:hAnsi="Times New Roman" w:cs="Times New Roman"/>
          <w:b/>
          <w:sz w:val="24"/>
          <w:szCs w:val="24"/>
        </w:rPr>
        <w:t xml:space="preserve"> с физических лиц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 на 202</w:t>
      </w:r>
      <w:r w:rsidR="0057598C">
        <w:rPr>
          <w:rFonts w:ascii="Times New Roman" w:hAnsi="Times New Roman" w:cs="Times New Roman"/>
          <w:sz w:val="24"/>
          <w:szCs w:val="24"/>
        </w:rPr>
        <w:t>1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планируется с</w:t>
      </w:r>
      <w:r w:rsidR="00F70E47">
        <w:rPr>
          <w:rFonts w:ascii="Times New Roman" w:hAnsi="Times New Roman" w:cs="Times New Roman"/>
          <w:sz w:val="24"/>
          <w:szCs w:val="24"/>
        </w:rPr>
        <w:t xml:space="preserve">о- снижением </w:t>
      </w:r>
      <w:r w:rsidR="00E14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 утвержденному показателю предыдущего года</w:t>
      </w:r>
      <w:r w:rsidR="00E14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70E47">
        <w:rPr>
          <w:rFonts w:ascii="Times New Roman" w:hAnsi="Times New Roman" w:cs="Times New Roman"/>
          <w:sz w:val="24"/>
          <w:szCs w:val="24"/>
        </w:rPr>
        <w:t>245,0</w:t>
      </w:r>
      <w:r>
        <w:rPr>
          <w:rFonts w:ascii="Times New Roman" w:hAnsi="Times New Roman" w:cs="Times New Roman"/>
          <w:sz w:val="24"/>
          <w:szCs w:val="24"/>
        </w:rPr>
        <w:t xml:space="preserve"> тыс. руб.) на </w:t>
      </w:r>
      <w:r w:rsidR="00F70E47">
        <w:rPr>
          <w:rFonts w:ascii="Times New Roman" w:hAnsi="Times New Roman" w:cs="Times New Roman"/>
          <w:sz w:val="24"/>
          <w:szCs w:val="24"/>
        </w:rPr>
        <w:t>2,0</w:t>
      </w:r>
      <w:r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или на </w:t>
      </w:r>
      <w:r w:rsidR="00F70E47">
        <w:rPr>
          <w:rFonts w:ascii="Times New Roman" w:hAnsi="Times New Roman" w:cs="Times New Roman"/>
          <w:sz w:val="24"/>
          <w:szCs w:val="24"/>
        </w:rPr>
        <w:t>0,8</w:t>
      </w:r>
      <w:r>
        <w:rPr>
          <w:rFonts w:ascii="Times New Roman" w:hAnsi="Times New Roman" w:cs="Times New Roman"/>
          <w:sz w:val="24"/>
          <w:szCs w:val="24"/>
        </w:rPr>
        <w:t xml:space="preserve"> % , и составит </w:t>
      </w:r>
      <w:r w:rsidR="00F70E47">
        <w:rPr>
          <w:rFonts w:ascii="Times New Roman" w:hAnsi="Times New Roman" w:cs="Times New Roman"/>
          <w:sz w:val="24"/>
          <w:szCs w:val="24"/>
        </w:rPr>
        <w:t>243,0</w:t>
      </w:r>
      <w:r>
        <w:rPr>
          <w:rFonts w:ascii="Times New Roman" w:hAnsi="Times New Roman" w:cs="Times New Roman"/>
          <w:sz w:val="24"/>
          <w:szCs w:val="24"/>
        </w:rPr>
        <w:t xml:space="preserve"> тыс. руб. Удельный вес налога  составит 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2</w:t>
      </w:r>
      <w:r w:rsidR="00F70E47">
        <w:rPr>
          <w:rFonts w:ascii="Times New Roman" w:hAnsi="Times New Roman" w:cs="Times New Roman"/>
          <w:sz w:val="24"/>
          <w:szCs w:val="24"/>
        </w:rPr>
        <w:t>5,3</w:t>
      </w:r>
      <w:r w:rsidR="00063062" w:rsidRPr="00063062">
        <w:rPr>
          <w:rFonts w:ascii="Times New Roman" w:hAnsi="Times New Roman" w:cs="Times New Roman"/>
          <w:sz w:val="24"/>
          <w:szCs w:val="24"/>
        </w:rPr>
        <w:t>% от общей суммы предполагаемых собственных доходов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3062" w:rsidRPr="00063062" w:rsidRDefault="00B01C52" w:rsidP="002C5B93">
      <w:pPr>
        <w:pBdr>
          <w:bottom w:val="single" w:sz="12" w:space="21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063062">
        <w:rPr>
          <w:rFonts w:ascii="Times New Roman" w:hAnsi="Times New Roman" w:cs="Times New Roman"/>
          <w:sz w:val="24"/>
          <w:szCs w:val="24"/>
        </w:rPr>
        <w:t xml:space="preserve"> 202</w:t>
      </w:r>
      <w:r w:rsidR="0057598C">
        <w:rPr>
          <w:rFonts w:ascii="Times New Roman" w:hAnsi="Times New Roman" w:cs="Times New Roman"/>
          <w:sz w:val="24"/>
          <w:szCs w:val="24"/>
        </w:rPr>
        <w:t>2</w:t>
      </w:r>
      <w:r w:rsidRPr="00063062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поступление запланировано в сумме </w:t>
      </w:r>
      <w:r w:rsidRPr="00063062">
        <w:rPr>
          <w:rFonts w:ascii="Times New Roman" w:hAnsi="Times New Roman" w:cs="Times New Roman"/>
          <w:sz w:val="24"/>
          <w:szCs w:val="24"/>
        </w:rPr>
        <w:t xml:space="preserve"> 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</w:t>
      </w:r>
      <w:r w:rsidR="0057598C">
        <w:rPr>
          <w:rFonts w:ascii="Times New Roman" w:hAnsi="Times New Roman" w:cs="Times New Roman"/>
          <w:sz w:val="24"/>
          <w:szCs w:val="24"/>
        </w:rPr>
        <w:t>2</w:t>
      </w:r>
      <w:r w:rsidR="00F70E47">
        <w:rPr>
          <w:rFonts w:ascii="Times New Roman" w:hAnsi="Times New Roman" w:cs="Times New Roman"/>
          <w:sz w:val="24"/>
          <w:szCs w:val="24"/>
        </w:rPr>
        <w:t>48,0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57598C">
        <w:rPr>
          <w:rFonts w:ascii="Times New Roman" w:hAnsi="Times New Roman" w:cs="Times New Roman"/>
          <w:sz w:val="24"/>
          <w:szCs w:val="24"/>
        </w:rPr>
        <w:t>3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год - </w:t>
      </w:r>
      <w:r w:rsidR="0057598C">
        <w:rPr>
          <w:rFonts w:ascii="Times New Roman" w:hAnsi="Times New Roman" w:cs="Times New Roman"/>
          <w:sz w:val="24"/>
          <w:szCs w:val="24"/>
        </w:rPr>
        <w:t>2</w:t>
      </w:r>
      <w:r w:rsidR="00F70E47">
        <w:rPr>
          <w:rFonts w:ascii="Times New Roman" w:hAnsi="Times New Roman" w:cs="Times New Roman"/>
          <w:sz w:val="24"/>
          <w:szCs w:val="24"/>
        </w:rPr>
        <w:t>53,0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BF3190" w:rsidRPr="003B0526" w:rsidRDefault="00BF3190" w:rsidP="002C5B93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BF3190" w:rsidRPr="00CE37C2" w:rsidRDefault="00BF3190" w:rsidP="002C5B93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E3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Неналоговые доходы</w:t>
      </w:r>
      <w:r w:rsidRPr="00CE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  </w:t>
      </w:r>
      <w:r w:rsidR="00B73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Большеабакасинского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 w:rsidRPr="00CE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759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предусмотрены в объеме </w:t>
      </w:r>
      <w:r w:rsidR="00F70E47">
        <w:rPr>
          <w:rFonts w:ascii="Times New Roman" w:eastAsia="Times New Roman" w:hAnsi="Times New Roman" w:cs="Times New Roman"/>
          <w:sz w:val="24"/>
          <w:szCs w:val="24"/>
          <w:lang w:eastAsia="ru-RU"/>
        </w:rPr>
        <w:t>328,6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что </w:t>
      </w:r>
      <w:r w:rsidR="00EC4E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15,0 тыс. руб.</w:t>
      </w:r>
      <w:r w:rsidR="00E1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r w:rsidR="0057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EC4E41">
        <w:rPr>
          <w:rFonts w:ascii="Times New Roman" w:eastAsia="Times New Roman" w:hAnsi="Times New Roman" w:cs="Times New Roman"/>
          <w:sz w:val="24"/>
          <w:szCs w:val="24"/>
          <w:lang w:eastAsia="ru-RU"/>
        </w:rPr>
        <w:t>4,8 % больше</w:t>
      </w:r>
      <w:r w:rsidRPr="00CE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утвержденных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назначений</w:t>
      </w:r>
      <w:r w:rsidR="00D1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B6BA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E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B0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4B6B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плановая сумма поступления доходов составит</w:t>
      </w:r>
      <w:r w:rsidR="00E1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E41">
        <w:rPr>
          <w:rFonts w:ascii="Times New Roman" w:eastAsia="Times New Roman" w:hAnsi="Times New Roman" w:cs="Times New Roman"/>
          <w:sz w:val="24"/>
          <w:szCs w:val="24"/>
          <w:lang w:eastAsia="ru-RU"/>
        </w:rPr>
        <w:t>329,6</w:t>
      </w:r>
      <w:r w:rsidR="00B0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на 202</w:t>
      </w:r>
      <w:r w:rsidR="004B6B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0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E1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4E41">
        <w:rPr>
          <w:rFonts w:ascii="Times New Roman" w:eastAsia="Times New Roman" w:hAnsi="Times New Roman" w:cs="Times New Roman"/>
          <w:sz w:val="24"/>
          <w:szCs w:val="24"/>
          <w:lang w:eastAsia="ru-RU"/>
        </w:rPr>
        <w:t>340,7</w:t>
      </w:r>
      <w:r w:rsidR="00B0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</w:t>
      </w:r>
    </w:p>
    <w:p w:rsidR="00EC4E41" w:rsidRDefault="00BF3190" w:rsidP="002C5B93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составе неналоговых доходов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B6BA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C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EC4E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E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E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включаются:</w:t>
      </w:r>
    </w:p>
    <w:p w:rsidR="00EC4E41" w:rsidRDefault="00EC4E41" w:rsidP="002C5B93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F3190" w:rsidRPr="00CE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доходы, получаемые в виде </w:t>
      </w:r>
      <w:r w:rsidR="0043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доходов от  сдачи в аренду  имущества, находящегося в оперативном  управлении администрации поселения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5,0 тыс.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4E41" w:rsidRDefault="00EC4E41" w:rsidP="002C5B93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доходы </w:t>
      </w:r>
      <w:r w:rsidR="0043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аренды земель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320,0</w:t>
      </w:r>
      <w:r w:rsidR="0043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C4E41" w:rsidRDefault="00EC4E41" w:rsidP="002C5B93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прочие поступления от использования имущества , находящихся в собственности сельских поселений- 3,6 тыс. руб.</w:t>
      </w:r>
    </w:p>
    <w:p w:rsidR="00BF3190" w:rsidRPr="00CE37C2" w:rsidRDefault="00BF3190" w:rsidP="002C5B93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Доля неналоговых доходов в доходах бюджета </w:t>
      </w:r>
      <w:r w:rsidR="00B73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Большеабакасинского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в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B6BA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B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 </w:t>
      </w:r>
      <w:r w:rsidR="00EC4E41">
        <w:rPr>
          <w:rFonts w:ascii="Times New Roman" w:eastAsia="Times New Roman" w:hAnsi="Times New Roman" w:cs="Times New Roman"/>
          <w:sz w:val="24"/>
          <w:szCs w:val="24"/>
          <w:lang w:eastAsia="ru-RU"/>
        </w:rPr>
        <w:t>25,5</w:t>
      </w:r>
      <w:r w:rsidR="00FB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r w:rsidR="00FB34BA" w:rsidRPr="00FB34B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B6B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B34BA" w:rsidRPr="00FB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431153">
        <w:rPr>
          <w:rFonts w:ascii="Times New Roman" w:eastAsia="Times New Roman" w:hAnsi="Times New Roman" w:cs="Times New Roman"/>
          <w:sz w:val="24"/>
          <w:szCs w:val="24"/>
          <w:lang w:eastAsia="ru-RU"/>
        </w:rPr>
        <w:t>- 2</w:t>
      </w:r>
      <w:r w:rsidR="00EC4E41">
        <w:rPr>
          <w:rFonts w:ascii="Times New Roman" w:eastAsia="Times New Roman" w:hAnsi="Times New Roman" w:cs="Times New Roman"/>
          <w:sz w:val="24"/>
          <w:szCs w:val="24"/>
          <w:lang w:eastAsia="ru-RU"/>
        </w:rPr>
        <w:t>4,6</w:t>
      </w:r>
      <w:r w:rsidR="00FB34BA">
        <w:rPr>
          <w:rFonts w:ascii="Times New Roman" w:eastAsia="Times New Roman" w:hAnsi="Times New Roman" w:cs="Times New Roman"/>
          <w:sz w:val="24"/>
          <w:szCs w:val="24"/>
          <w:lang w:eastAsia="ru-RU"/>
        </w:rPr>
        <w:t>%, 202</w:t>
      </w:r>
      <w:r w:rsidR="004B6B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B34BA" w:rsidRPr="00FB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4B6B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B34BA" w:rsidRPr="00FB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E41">
        <w:rPr>
          <w:rFonts w:ascii="Times New Roman" w:eastAsia="Times New Roman" w:hAnsi="Times New Roman" w:cs="Times New Roman"/>
          <w:sz w:val="24"/>
          <w:szCs w:val="24"/>
          <w:lang w:eastAsia="ru-RU"/>
        </w:rPr>
        <w:t>23,6</w:t>
      </w:r>
      <w:r w:rsidR="00FB34BA" w:rsidRPr="00FB34BA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977F28" w:rsidRDefault="00BF3190" w:rsidP="00977F2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A3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Безвозмездные поступления</w:t>
      </w:r>
      <w:r w:rsidRPr="00A3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бюджет </w:t>
      </w:r>
      <w:r w:rsidR="00F53694" w:rsidRPr="00A37E9F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Pr="00A3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</w:t>
      </w:r>
      <w:r w:rsidR="00F922DD" w:rsidRPr="00A37E9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B6BAB" w:rsidRPr="00A37E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3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планируются в объеме </w:t>
      </w:r>
      <w:r w:rsidR="00EC4E41">
        <w:rPr>
          <w:rFonts w:ascii="Times New Roman" w:eastAsia="Times New Roman" w:hAnsi="Times New Roman" w:cs="Times New Roman"/>
          <w:sz w:val="24"/>
          <w:szCs w:val="24"/>
          <w:lang w:eastAsia="ru-RU"/>
        </w:rPr>
        <w:t>3600,8</w:t>
      </w:r>
      <w:r w:rsidRPr="00A3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</w:t>
      </w:r>
      <w:r w:rsidR="00977F28" w:rsidRPr="00A3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4311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37,</w:t>
      </w:r>
      <w:r w:rsidR="00EC4E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977F28" w:rsidRPr="00A3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утвержденных показателей 2020 года.</w:t>
      </w:r>
    </w:p>
    <w:p w:rsidR="00977F28" w:rsidRDefault="00977F28" w:rsidP="00977F2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На 2022 год  поступление планируется в объеме </w:t>
      </w:r>
      <w:r w:rsidR="00EC4E41">
        <w:rPr>
          <w:rFonts w:ascii="Times New Roman" w:eastAsia="Times New Roman" w:hAnsi="Times New Roman" w:cs="Times New Roman"/>
          <w:sz w:val="24"/>
          <w:szCs w:val="24"/>
          <w:lang w:eastAsia="ru-RU"/>
        </w:rPr>
        <w:t>3289,5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4311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EC4E41">
        <w:rPr>
          <w:rFonts w:ascii="Times New Roman" w:eastAsia="Times New Roman" w:hAnsi="Times New Roman" w:cs="Times New Roman"/>
          <w:sz w:val="24"/>
          <w:szCs w:val="24"/>
          <w:lang w:eastAsia="ru-RU"/>
        </w:rPr>
        <w:t>91,4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уровню 2021 года, на 2023 год - в сумме </w:t>
      </w:r>
      <w:r w:rsidR="00EC4E41">
        <w:rPr>
          <w:rFonts w:ascii="Times New Roman" w:eastAsia="Times New Roman" w:hAnsi="Times New Roman" w:cs="Times New Roman"/>
          <w:sz w:val="24"/>
          <w:szCs w:val="24"/>
          <w:lang w:eastAsia="ru-RU"/>
        </w:rPr>
        <w:t>3128,5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431153">
        <w:rPr>
          <w:rFonts w:ascii="Times New Roman" w:eastAsia="Times New Roman" w:hAnsi="Times New Roman" w:cs="Times New Roman"/>
          <w:sz w:val="24"/>
          <w:szCs w:val="24"/>
          <w:lang w:eastAsia="ru-RU"/>
        </w:rPr>
        <w:t>( 95,</w:t>
      </w:r>
      <w:r w:rsidR="00EC4E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3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F3190" w:rsidRPr="003B0526" w:rsidRDefault="00977F28" w:rsidP="00977F2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BF3190"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F3190"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безвозмездных поступлений в доходах бюджета </w:t>
      </w:r>
      <w:r w:rsidR="00B73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Большеабакасинского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190"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BF3190"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F3190"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EC4E41">
        <w:rPr>
          <w:rFonts w:ascii="Times New Roman" w:eastAsia="Times New Roman" w:hAnsi="Times New Roman" w:cs="Times New Roman"/>
          <w:sz w:val="24"/>
          <w:szCs w:val="24"/>
          <w:lang w:eastAsia="ru-RU"/>
        </w:rPr>
        <w:t>82,1</w:t>
      </w:r>
      <w:r w:rsidR="00BF3190"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69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76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</w:t>
      </w:r>
      <w:r w:rsidR="00692F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76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153">
        <w:rPr>
          <w:rFonts w:ascii="Times New Roman" w:eastAsia="Times New Roman" w:hAnsi="Times New Roman" w:cs="Times New Roman"/>
          <w:sz w:val="24"/>
          <w:szCs w:val="24"/>
          <w:lang w:eastAsia="ru-RU"/>
        </w:rPr>
        <w:t>71,7</w:t>
      </w:r>
      <w:r w:rsidR="00F76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в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F7692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31153">
        <w:rPr>
          <w:rFonts w:ascii="Times New Roman" w:eastAsia="Times New Roman" w:hAnsi="Times New Roman" w:cs="Times New Roman"/>
          <w:sz w:val="24"/>
          <w:szCs w:val="24"/>
          <w:lang w:eastAsia="ru-RU"/>
        </w:rPr>
        <w:t>69,1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BF3190" w:rsidRPr="00383A97" w:rsidRDefault="00BF3190" w:rsidP="00BF3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F3190" w:rsidRPr="00F11F4A" w:rsidRDefault="00BF3190" w:rsidP="007139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3.Расходы бюджета </w:t>
      </w:r>
      <w:r w:rsidR="00B73202" w:rsidRPr="00EB6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Большеабакасинского</w:t>
      </w:r>
      <w:r w:rsidR="00264EEE" w:rsidRPr="00EB6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6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r w:rsidR="00F53694" w:rsidRPr="00EB6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Ибресинского</w:t>
      </w:r>
      <w:r w:rsidR="007139F1" w:rsidRPr="00EB6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Чувашской Республики</w:t>
      </w:r>
    </w:p>
    <w:p w:rsidR="00BF3190" w:rsidRPr="00F11F4A" w:rsidRDefault="00BF3190" w:rsidP="00BF3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190" w:rsidRDefault="00BF3190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расходов на </w:t>
      </w:r>
      <w:r w:rsidR="004C39AC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и на плановый период 2022 и 2023 годов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рекомендованной Минфином России структуре расходов бюджетов субъектов РФ и местных бюджетов  и состоит из </w:t>
      </w:r>
      <w:r w:rsidR="009744D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разделов функциональной классификации расходов бюджетной системы РФ. Расходы бюджета рассчитаны исходя из вышеуказанных объемов собственных доходов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безвозмездных поступлений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7E9F" w:rsidRDefault="00A37E9F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расходов бюджета </w:t>
      </w:r>
      <w:r w:rsidR="00B73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Большеабакасинского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2022 и 2023 годов</w:t>
      </w:r>
      <w:r w:rsidR="003D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6647" w:rsidRP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</w:t>
      </w:r>
      <w:r w:rsid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администрации </w:t>
      </w:r>
      <w:r w:rsidR="00B73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Большеабакасинского</w:t>
      </w:r>
      <w:r w:rsidR="00264EEE" w:rsidRP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Ибресинского района </w:t>
      </w:r>
      <w:r w:rsidR="00581E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основных направлениях бюджетной политики  </w:t>
      </w:r>
      <w:r w:rsidR="00B73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Большеабакасинского</w:t>
      </w:r>
      <w:r w:rsidR="00264EEE" w:rsidRP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на 202</w:t>
      </w:r>
      <w:r w:rsidR="00581E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581E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581EF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и направлены на создание условий для стабильного социально-экономического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 </w:t>
      </w:r>
    </w:p>
    <w:p w:rsidR="00E07A83" w:rsidRPr="00E07A83" w:rsidRDefault="00E07A83" w:rsidP="00E07A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для определения объема расходов бюджета </w:t>
      </w:r>
      <w:r w:rsidR="00B73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Большеабакасинского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очередной финансовый год и плановый период является реестр расходных обязательств.</w:t>
      </w:r>
    </w:p>
    <w:p w:rsidR="00E07A83" w:rsidRDefault="00E07A83" w:rsidP="00E07A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расходные обязательства, запланированные в проекте бюджета </w:t>
      </w:r>
      <w:r w:rsidR="00B73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Большеабакасинского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D3C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0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подтверждены соответствующими расчетами.</w:t>
      </w:r>
    </w:p>
    <w:p w:rsidR="00BF3190" w:rsidRDefault="00BF3190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="0008398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D3C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по сравнению с показателями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D3C6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0839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08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меньшатся на </w:t>
      </w:r>
      <w:r w:rsidR="0097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2102,8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0839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</w:t>
      </w:r>
      <w:r w:rsidR="009744DC">
        <w:rPr>
          <w:rFonts w:ascii="Times New Roman" w:eastAsia="Times New Roman" w:hAnsi="Times New Roman" w:cs="Times New Roman"/>
          <w:sz w:val="24"/>
          <w:szCs w:val="24"/>
          <w:lang w:eastAsia="ru-RU"/>
        </w:rPr>
        <w:t>30,1</w:t>
      </w:r>
      <w:r w:rsidR="00E07A8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3D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,и составят </w:t>
      </w:r>
      <w:r w:rsidR="009744DC">
        <w:rPr>
          <w:rFonts w:ascii="Times New Roman" w:eastAsia="Times New Roman" w:hAnsi="Times New Roman" w:cs="Times New Roman"/>
          <w:sz w:val="24"/>
          <w:szCs w:val="24"/>
          <w:lang w:eastAsia="ru-RU"/>
        </w:rPr>
        <w:t>4889,5</w:t>
      </w:r>
      <w:r w:rsidR="0008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 На</w:t>
      </w:r>
      <w:r w:rsidR="00E0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D3C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по сравнению с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D3C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</w:t>
      </w:r>
      <w:r w:rsidR="000839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</w:t>
      </w:r>
      <w:r w:rsidR="0008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</w:t>
      </w:r>
      <w:r w:rsidR="0042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расходов </w:t>
      </w:r>
      <w:r w:rsidR="0008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6759C">
        <w:rPr>
          <w:rFonts w:ascii="Times New Roman" w:eastAsia="Times New Roman" w:hAnsi="Times New Roman" w:cs="Times New Roman"/>
          <w:sz w:val="24"/>
          <w:szCs w:val="24"/>
          <w:lang w:eastAsia="ru-RU"/>
        </w:rPr>
        <w:t>5,3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2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2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составят </w:t>
      </w:r>
      <w:r w:rsidR="0056759C">
        <w:rPr>
          <w:rFonts w:ascii="Times New Roman" w:eastAsia="Times New Roman" w:hAnsi="Times New Roman" w:cs="Times New Roman"/>
          <w:sz w:val="24"/>
          <w:szCs w:val="24"/>
          <w:lang w:eastAsia="ru-RU"/>
        </w:rPr>
        <w:t>4628,1</w:t>
      </w:r>
      <w:r w:rsidR="0008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 На</w:t>
      </w:r>
      <w:r w:rsidR="00E07A83" w:rsidRPr="00E0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228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0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по сравнению с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228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07A83" w:rsidRPr="00E0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 </w:t>
      </w:r>
      <w:r w:rsidR="000839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82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меньшится  на </w:t>
      </w:r>
      <w:r w:rsidR="0056759C">
        <w:rPr>
          <w:rFonts w:ascii="Times New Roman" w:eastAsia="Times New Roman" w:hAnsi="Times New Roman" w:cs="Times New Roman"/>
          <w:sz w:val="24"/>
          <w:szCs w:val="24"/>
          <w:lang w:eastAsia="ru-RU"/>
        </w:rPr>
        <w:t>1,2</w:t>
      </w:r>
      <w:r w:rsidR="0082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и состав</w:t>
      </w:r>
      <w:r w:rsidR="0056759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2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56759C">
        <w:rPr>
          <w:rFonts w:ascii="Times New Roman" w:eastAsia="Times New Roman" w:hAnsi="Times New Roman" w:cs="Times New Roman"/>
          <w:sz w:val="24"/>
          <w:szCs w:val="24"/>
          <w:lang w:eastAsia="ru-RU"/>
        </w:rPr>
        <w:t>4570,8</w:t>
      </w:r>
      <w:r w:rsidR="0082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DD3C67" w:rsidRPr="00F11F4A" w:rsidRDefault="00DD3C67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52B" w:rsidRDefault="00BF3190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и динамика расходов бюджета </w:t>
      </w:r>
      <w:r w:rsidR="00B73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Большеабакасинского</w:t>
      </w:r>
      <w:r w:rsidR="00264EEE" w:rsidRPr="00F7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 w:rsidRPr="00F7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по разделам классификации расходов характеризуется следующими данными: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3880" w:rsidRDefault="00763880" w:rsidP="00BF31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7" w:type="dxa"/>
        <w:tblInd w:w="94" w:type="dxa"/>
        <w:tblLayout w:type="fixed"/>
        <w:tblLook w:val="04A0"/>
      </w:tblPr>
      <w:tblGrid>
        <w:gridCol w:w="2553"/>
        <w:gridCol w:w="456"/>
        <w:gridCol w:w="1089"/>
        <w:gridCol w:w="876"/>
        <w:gridCol w:w="1136"/>
        <w:gridCol w:w="947"/>
        <w:gridCol w:w="895"/>
        <w:gridCol w:w="993"/>
        <w:gridCol w:w="992"/>
      </w:tblGrid>
      <w:tr w:rsidR="00763880" w:rsidRPr="00763880" w:rsidTr="009F632B">
        <w:trPr>
          <w:trHeight w:val="54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3880" w:rsidRPr="009F632B" w:rsidRDefault="00763880" w:rsidP="009F632B">
            <w:pPr>
              <w:pStyle w:val="ac"/>
              <w:rPr>
                <w:rFonts w:ascii="Times New Roman" w:hAnsi="Times New Roman"/>
                <w:szCs w:val="20"/>
              </w:rPr>
            </w:pPr>
            <w:r w:rsidRPr="009F632B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3880" w:rsidRPr="009F632B" w:rsidRDefault="00763880" w:rsidP="009F632B">
            <w:pPr>
              <w:pStyle w:val="ac"/>
              <w:rPr>
                <w:rFonts w:ascii="Times New Roman" w:hAnsi="Times New Roman"/>
                <w:szCs w:val="20"/>
              </w:rPr>
            </w:pPr>
            <w:r w:rsidRPr="009F632B">
              <w:rPr>
                <w:rFonts w:ascii="Times New Roman" w:hAnsi="Times New Roman"/>
                <w:szCs w:val="20"/>
              </w:rPr>
              <w:t>РЗ</w:t>
            </w:r>
          </w:p>
        </w:tc>
        <w:tc>
          <w:tcPr>
            <w:tcW w:w="10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3880" w:rsidRPr="009F632B" w:rsidRDefault="00763880" w:rsidP="009F632B">
            <w:pPr>
              <w:pStyle w:val="ac"/>
              <w:rPr>
                <w:rFonts w:ascii="Times New Roman" w:hAnsi="Times New Roman"/>
                <w:szCs w:val="20"/>
              </w:rPr>
            </w:pPr>
            <w:r w:rsidRPr="009F632B">
              <w:rPr>
                <w:rFonts w:ascii="Times New Roman" w:hAnsi="Times New Roman"/>
                <w:szCs w:val="20"/>
              </w:rPr>
              <w:t xml:space="preserve">2020 год (решен </w:t>
            </w:r>
            <w:r w:rsidR="009F632B">
              <w:rPr>
                <w:rFonts w:ascii="Times New Roman" w:hAnsi="Times New Roman"/>
                <w:szCs w:val="20"/>
              </w:rPr>
              <w:t xml:space="preserve">о </w:t>
            </w:r>
            <w:r w:rsidRPr="009F632B">
              <w:rPr>
                <w:rFonts w:ascii="Times New Roman" w:hAnsi="Times New Roman"/>
                <w:szCs w:val="20"/>
              </w:rPr>
              <w:t>бюджет), тыс. руб.</w:t>
            </w:r>
          </w:p>
        </w:tc>
        <w:tc>
          <w:tcPr>
            <w:tcW w:w="583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63880" w:rsidRPr="009F632B" w:rsidRDefault="00763880" w:rsidP="009F632B">
            <w:pPr>
              <w:pStyle w:val="ac"/>
              <w:rPr>
                <w:rFonts w:ascii="Times New Roman" w:hAnsi="Times New Roman"/>
                <w:szCs w:val="20"/>
              </w:rPr>
            </w:pPr>
            <w:r w:rsidRPr="009F632B">
              <w:rPr>
                <w:rFonts w:ascii="Times New Roman" w:hAnsi="Times New Roman"/>
                <w:szCs w:val="20"/>
              </w:rPr>
              <w:t>Проект бюджета на:</w:t>
            </w:r>
          </w:p>
        </w:tc>
      </w:tr>
      <w:tr w:rsidR="00763880" w:rsidRPr="00763880" w:rsidTr="00711386">
        <w:trPr>
          <w:trHeight w:val="330"/>
        </w:trPr>
        <w:tc>
          <w:tcPr>
            <w:tcW w:w="25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3880" w:rsidRPr="009F632B" w:rsidRDefault="00763880" w:rsidP="009F632B">
            <w:pPr>
              <w:pStyle w:val="ac"/>
              <w:rPr>
                <w:rFonts w:ascii="Times New Roman" w:hAnsi="Times New Roman"/>
                <w:szCs w:val="20"/>
              </w:rPr>
            </w:pPr>
            <w:r w:rsidRPr="009F632B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63880" w:rsidRPr="009F632B" w:rsidRDefault="00763880" w:rsidP="009F632B">
            <w:pPr>
              <w:pStyle w:val="ac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63880" w:rsidRPr="009F632B" w:rsidRDefault="00763880" w:rsidP="009F632B">
            <w:pPr>
              <w:pStyle w:val="ac"/>
              <w:rPr>
                <w:rFonts w:ascii="Times New Roman" w:hAnsi="Times New Roman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63880" w:rsidRPr="009F632B" w:rsidRDefault="00763880" w:rsidP="009F632B">
            <w:pPr>
              <w:pStyle w:val="ac"/>
              <w:rPr>
                <w:rFonts w:ascii="Times New Roman" w:hAnsi="Times New Roman"/>
                <w:szCs w:val="20"/>
              </w:rPr>
            </w:pPr>
            <w:r w:rsidRPr="009F632B">
              <w:rPr>
                <w:rFonts w:ascii="Times New Roman" w:hAnsi="Times New Roman"/>
                <w:szCs w:val="20"/>
              </w:rPr>
              <w:t>2021 год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63880" w:rsidRPr="009F632B" w:rsidRDefault="00763880" w:rsidP="009F632B">
            <w:pPr>
              <w:pStyle w:val="ac"/>
              <w:rPr>
                <w:rFonts w:ascii="Times New Roman" w:hAnsi="Times New Roman"/>
                <w:szCs w:val="20"/>
              </w:rPr>
            </w:pPr>
            <w:r w:rsidRPr="009F632B">
              <w:rPr>
                <w:rFonts w:ascii="Times New Roman" w:hAnsi="Times New Roman"/>
                <w:szCs w:val="20"/>
              </w:rPr>
              <w:t>2022 год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63880" w:rsidRPr="009F632B" w:rsidRDefault="00763880" w:rsidP="009F632B">
            <w:pPr>
              <w:pStyle w:val="ac"/>
              <w:rPr>
                <w:rFonts w:ascii="Times New Roman" w:hAnsi="Times New Roman"/>
                <w:szCs w:val="20"/>
              </w:rPr>
            </w:pPr>
            <w:r w:rsidRPr="009F632B">
              <w:rPr>
                <w:rFonts w:ascii="Times New Roman" w:hAnsi="Times New Roman"/>
                <w:szCs w:val="20"/>
              </w:rPr>
              <w:t>2023 год</w:t>
            </w:r>
          </w:p>
        </w:tc>
      </w:tr>
      <w:tr w:rsidR="00763880" w:rsidRPr="00763880" w:rsidTr="00711386">
        <w:trPr>
          <w:trHeight w:val="999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880" w:rsidRPr="009F632B" w:rsidRDefault="00763880" w:rsidP="009F632B">
            <w:pPr>
              <w:pStyle w:val="ac"/>
              <w:rPr>
                <w:rFonts w:ascii="Times New Roman" w:hAnsi="Times New Roman"/>
                <w:szCs w:val="20"/>
              </w:rPr>
            </w:pPr>
            <w:r w:rsidRPr="009F632B">
              <w:rPr>
                <w:rFonts w:ascii="Times New Roman" w:hAnsi="Times New Roman"/>
                <w:szCs w:val="20"/>
              </w:rPr>
              <w:t>Показатели</w:t>
            </w: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63880" w:rsidRPr="009F632B" w:rsidRDefault="00763880" w:rsidP="009F632B">
            <w:pPr>
              <w:pStyle w:val="ac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63880" w:rsidRPr="009F632B" w:rsidRDefault="00763880" w:rsidP="009F632B">
            <w:pPr>
              <w:pStyle w:val="ac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880" w:rsidRPr="009F632B" w:rsidRDefault="00763880" w:rsidP="009F632B">
            <w:pPr>
              <w:pStyle w:val="ac"/>
              <w:rPr>
                <w:rFonts w:ascii="Times New Roman" w:hAnsi="Times New Roman"/>
                <w:szCs w:val="20"/>
              </w:rPr>
            </w:pPr>
            <w:r w:rsidRPr="009F632B">
              <w:rPr>
                <w:rFonts w:ascii="Times New Roman" w:hAnsi="Times New Roman"/>
                <w:szCs w:val="20"/>
              </w:rPr>
              <w:t>сумма, тыс. руб.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880" w:rsidRPr="009F632B" w:rsidRDefault="009F632B" w:rsidP="009F632B">
            <w:pPr>
              <w:pStyle w:val="ac"/>
              <w:rPr>
                <w:rFonts w:ascii="Times New Roman" w:hAnsi="Times New Roman"/>
                <w:szCs w:val="20"/>
              </w:rPr>
            </w:pPr>
            <w:r w:rsidRPr="009F632B">
              <w:rPr>
                <w:rFonts w:ascii="Times New Roman" w:hAnsi="Times New Roman"/>
                <w:szCs w:val="20"/>
              </w:rPr>
              <w:t>уд. вес (%)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880" w:rsidRPr="009F632B" w:rsidRDefault="00763880" w:rsidP="009F632B">
            <w:pPr>
              <w:pStyle w:val="ac"/>
              <w:rPr>
                <w:rFonts w:ascii="Times New Roman" w:hAnsi="Times New Roman"/>
                <w:szCs w:val="20"/>
              </w:rPr>
            </w:pPr>
            <w:r w:rsidRPr="009F632B">
              <w:rPr>
                <w:rFonts w:ascii="Times New Roman" w:hAnsi="Times New Roman"/>
                <w:szCs w:val="20"/>
              </w:rPr>
              <w:t>сумма, тыс. руб.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880" w:rsidRPr="009F632B" w:rsidRDefault="009F632B" w:rsidP="009F632B">
            <w:pPr>
              <w:pStyle w:val="ac"/>
              <w:rPr>
                <w:rFonts w:ascii="Times New Roman" w:hAnsi="Times New Roman"/>
                <w:szCs w:val="20"/>
              </w:rPr>
            </w:pPr>
            <w:r w:rsidRPr="009F632B">
              <w:rPr>
                <w:rFonts w:ascii="Times New Roman" w:hAnsi="Times New Roman"/>
                <w:szCs w:val="20"/>
              </w:rPr>
              <w:t>уд. вес (%)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880" w:rsidRPr="009F632B" w:rsidRDefault="00763880" w:rsidP="009F632B">
            <w:pPr>
              <w:pStyle w:val="ac"/>
              <w:rPr>
                <w:rFonts w:ascii="Times New Roman" w:hAnsi="Times New Roman"/>
                <w:szCs w:val="20"/>
              </w:rPr>
            </w:pPr>
            <w:r w:rsidRPr="009F632B">
              <w:rPr>
                <w:rFonts w:ascii="Times New Roman" w:hAnsi="Times New Roman"/>
                <w:szCs w:val="20"/>
              </w:rPr>
              <w:t>сумма,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880" w:rsidRPr="009F632B" w:rsidRDefault="009F632B" w:rsidP="009F632B">
            <w:pPr>
              <w:pStyle w:val="ac"/>
              <w:rPr>
                <w:rFonts w:ascii="Times New Roman" w:hAnsi="Times New Roman"/>
                <w:szCs w:val="20"/>
              </w:rPr>
            </w:pPr>
            <w:r w:rsidRPr="009F632B">
              <w:rPr>
                <w:rFonts w:ascii="Times New Roman" w:hAnsi="Times New Roman"/>
                <w:szCs w:val="20"/>
              </w:rPr>
              <w:t>уд. вес (%)</w:t>
            </w:r>
          </w:p>
        </w:tc>
      </w:tr>
      <w:tr w:rsidR="009F632B" w:rsidRPr="00763880" w:rsidTr="00711386">
        <w:trPr>
          <w:trHeight w:val="3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763880" w:rsidRDefault="009F632B" w:rsidP="00711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711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9F632B">
              <w:rPr>
                <w:rFonts w:ascii="Times New Roman" w:hAnsi="Times New Roman"/>
                <w:b/>
                <w:sz w:val="20"/>
                <w:szCs w:val="20"/>
              </w:rPr>
              <w:t>7734,8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9F632B">
              <w:rPr>
                <w:rFonts w:ascii="Times New Roman" w:hAnsi="Times New Roman"/>
                <w:b/>
                <w:sz w:val="20"/>
                <w:szCs w:val="20"/>
              </w:rPr>
              <w:t>4889,5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9F632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9F632B">
              <w:rPr>
                <w:rFonts w:ascii="Times New Roman" w:hAnsi="Times New Roman"/>
                <w:b/>
                <w:sz w:val="20"/>
                <w:szCs w:val="20"/>
              </w:rPr>
              <w:t>4628,1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9F632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9F632B">
              <w:rPr>
                <w:rFonts w:ascii="Times New Roman" w:hAnsi="Times New Roman"/>
                <w:b/>
                <w:sz w:val="20"/>
                <w:szCs w:val="20"/>
              </w:rPr>
              <w:t>4570,8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9F632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9F632B" w:rsidRPr="00763880" w:rsidTr="00711386">
        <w:trPr>
          <w:trHeight w:val="264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763880" w:rsidRDefault="009F632B" w:rsidP="00711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6388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711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632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63,2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94,7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9F632B" w:rsidRPr="00763880" w:rsidTr="00711386">
        <w:trPr>
          <w:trHeight w:val="6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763880" w:rsidRDefault="009F632B" w:rsidP="0071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711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1191,9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1197,8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24,5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1197,8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25,9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1197,8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26,2</w:t>
            </w:r>
          </w:p>
        </w:tc>
      </w:tr>
      <w:tr w:rsidR="009F632B" w:rsidRPr="00763880" w:rsidTr="00711386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711386" w:rsidRDefault="009F632B" w:rsidP="00711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113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711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632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100,5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F632B" w:rsidRPr="00763880" w:rsidTr="00711386">
        <w:trPr>
          <w:trHeight w:val="39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763880" w:rsidRDefault="009F632B" w:rsidP="0071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711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103,6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105,7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110,3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</w:tr>
      <w:tr w:rsidR="009F632B" w:rsidRPr="00763880" w:rsidTr="00711386">
        <w:trPr>
          <w:trHeight w:val="194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711386" w:rsidRDefault="009F632B" w:rsidP="00711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113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711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632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115,1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102,0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F632B" w:rsidRPr="00763880" w:rsidTr="00711386">
        <w:trPr>
          <w:trHeight w:val="64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763880" w:rsidRDefault="009F632B" w:rsidP="0071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711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F632B" w:rsidRPr="00763880" w:rsidTr="00711386">
        <w:trPr>
          <w:trHeight w:val="224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711386" w:rsidRDefault="009F632B" w:rsidP="00711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113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711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632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F632B" w:rsidRPr="00763880" w:rsidTr="00711386">
        <w:trPr>
          <w:trHeight w:val="57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763880" w:rsidRDefault="009F632B" w:rsidP="0071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711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2384,8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2229,0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45,6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2196,9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2281,3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49,9</w:t>
            </w:r>
          </w:p>
        </w:tc>
      </w:tr>
      <w:tr w:rsidR="009F632B" w:rsidRPr="00763880" w:rsidTr="00711386">
        <w:trPr>
          <w:trHeight w:val="167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711386" w:rsidRDefault="009F632B" w:rsidP="00711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113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711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632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93,5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98,6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F632B" w:rsidRPr="00763880" w:rsidTr="00711386">
        <w:trPr>
          <w:trHeight w:val="299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763880" w:rsidRDefault="009F632B" w:rsidP="0071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711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1812,1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133,6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133,6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129,2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</w:tr>
      <w:tr w:rsidR="009F632B" w:rsidRPr="00763880" w:rsidTr="00711386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711386" w:rsidRDefault="009F632B" w:rsidP="00711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113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711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632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7,4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F632B" w:rsidRPr="00763880" w:rsidTr="00711386">
        <w:trPr>
          <w:trHeight w:val="34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763880" w:rsidRDefault="009F632B" w:rsidP="0071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711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2254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1225,5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25,1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901,3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669,5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14,6</w:t>
            </w:r>
          </w:p>
        </w:tc>
      </w:tr>
      <w:tr w:rsidR="009F632B" w:rsidRPr="00763880" w:rsidTr="00711386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711386" w:rsidRDefault="009F632B" w:rsidP="00711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113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711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632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54,4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73,5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F632B" w:rsidRPr="00763880" w:rsidTr="00711386">
        <w:trPr>
          <w:trHeight w:val="64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763880" w:rsidRDefault="009F632B" w:rsidP="0071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711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F632B" w:rsidRPr="00763880" w:rsidTr="00711386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711386" w:rsidRDefault="009F632B" w:rsidP="00711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113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711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632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F632B" w:rsidRPr="00763880" w:rsidTr="00711386">
        <w:trPr>
          <w:trHeight w:val="37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763880" w:rsidRDefault="009F632B" w:rsidP="0071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Условно утвержденные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711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92,8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182,6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F632B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9F632B" w:rsidRPr="00763880" w:rsidTr="00711386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711386" w:rsidRDefault="009F632B" w:rsidP="00711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113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711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632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196,8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632B" w:rsidRPr="009F632B" w:rsidRDefault="009F632B" w:rsidP="009F632B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632B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</w:tr>
    </w:tbl>
    <w:p w:rsidR="00763880" w:rsidRDefault="00426DA9" w:rsidP="00BF31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190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F3190" w:rsidRDefault="00BF3190" w:rsidP="00BF31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</w:t>
      </w:r>
      <w:r w:rsidR="00681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11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Общегосударственные расходы»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учтены расходы на функционирование местных администраций, расходы по резервному фонду</w:t>
      </w:r>
      <w:r w:rsidR="005D2674" w:rsidRPr="005D2674">
        <w:t xml:space="preserve"> </w:t>
      </w:r>
      <w:r w:rsidR="005D2674" w:rsidRPr="005D26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другие общегосударственные вопросы.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Бюджетные ассигнования на решение задач общегосударственного значения в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638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 сравнению с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6388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 </w:t>
      </w:r>
      <w:r w:rsidR="0071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увеличатся на </w:t>
      </w:r>
      <w:r w:rsidR="009F632B">
        <w:rPr>
          <w:rFonts w:ascii="Times New Roman" w:eastAsia="Times New Roman" w:hAnsi="Times New Roman" w:cs="Times New Roman"/>
          <w:sz w:val="24"/>
          <w:szCs w:val="24"/>
          <w:lang w:eastAsia="ru-RU"/>
        </w:rPr>
        <w:t>0,5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7B1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составят </w:t>
      </w:r>
      <w:r w:rsidR="009F632B">
        <w:rPr>
          <w:rFonts w:ascii="Times New Roman" w:eastAsia="Times New Roman" w:hAnsi="Times New Roman" w:cs="Times New Roman"/>
          <w:sz w:val="24"/>
          <w:szCs w:val="24"/>
          <w:lang w:eastAsia="ru-RU"/>
        </w:rPr>
        <w:t>1197,8</w:t>
      </w:r>
      <w:r w:rsidR="007B1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26DA9" w:rsidRDefault="00426DA9" w:rsidP="00BF31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="00422E5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ходы бюджета по данному разделу на плановый период 202</w:t>
      </w:r>
      <w:r w:rsidR="008B68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8B68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2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прогнозируются </w:t>
      </w:r>
      <w:r w:rsidR="007B1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42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объеме </w:t>
      </w:r>
      <w:r w:rsidR="007B15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</w:t>
      </w:r>
      <w:r w:rsidR="009F632B">
        <w:rPr>
          <w:rFonts w:ascii="Times New Roman" w:eastAsia="Times New Roman" w:hAnsi="Times New Roman" w:cs="Times New Roman"/>
          <w:sz w:val="24"/>
          <w:szCs w:val="24"/>
          <w:lang w:eastAsia="ru-RU"/>
        </w:rPr>
        <w:t>197,8</w:t>
      </w:r>
      <w:r w:rsidR="0042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7B1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ежегодно.</w:t>
      </w:r>
      <w:r w:rsidR="0042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3190" w:rsidRDefault="00BF3190" w:rsidP="00115C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расходов на общегосударственные вопросы в общей структуре расходов бюджета </w:t>
      </w:r>
      <w:r w:rsidR="00B73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Большеабакасинского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B68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8B68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7B15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632B">
        <w:rPr>
          <w:rFonts w:ascii="Times New Roman" w:eastAsia="Times New Roman" w:hAnsi="Times New Roman" w:cs="Times New Roman"/>
          <w:sz w:val="24"/>
          <w:szCs w:val="24"/>
          <w:lang w:eastAsia="ru-RU"/>
        </w:rPr>
        <w:t>4,5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9F63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8CD" w:rsidRDefault="008B68CD" w:rsidP="00115C3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8CD">
        <w:rPr>
          <w:rFonts w:ascii="Times New Roman" w:hAnsi="Times New Roman" w:cs="Times New Roman"/>
          <w:sz w:val="24"/>
          <w:szCs w:val="24"/>
        </w:rPr>
        <w:t>Расходы по п</w:t>
      </w:r>
      <w:r w:rsidRPr="008B68CD">
        <w:rPr>
          <w:rFonts w:ascii="Times New Roman" w:eastAsia="Calibri" w:hAnsi="Times New Roman" w:cs="Times New Roman"/>
          <w:sz w:val="24"/>
          <w:szCs w:val="24"/>
        </w:rPr>
        <w:t>одраздел</w:t>
      </w:r>
      <w:r w:rsidRPr="008B68CD">
        <w:rPr>
          <w:rFonts w:ascii="Times New Roman" w:hAnsi="Times New Roman" w:cs="Times New Roman"/>
          <w:sz w:val="24"/>
          <w:szCs w:val="24"/>
        </w:rPr>
        <w:t>у</w:t>
      </w:r>
      <w:r w:rsidRPr="008B68CD">
        <w:rPr>
          <w:rFonts w:ascii="Times New Roman" w:eastAsia="Calibri" w:hAnsi="Times New Roman" w:cs="Times New Roman"/>
          <w:sz w:val="24"/>
          <w:szCs w:val="24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предусмотрены на   обеспечение реализации муниципальной программы "Развитие потенциала муниципального управления" на содержание  администрации поселения на 2021</w:t>
      </w:r>
      <w:r w:rsidR="009F632B">
        <w:rPr>
          <w:rFonts w:ascii="Times New Roman" w:eastAsia="Calibri" w:hAnsi="Times New Roman" w:cs="Times New Roman"/>
          <w:sz w:val="24"/>
          <w:szCs w:val="24"/>
        </w:rPr>
        <w:t xml:space="preserve">-2023 годы </w:t>
      </w:r>
      <w:r w:rsidRPr="008B68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632B">
        <w:rPr>
          <w:rFonts w:ascii="Times New Roman" w:eastAsia="Calibri" w:hAnsi="Times New Roman" w:cs="Times New Roman"/>
          <w:sz w:val="24"/>
          <w:szCs w:val="24"/>
        </w:rPr>
        <w:t xml:space="preserve">  по </w:t>
      </w:r>
      <w:r w:rsidR="007B15C1">
        <w:rPr>
          <w:rFonts w:ascii="Times New Roman" w:eastAsia="Calibri" w:hAnsi="Times New Roman" w:cs="Times New Roman"/>
          <w:sz w:val="24"/>
          <w:szCs w:val="24"/>
        </w:rPr>
        <w:t>9</w:t>
      </w:r>
      <w:r w:rsidR="009F632B">
        <w:rPr>
          <w:rFonts w:ascii="Times New Roman" w:eastAsia="Calibri" w:hAnsi="Times New Roman" w:cs="Times New Roman"/>
          <w:sz w:val="24"/>
          <w:szCs w:val="24"/>
        </w:rPr>
        <w:t>50,4</w:t>
      </w:r>
      <w:r w:rsidRPr="008B68CD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="009F632B">
        <w:rPr>
          <w:rFonts w:ascii="Times New Roman" w:eastAsia="Calibri" w:hAnsi="Times New Roman" w:cs="Times New Roman"/>
          <w:sz w:val="24"/>
          <w:szCs w:val="24"/>
        </w:rPr>
        <w:t xml:space="preserve"> ежегодно.</w:t>
      </w:r>
      <w:r w:rsidRPr="008B68C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15C1" w:rsidRDefault="008B68CD" w:rsidP="00115C3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</w:t>
      </w:r>
      <w:r w:rsidRPr="008B68CD">
        <w:rPr>
          <w:rFonts w:ascii="Times New Roman" w:eastAsia="Calibri" w:hAnsi="Times New Roman" w:cs="Times New Roman"/>
          <w:b/>
          <w:sz w:val="24"/>
          <w:szCs w:val="24"/>
        </w:rPr>
        <w:t>одраздел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8B68CD">
        <w:rPr>
          <w:rFonts w:ascii="Times New Roman" w:eastAsia="Calibri" w:hAnsi="Times New Roman" w:cs="Times New Roman"/>
          <w:b/>
          <w:sz w:val="24"/>
          <w:szCs w:val="24"/>
        </w:rPr>
        <w:t>«Резервные фонды»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8CD">
        <w:rPr>
          <w:rFonts w:ascii="Times New Roman" w:hAnsi="Times New Roman" w:cs="Times New Roman"/>
          <w:sz w:val="24"/>
          <w:szCs w:val="24"/>
        </w:rPr>
        <w:t>ассигнования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8CD">
        <w:rPr>
          <w:rFonts w:ascii="Times New Roman" w:eastAsia="Calibri" w:hAnsi="Times New Roman" w:cs="Times New Roman"/>
          <w:sz w:val="24"/>
          <w:szCs w:val="24"/>
        </w:rPr>
        <w:t xml:space="preserve">предусмотрены на реализацию подпрограммы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долгом". Согласно статье 81 Бюджетного кодекса Российской Федерации </w:t>
      </w:r>
      <w:bookmarkStart w:id="0" w:name="sub_812"/>
      <w:r w:rsidRPr="008B68CD">
        <w:rPr>
          <w:rFonts w:ascii="Times New Roman" w:eastAsia="Calibri" w:hAnsi="Times New Roman" w:cs="Times New Roman"/>
          <w:sz w:val="24"/>
          <w:szCs w:val="24"/>
        </w:rPr>
        <w:t>размер резервных фондов местных администраций  не может превышать 3 процента общего объема расходов бюджета.</w:t>
      </w:r>
      <w:bookmarkEnd w:id="0"/>
      <w:r w:rsidR="009F63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68CD">
        <w:rPr>
          <w:rFonts w:ascii="Times New Roman" w:eastAsia="Calibri" w:hAnsi="Times New Roman" w:cs="Times New Roman"/>
          <w:sz w:val="24"/>
          <w:szCs w:val="24"/>
        </w:rPr>
        <w:t xml:space="preserve">В проекте решения на реализацию данной подпрограммы предусмотрены ассигнования на 2021 год в размере </w:t>
      </w:r>
      <w:r w:rsidR="009F632B">
        <w:rPr>
          <w:rFonts w:ascii="Times New Roman" w:eastAsia="Calibri" w:hAnsi="Times New Roman" w:cs="Times New Roman"/>
          <w:sz w:val="24"/>
          <w:szCs w:val="24"/>
        </w:rPr>
        <w:t>30</w:t>
      </w:r>
      <w:r w:rsidR="007B15C1">
        <w:rPr>
          <w:rFonts w:ascii="Times New Roman" w:eastAsia="Calibri" w:hAnsi="Times New Roman" w:cs="Times New Roman"/>
          <w:sz w:val="24"/>
          <w:szCs w:val="24"/>
        </w:rPr>
        <w:t>,0</w:t>
      </w:r>
      <w:r w:rsidRPr="008B68CD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="007B15C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68CD" w:rsidRPr="008B68CD" w:rsidRDefault="007B15C1" w:rsidP="00D8044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8CD">
        <w:rPr>
          <w:rFonts w:ascii="Times New Roman" w:hAnsi="Times New Roman" w:cs="Times New Roman"/>
          <w:sz w:val="24"/>
          <w:szCs w:val="24"/>
        </w:rPr>
        <w:t>По подразделу</w:t>
      </w:r>
      <w:r w:rsidR="008B68CD" w:rsidRPr="008B68CD">
        <w:rPr>
          <w:rFonts w:ascii="Times New Roman" w:eastAsia="Calibri" w:hAnsi="Times New Roman" w:cs="Times New Roman"/>
          <w:b/>
          <w:sz w:val="24"/>
          <w:szCs w:val="24"/>
        </w:rPr>
        <w:t xml:space="preserve"> «Другие общегосударственные вопросы»</w:t>
      </w:r>
      <w:r w:rsidR="008B68CD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="008B68CD" w:rsidRPr="008B68CD">
        <w:rPr>
          <w:rFonts w:ascii="Times New Roman" w:eastAsia="Calibri" w:hAnsi="Times New Roman" w:cs="Times New Roman"/>
          <w:sz w:val="24"/>
          <w:szCs w:val="24"/>
        </w:rPr>
        <w:t>юджетные ас</w:t>
      </w:r>
      <w:r w:rsidR="008B68CD">
        <w:rPr>
          <w:rFonts w:ascii="Times New Roman" w:hAnsi="Times New Roman" w:cs="Times New Roman"/>
          <w:sz w:val="24"/>
          <w:szCs w:val="24"/>
        </w:rPr>
        <w:t xml:space="preserve">сигнования </w:t>
      </w:r>
      <w:r w:rsidR="008B68CD" w:rsidRPr="008B68CD">
        <w:rPr>
          <w:rFonts w:ascii="Times New Roman" w:eastAsia="Calibri" w:hAnsi="Times New Roman" w:cs="Times New Roman"/>
          <w:sz w:val="24"/>
          <w:szCs w:val="24"/>
        </w:rPr>
        <w:t xml:space="preserve"> предусмотрены на обеспечение реализации муниципальной программы  "Развитие потенциала муниципального управления" на содержание административно-хозяйственного персонала  на 2021 год в размере 2</w:t>
      </w:r>
      <w:r w:rsidR="009F632B">
        <w:rPr>
          <w:rFonts w:ascii="Times New Roman" w:eastAsia="Calibri" w:hAnsi="Times New Roman" w:cs="Times New Roman"/>
          <w:sz w:val="24"/>
          <w:szCs w:val="24"/>
        </w:rPr>
        <w:t>13,9</w:t>
      </w:r>
      <w:r w:rsidR="008B68CD" w:rsidRPr="008B68CD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="008B68CD">
        <w:rPr>
          <w:rFonts w:ascii="Times New Roman" w:hAnsi="Times New Roman" w:cs="Times New Roman"/>
          <w:sz w:val="24"/>
          <w:szCs w:val="24"/>
        </w:rPr>
        <w:t>,</w:t>
      </w:r>
      <w:r w:rsidR="008B68CD" w:rsidRPr="008B68CD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="009F632B">
        <w:rPr>
          <w:rFonts w:ascii="Times New Roman" w:eastAsia="Calibri" w:hAnsi="Times New Roman" w:cs="Times New Roman"/>
          <w:sz w:val="24"/>
          <w:szCs w:val="24"/>
        </w:rPr>
        <w:t>4,3</w:t>
      </w:r>
      <w:r w:rsidR="008B68CD" w:rsidRPr="008B68CD">
        <w:rPr>
          <w:rFonts w:ascii="Times New Roman" w:eastAsia="Calibri" w:hAnsi="Times New Roman" w:cs="Times New Roman"/>
          <w:sz w:val="24"/>
          <w:szCs w:val="24"/>
        </w:rPr>
        <w:t>% от общей суммы прогнозируемых расходов</w:t>
      </w:r>
      <w:r w:rsidR="00115C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B68CD">
        <w:rPr>
          <w:rFonts w:ascii="Times New Roman" w:hAnsi="Times New Roman" w:cs="Times New Roman"/>
          <w:sz w:val="24"/>
          <w:szCs w:val="24"/>
        </w:rPr>
        <w:t>На</w:t>
      </w:r>
      <w:r w:rsidR="008B68CD" w:rsidRPr="008B68CD">
        <w:rPr>
          <w:rFonts w:ascii="Times New Roman" w:eastAsia="Calibri" w:hAnsi="Times New Roman" w:cs="Times New Roman"/>
          <w:sz w:val="24"/>
          <w:szCs w:val="24"/>
        </w:rPr>
        <w:t xml:space="preserve"> выполнение других обязательств муниципального образования </w:t>
      </w:r>
      <w:r w:rsidR="008B68CD">
        <w:rPr>
          <w:rFonts w:ascii="Times New Roman" w:hAnsi="Times New Roman" w:cs="Times New Roman"/>
          <w:sz w:val="24"/>
          <w:szCs w:val="24"/>
        </w:rPr>
        <w:t>(</w:t>
      </w:r>
      <w:r w:rsidR="008B68CD" w:rsidRPr="008B68CD">
        <w:rPr>
          <w:rFonts w:ascii="Times New Roman" w:eastAsia="Calibri" w:hAnsi="Times New Roman" w:cs="Times New Roman"/>
          <w:sz w:val="24"/>
          <w:szCs w:val="24"/>
        </w:rPr>
        <w:t>оплату членского взноса в Совет муниципальных образований</w:t>
      </w:r>
      <w:r w:rsidR="008B68CD">
        <w:rPr>
          <w:rFonts w:ascii="Times New Roman" w:hAnsi="Times New Roman" w:cs="Times New Roman"/>
          <w:sz w:val="24"/>
          <w:szCs w:val="24"/>
        </w:rPr>
        <w:t>)</w:t>
      </w:r>
      <w:r w:rsidR="008B68CD" w:rsidRPr="008B68CD">
        <w:rPr>
          <w:rFonts w:ascii="Times New Roman" w:eastAsia="Calibri" w:hAnsi="Times New Roman" w:cs="Times New Roman"/>
          <w:sz w:val="24"/>
          <w:szCs w:val="24"/>
        </w:rPr>
        <w:t xml:space="preserve"> на 2021</w:t>
      </w:r>
      <w:r w:rsidR="00FE4FA6">
        <w:rPr>
          <w:rFonts w:ascii="Times New Roman" w:eastAsia="Calibri" w:hAnsi="Times New Roman" w:cs="Times New Roman"/>
          <w:sz w:val="24"/>
          <w:szCs w:val="24"/>
        </w:rPr>
        <w:t>-2023 годы</w:t>
      </w:r>
      <w:r w:rsidR="008B68CD" w:rsidRPr="008B68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68CD">
        <w:rPr>
          <w:rFonts w:ascii="Times New Roman" w:hAnsi="Times New Roman" w:cs="Times New Roman"/>
          <w:sz w:val="24"/>
          <w:szCs w:val="24"/>
        </w:rPr>
        <w:t xml:space="preserve">предусматриваются средства </w:t>
      </w:r>
      <w:r w:rsidR="00FE4FA6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8B68CD" w:rsidRPr="008B68CD">
        <w:rPr>
          <w:rFonts w:ascii="Times New Roman" w:eastAsia="Calibri" w:hAnsi="Times New Roman" w:cs="Times New Roman"/>
          <w:sz w:val="24"/>
          <w:szCs w:val="24"/>
        </w:rPr>
        <w:t xml:space="preserve"> в размере </w:t>
      </w:r>
      <w:r w:rsidR="00FE4FA6">
        <w:rPr>
          <w:rFonts w:ascii="Times New Roman" w:eastAsia="Calibri" w:hAnsi="Times New Roman" w:cs="Times New Roman"/>
          <w:sz w:val="24"/>
          <w:szCs w:val="24"/>
        </w:rPr>
        <w:t xml:space="preserve"> по 3,5 </w:t>
      </w:r>
      <w:r w:rsidR="008B68CD" w:rsidRPr="008B68CD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="00115C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41AE" w:rsidRDefault="00BF3190" w:rsidP="00D441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разделу </w:t>
      </w:r>
      <w:r w:rsidRPr="00681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11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Национальная оборона» </w:t>
      </w:r>
      <w:r w:rsidR="007150BE" w:rsidRPr="007150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</w:t>
      </w:r>
      <w:r w:rsidR="00715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50BE" w:rsidRPr="0071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="00B73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Большеабакасинского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50BE" w:rsidRPr="0071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"Управление общественными ф</w:t>
      </w:r>
      <w:r w:rsidR="006635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инансами и муниципальным долгом</w:t>
      </w:r>
      <w:r w:rsidR="007150BE" w:rsidRPr="0071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предусмотрены расходы на финансовое обеспечение </w:t>
      </w:r>
      <w:r w:rsidRPr="00D8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делегированных </w:t>
      </w:r>
      <w:r w:rsidR="00D8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полномочий по организации первичного воинского учета на территориях, где отсутствуют военные комиссариаты </w:t>
      </w:r>
      <w:r w:rsidR="00D8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F922DD" w:rsidRPr="00D844C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B68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8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</w:t>
      </w:r>
      <w:r w:rsidR="00D844CF" w:rsidRPr="00D844CF">
        <w:rPr>
          <w:rFonts w:ascii="Times New Roman" w:hAnsi="Times New Roman" w:cs="Times New Roman"/>
          <w:sz w:val="24"/>
          <w:szCs w:val="24"/>
        </w:rPr>
        <w:t xml:space="preserve"> </w:t>
      </w:r>
      <w:r w:rsidR="008B68CD">
        <w:rPr>
          <w:rFonts w:ascii="Times New Roman" w:hAnsi="Times New Roman" w:cs="Times New Roman"/>
          <w:sz w:val="24"/>
          <w:szCs w:val="24"/>
        </w:rPr>
        <w:t>сумме 103,6</w:t>
      </w:r>
      <w:r w:rsidR="00D844CF" w:rsidRPr="00D844C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B68CD">
        <w:rPr>
          <w:rFonts w:ascii="Times New Roman" w:hAnsi="Times New Roman" w:cs="Times New Roman"/>
          <w:sz w:val="24"/>
          <w:szCs w:val="24"/>
        </w:rPr>
        <w:t xml:space="preserve">. </w:t>
      </w:r>
      <w:r w:rsidRPr="00D8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расходов по данному разделу в общем объеме расходов в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5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г. составит </w:t>
      </w:r>
      <w:r w:rsidR="00115C3C">
        <w:rPr>
          <w:rFonts w:ascii="Times New Roman" w:eastAsia="Times New Roman" w:hAnsi="Times New Roman" w:cs="Times New Roman"/>
          <w:sz w:val="24"/>
          <w:szCs w:val="24"/>
          <w:lang w:eastAsia="ru-RU"/>
        </w:rPr>
        <w:t>2,1</w:t>
      </w:r>
      <w:r w:rsidR="0085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D804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1AE" w:rsidRDefault="00D441AE" w:rsidP="00D441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 год расходы по разделу предусматриваются в сумме 105,7  тыс. рублей (102,0 % к 2021 году), на 2023 год – 110,</w:t>
      </w:r>
      <w:r w:rsidR="00FE4FA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или 104,</w:t>
      </w:r>
      <w:r w:rsidR="00FE4F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предыдущему году.</w:t>
      </w:r>
    </w:p>
    <w:p w:rsidR="00F75E35" w:rsidRDefault="00F75E35" w:rsidP="00140681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190" w:rsidRPr="000924A0" w:rsidRDefault="00D8044A" w:rsidP="00140681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F3190" w:rsidRP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разделу </w:t>
      </w:r>
      <w:r w:rsidR="00BF3190" w:rsidRPr="00092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«Национальная экономика</w:t>
      </w:r>
      <w:r w:rsidR="00BF3190" w:rsidRP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353D7" w:rsidRP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расходы в рамках муниципальн</w:t>
      </w:r>
      <w:r w:rsidR="00344437" w:rsidRP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B353D7" w:rsidRP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344437" w:rsidRP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B353D7" w:rsidRP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856432" w:rsidRPr="000924A0">
        <w:rPr>
          <w:rFonts w:ascii="Times New Roman" w:eastAsia="Calibri" w:hAnsi="Times New Roman" w:cs="Times New Roman"/>
          <w:sz w:val="24"/>
          <w:szCs w:val="24"/>
        </w:rPr>
        <w:t>Безопасные и качественные автомобильные дороги" муниципальной программы "Развитие транспортной системы</w:t>
      </w:r>
      <w:r w:rsidR="000924A0" w:rsidRPr="000924A0">
        <w:rPr>
          <w:rFonts w:ascii="Times New Roman" w:eastAsia="Calibri" w:hAnsi="Times New Roman" w:cs="Times New Roman"/>
          <w:sz w:val="24"/>
          <w:szCs w:val="24"/>
        </w:rPr>
        <w:t>».</w:t>
      </w:r>
      <w:r w:rsidR="000924A0">
        <w:rPr>
          <w:rFonts w:ascii="Times New Roman" w:hAnsi="Times New Roman" w:cs="Times New Roman"/>
          <w:sz w:val="24"/>
          <w:szCs w:val="24"/>
        </w:rPr>
        <w:t xml:space="preserve">       </w:t>
      </w:r>
      <w:r w:rsid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данному разделу в 2021 году составят </w:t>
      </w:r>
      <w:r w:rsidR="00FE4FA6">
        <w:rPr>
          <w:rFonts w:ascii="Times New Roman" w:eastAsia="Times New Roman" w:hAnsi="Times New Roman" w:cs="Times New Roman"/>
          <w:sz w:val="24"/>
          <w:szCs w:val="24"/>
          <w:lang w:eastAsia="ru-RU"/>
        </w:rPr>
        <w:t>2229,0</w:t>
      </w:r>
      <w:r w:rsid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</w:t>
      </w:r>
      <w:r w:rsidR="00344437" w:rsidRP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на </w:t>
      </w:r>
      <w:r w:rsidR="00FE4FA6">
        <w:rPr>
          <w:rFonts w:ascii="Times New Roman" w:eastAsia="Times New Roman" w:hAnsi="Times New Roman" w:cs="Times New Roman"/>
          <w:sz w:val="24"/>
          <w:szCs w:val="24"/>
          <w:lang w:eastAsia="ru-RU"/>
        </w:rPr>
        <w:t>6,5</w:t>
      </w:r>
      <w:r w:rsidR="00344437" w:rsidRP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r w:rsid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6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</w:t>
      </w:r>
      <w:r w:rsid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предусмотренного</w:t>
      </w:r>
      <w:r w:rsidR="00BF3190" w:rsidRP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DA7" w:rsidRP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 на</w:t>
      </w:r>
      <w:r w:rsidR="00BF3190" w:rsidRP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2DD" w:rsidRP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F3190" w:rsidRP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4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4437" w:rsidRP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E4FA6">
        <w:rPr>
          <w:rFonts w:ascii="Times New Roman" w:eastAsia="Times New Roman" w:hAnsi="Times New Roman" w:cs="Times New Roman"/>
          <w:sz w:val="24"/>
          <w:szCs w:val="24"/>
          <w:lang w:eastAsia="ru-RU"/>
        </w:rPr>
        <w:t>2394,8</w:t>
      </w:r>
      <w:r w:rsidR="00344437" w:rsidRP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руб.).</w:t>
      </w:r>
    </w:p>
    <w:p w:rsidR="00BF3190" w:rsidRDefault="00BF3190" w:rsidP="001406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расходы по разделу предусматриваются в сумме </w:t>
      </w:r>
      <w:r w:rsidR="00FE4FA6">
        <w:rPr>
          <w:rFonts w:ascii="Times New Roman" w:eastAsia="Times New Roman" w:hAnsi="Times New Roman" w:cs="Times New Roman"/>
          <w:sz w:val="24"/>
          <w:szCs w:val="24"/>
          <w:lang w:eastAsia="ru-RU"/>
        </w:rPr>
        <w:t>2196,9</w:t>
      </w:r>
      <w:r w:rsidR="0034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14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4068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E4FA6">
        <w:rPr>
          <w:rFonts w:ascii="Times New Roman" w:eastAsia="Times New Roman" w:hAnsi="Times New Roman" w:cs="Times New Roman"/>
          <w:sz w:val="24"/>
          <w:szCs w:val="24"/>
          <w:lang w:eastAsia="ru-RU"/>
        </w:rPr>
        <w:t>8,6</w:t>
      </w:r>
      <w:r w:rsid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2021 году)</w:t>
      </w:r>
      <w:r w:rsidR="00A9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FE4FA6">
        <w:rPr>
          <w:rFonts w:ascii="Times New Roman" w:eastAsia="Times New Roman" w:hAnsi="Times New Roman" w:cs="Times New Roman"/>
          <w:sz w:val="24"/>
          <w:szCs w:val="24"/>
          <w:lang w:eastAsia="ru-RU"/>
        </w:rPr>
        <w:t>2281,3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r w:rsidR="0014068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E4FA6">
        <w:rPr>
          <w:rFonts w:ascii="Times New Roman" w:eastAsia="Times New Roman" w:hAnsi="Times New Roman" w:cs="Times New Roman"/>
          <w:sz w:val="24"/>
          <w:szCs w:val="24"/>
          <w:lang w:eastAsia="ru-RU"/>
        </w:rPr>
        <w:t>3,8</w:t>
      </w:r>
      <w:r w:rsid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предыдущему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3190" w:rsidRPr="00F11F4A" w:rsidRDefault="00BF3190" w:rsidP="00BF3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расходов по данному разделу в общем объеме расходов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составит </w:t>
      </w:r>
      <w:r w:rsidR="00FE4FA6">
        <w:rPr>
          <w:rFonts w:ascii="Times New Roman" w:eastAsia="Times New Roman" w:hAnsi="Times New Roman" w:cs="Times New Roman"/>
          <w:sz w:val="24"/>
          <w:szCs w:val="24"/>
          <w:lang w:eastAsia="ru-RU"/>
        </w:rPr>
        <w:t>45,6</w:t>
      </w:r>
      <w:r w:rsidR="00A9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FE4FA6">
        <w:rPr>
          <w:rFonts w:ascii="Times New Roman" w:eastAsia="Times New Roman" w:hAnsi="Times New Roman" w:cs="Times New Roman"/>
          <w:sz w:val="24"/>
          <w:szCs w:val="24"/>
          <w:lang w:eastAsia="ru-RU"/>
        </w:rPr>
        <w:t>47,5</w:t>
      </w:r>
      <w:r w:rsidR="00A9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FE4FA6">
        <w:rPr>
          <w:rFonts w:ascii="Times New Roman" w:eastAsia="Times New Roman" w:hAnsi="Times New Roman" w:cs="Times New Roman"/>
          <w:sz w:val="24"/>
          <w:szCs w:val="24"/>
          <w:lang w:eastAsia="ru-RU"/>
        </w:rPr>
        <w:t>49,9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344437" w:rsidRDefault="00BF3190" w:rsidP="008E2A20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разделу </w:t>
      </w:r>
      <w:r w:rsidR="00681006" w:rsidRPr="00681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</w:t>
      </w:r>
      <w:r w:rsidRPr="00681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11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Жилищно-коммунальное хозяйство</w:t>
      </w:r>
      <w:r w:rsidR="0071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4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расходы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планируются в </w:t>
      </w:r>
      <w:r w:rsidR="0034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пределах </w:t>
      </w:r>
      <w:r w:rsidR="00FE4FA6">
        <w:rPr>
          <w:rFonts w:ascii="Times New Roman" w:eastAsia="Times New Roman" w:hAnsi="Times New Roman" w:cs="Times New Roman"/>
          <w:sz w:val="24"/>
          <w:szCs w:val="24"/>
          <w:lang w:eastAsia="ru-RU"/>
        </w:rPr>
        <w:t>133,6</w:t>
      </w:r>
      <w:r w:rsidR="0034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</w:t>
      </w:r>
      <w:proofErr w:type="spellStart"/>
      <w:r w:rsidR="0034443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34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967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FE4FA6">
        <w:rPr>
          <w:rFonts w:ascii="Times New Roman" w:eastAsia="Times New Roman" w:hAnsi="Times New Roman" w:cs="Times New Roman"/>
          <w:sz w:val="24"/>
          <w:szCs w:val="24"/>
          <w:lang w:eastAsia="ru-RU"/>
        </w:rPr>
        <w:t>7,4</w:t>
      </w:r>
      <w:r w:rsidR="00967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 уровню 202</w:t>
      </w:r>
      <w:r w:rsidR="00D441A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67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34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E4FA6">
        <w:rPr>
          <w:rFonts w:ascii="Times New Roman" w:eastAsia="Times New Roman" w:hAnsi="Times New Roman" w:cs="Times New Roman"/>
          <w:sz w:val="24"/>
          <w:szCs w:val="24"/>
          <w:lang w:eastAsia="ru-RU"/>
        </w:rPr>
        <w:t>1812,1</w:t>
      </w:r>
      <w:r w:rsidR="0034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руб.). </w:t>
      </w:r>
    </w:p>
    <w:p w:rsidR="00BF3190" w:rsidRDefault="00344437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плановый 202</w:t>
      </w:r>
      <w:r w:rsidR="009678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202</w:t>
      </w:r>
      <w:r w:rsidR="009678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 предусматриваются к выделению средства бюджета </w:t>
      </w:r>
      <w:r w:rsidR="00967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суммах </w:t>
      </w:r>
      <w:r w:rsidR="00FE4FA6">
        <w:rPr>
          <w:rFonts w:ascii="Times New Roman" w:eastAsia="Times New Roman" w:hAnsi="Times New Roman" w:cs="Times New Roman"/>
          <w:sz w:val="24"/>
          <w:szCs w:val="24"/>
          <w:lang w:eastAsia="ru-RU"/>
        </w:rPr>
        <w:t>133,6</w:t>
      </w:r>
      <w:r w:rsidR="00967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BF3190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967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E4FA6">
        <w:rPr>
          <w:rFonts w:ascii="Times New Roman" w:eastAsia="Times New Roman" w:hAnsi="Times New Roman" w:cs="Times New Roman"/>
          <w:sz w:val="24"/>
          <w:szCs w:val="24"/>
          <w:lang w:eastAsia="ru-RU"/>
        </w:rPr>
        <w:t>129,2</w:t>
      </w:r>
      <w:r w:rsidR="00967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соответственно.</w:t>
      </w:r>
    </w:p>
    <w:p w:rsidR="00BF3190" w:rsidRPr="00F11F4A" w:rsidRDefault="00136E68" w:rsidP="008E2A20">
      <w:pPr>
        <w:pBdr>
          <w:bottom w:val="single" w:sz="12" w:space="21" w:color="auto"/>
        </w:pBd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68">
        <w:rPr>
          <w:rFonts w:ascii="Times New Roman" w:hAnsi="Times New Roman" w:cs="Times New Roman"/>
          <w:sz w:val="24"/>
          <w:szCs w:val="24"/>
        </w:rPr>
        <w:t xml:space="preserve">Бюджетные ассигнования по данному подразделу предусмотрены на реализацию  муниципальной программы "Модернизация и развитие сферы жилищно-коммунального </w:t>
      </w:r>
      <w:r w:rsidR="00BA0E35">
        <w:rPr>
          <w:rFonts w:ascii="Times New Roman" w:hAnsi="Times New Roman" w:cs="Times New Roman"/>
          <w:sz w:val="24"/>
          <w:szCs w:val="24"/>
        </w:rPr>
        <w:t xml:space="preserve">хозяйства. 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указанных расходов в общем объеме расходов бюджета поселения </w:t>
      </w:r>
      <w:r w:rsidR="00D4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года 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 </w:t>
      </w:r>
      <w:r w:rsidR="00FE4FA6">
        <w:rPr>
          <w:rFonts w:ascii="Times New Roman" w:eastAsia="Times New Roman" w:hAnsi="Times New Roman" w:cs="Times New Roman"/>
          <w:sz w:val="24"/>
          <w:szCs w:val="24"/>
          <w:lang w:eastAsia="ru-RU"/>
        </w:rPr>
        <w:t>2,7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40561B" w:rsidRDefault="00BF3190" w:rsidP="00BA0E35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</w:t>
      </w:r>
      <w:r w:rsidR="00681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006" w:rsidRPr="00681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</w:t>
      </w:r>
      <w:r w:rsidR="00942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1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11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Культура, кинематография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11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5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40561B" w:rsidRPr="0040561B">
        <w:rPr>
          <w:rFonts w:ascii="Times New Roman" w:hAnsi="Times New Roman" w:cs="Times New Roman"/>
          <w:sz w:val="24"/>
          <w:szCs w:val="24"/>
        </w:rPr>
        <w:t>юджетные ассигнования</w:t>
      </w:r>
      <w:r w:rsidR="00405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61B">
        <w:rPr>
          <w:rFonts w:ascii="Times New Roman" w:hAnsi="Times New Roman" w:cs="Times New Roman"/>
          <w:sz w:val="24"/>
          <w:szCs w:val="24"/>
        </w:rPr>
        <w:t>п</w:t>
      </w:r>
      <w:r w:rsidR="0040561B" w:rsidRPr="0040561B">
        <w:rPr>
          <w:rFonts w:ascii="Times New Roman" w:hAnsi="Times New Roman" w:cs="Times New Roman"/>
          <w:sz w:val="24"/>
          <w:szCs w:val="24"/>
        </w:rPr>
        <w:t>редусмот</w:t>
      </w:r>
      <w:r w:rsidR="0040561B">
        <w:rPr>
          <w:rFonts w:ascii="Times New Roman" w:hAnsi="Times New Roman" w:cs="Times New Roman"/>
          <w:sz w:val="24"/>
          <w:szCs w:val="24"/>
        </w:rPr>
        <w:t>-</w:t>
      </w:r>
      <w:r w:rsidR="0040561B" w:rsidRPr="0040561B">
        <w:rPr>
          <w:rFonts w:ascii="Times New Roman" w:hAnsi="Times New Roman" w:cs="Times New Roman"/>
          <w:sz w:val="24"/>
          <w:szCs w:val="24"/>
        </w:rPr>
        <w:t>рены</w:t>
      </w:r>
      <w:proofErr w:type="spellEnd"/>
      <w:r w:rsidR="0040561B" w:rsidRPr="0040561B">
        <w:rPr>
          <w:rFonts w:ascii="Times New Roman" w:hAnsi="Times New Roman" w:cs="Times New Roman"/>
          <w:sz w:val="24"/>
          <w:szCs w:val="24"/>
        </w:rPr>
        <w:t xml:space="preserve"> на  реализацию подпрограммы "Развитие культуры" муниципальной программы "Развитие культуры и туризма"</w:t>
      </w:r>
      <w:r w:rsidR="00FE4FA6">
        <w:rPr>
          <w:rFonts w:ascii="Times New Roman" w:hAnsi="Times New Roman" w:cs="Times New Roman"/>
          <w:sz w:val="24"/>
          <w:szCs w:val="24"/>
        </w:rPr>
        <w:t xml:space="preserve"> и муниципальной программы "  Повышение безопасности жизнедеятельности </w:t>
      </w:r>
      <w:r w:rsidR="00194A9E">
        <w:rPr>
          <w:rFonts w:ascii="Times New Roman" w:hAnsi="Times New Roman" w:cs="Times New Roman"/>
          <w:sz w:val="24"/>
          <w:szCs w:val="24"/>
        </w:rPr>
        <w:t xml:space="preserve"> населения."</w:t>
      </w:r>
      <w:r w:rsidR="00A175B4">
        <w:rPr>
          <w:rFonts w:ascii="Times New Roman" w:hAnsi="Times New Roman" w:cs="Times New Roman"/>
          <w:sz w:val="24"/>
          <w:szCs w:val="24"/>
        </w:rPr>
        <w:t xml:space="preserve"> </w:t>
      </w:r>
      <w:r w:rsidR="0040561B" w:rsidRPr="00D441AE">
        <w:rPr>
          <w:rFonts w:ascii="Times New Roman" w:hAnsi="Times New Roman" w:cs="Times New Roman"/>
          <w:sz w:val="24"/>
          <w:szCs w:val="24"/>
        </w:rPr>
        <w:t xml:space="preserve">На </w:t>
      </w:r>
      <w:r w:rsidR="00194A9E">
        <w:rPr>
          <w:rFonts w:ascii="Times New Roman" w:hAnsi="Times New Roman" w:cs="Times New Roman"/>
          <w:sz w:val="24"/>
          <w:szCs w:val="24"/>
        </w:rPr>
        <w:t xml:space="preserve">реализацию программ  и </w:t>
      </w:r>
      <w:r w:rsidR="0040561B" w:rsidRPr="00D441AE">
        <w:rPr>
          <w:rFonts w:ascii="Times New Roman" w:hAnsi="Times New Roman" w:cs="Times New Roman"/>
          <w:sz w:val="24"/>
          <w:szCs w:val="24"/>
        </w:rPr>
        <w:t xml:space="preserve">обеспечение деятельности учреждений в сфере культурно - </w:t>
      </w:r>
      <w:proofErr w:type="spellStart"/>
      <w:r w:rsidR="0040561B" w:rsidRPr="00D441AE"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 w:rsidR="0040561B" w:rsidRPr="00D441AE">
        <w:rPr>
          <w:rFonts w:ascii="Times New Roman" w:hAnsi="Times New Roman" w:cs="Times New Roman"/>
          <w:sz w:val="24"/>
          <w:szCs w:val="24"/>
        </w:rPr>
        <w:t xml:space="preserve"> обслуживания населения</w:t>
      </w:r>
      <w:r w:rsidR="00A175B4" w:rsidRPr="00D441AE">
        <w:rPr>
          <w:rFonts w:ascii="Calibri" w:eastAsia="Calibri" w:hAnsi="Calibri" w:cs="Times New Roman"/>
          <w:sz w:val="24"/>
          <w:szCs w:val="24"/>
        </w:rPr>
        <w:t xml:space="preserve"> </w:t>
      </w:r>
      <w:r w:rsidR="0040561B" w:rsidRPr="00D441AE">
        <w:rPr>
          <w:rFonts w:ascii="Times New Roman" w:hAnsi="Times New Roman" w:cs="Times New Roman"/>
          <w:sz w:val="24"/>
          <w:szCs w:val="24"/>
        </w:rPr>
        <w:t>на 202</w:t>
      </w:r>
      <w:r w:rsidR="00A175B4" w:rsidRPr="00D441AE">
        <w:rPr>
          <w:rFonts w:ascii="Times New Roman" w:hAnsi="Times New Roman" w:cs="Times New Roman"/>
          <w:sz w:val="24"/>
          <w:szCs w:val="24"/>
        </w:rPr>
        <w:t>1</w:t>
      </w:r>
      <w:r w:rsidR="0040561B" w:rsidRPr="00D441AE">
        <w:rPr>
          <w:rFonts w:ascii="Times New Roman" w:hAnsi="Times New Roman" w:cs="Times New Roman"/>
          <w:sz w:val="24"/>
          <w:szCs w:val="24"/>
        </w:rPr>
        <w:t xml:space="preserve"> год предусмотрены  ассигнования в сумме </w:t>
      </w:r>
      <w:r w:rsidR="00194A9E">
        <w:rPr>
          <w:rFonts w:ascii="Times New Roman" w:hAnsi="Times New Roman" w:cs="Times New Roman"/>
          <w:sz w:val="24"/>
          <w:szCs w:val="24"/>
        </w:rPr>
        <w:t>1225,5</w:t>
      </w:r>
      <w:r w:rsidR="0040561B" w:rsidRPr="00D441AE">
        <w:rPr>
          <w:rFonts w:ascii="Times New Roman" w:hAnsi="Times New Roman" w:cs="Times New Roman"/>
          <w:sz w:val="24"/>
          <w:szCs w:val="24"/>
        </w:rPr>
        <w:t xml:space="preserve"> тыс.  рублей.</w:t>
      </w:r>
      <w:r w:rsidR="00BA0E35">
        <w:rPr>
          <w:rFonts w:ascii="Times New Roman" w:hAnsi="Times New Roman" w:cs="Times New Roman"/>
          <w:sz w:val="24"/>
          <w:szCs w:val="24"/>
        </w:rPr>
        <w:t xml:space="preserve"> </w:t>
      </w:r>
      <w:r w:rsidR="0040561B">
        <w:rPr>
          <w:rFonts w:ascii="Times New Roman" w:hAnsi="Times New Roman" w:cs="Times New Roman"/>
          <w:sz w:val="24"/>
          <w:szCs w:val="24"/>
        </w:rPr>
        <w:t>По сравнению с предшествующим годом (</w:t>
      </w:r>
      <w:r w:rsidR="00194A9E">
        <w:rPr>
          <w:rFonts w:ascii="Times New Roman" w:hAnsi="Times New Roman" w:cs="Times New Roman"/>
          <w:sz w:val="24"/>
          <w:szCs w:val="24"/>
        </w:rPr>
        <w:t>2254,0</w:t>
      </w:r>
      <w:r w:rsidR="0040561B">
        <w:rPr>
          <w:rFonts w:ascii="Times New Roman" w:hAnsi="Times New Roman" w:cs="Times New Roman"/>
          <w:sz w:val="24"/>
          <w:szCs w:val="24"/>
        </w:rPr>
        <w:t xml:space="preserve"> тыс. руб.) расходы  202</w:t>
      </w:r>
      <w:r w:rsidR="00A175B4">
        <w:rPr>
          <w:rFonts w:ascii="Times New Roman" w:hAnsi="Times New Roman" w:cs="Times New Roman"/>
          <w:sz w:val="24"/>
          <w:szCs w:val="24"/>
        </w:rPr>
        <w:t>1</w:t>
      </w:r>
      <w:r w:rsidR="0040561B">
        <w:rPr>
          <w:rFonts w:ascii="Times New Roman" w:hAnsi="Times New Roman" w:cs="Times New Roman"/>
          <w:sz w:val="24"/>
          <w:szCs w:val="24"/>
        </w:rPr>
        <w:t xml:space="preserve"> года запланированы с</w:t>
      </w:r>
      <w:r w:rsidR="00D441AE">
        <w:rPr>
          <w:rFonts w:ascii="Times New Roman" w:hAnsi="Times New Roman" w:cs="Times New Roman"/>
          <w:sz w:val="24"/>
          <w:szCs w:val="24"/>
        </w:rPr>
        <w:t xml:space="preserve">о снижением </w:t>
      </w:r>
      <w:r w:rsidR="0040561B">
        <w:rPr>
          <w:rFonts w:ascii="Times New Roman" w:hAnsi="Times New Roman" w:cs="Times New Roman"/>
          <w:sz w:val="24"/>
          <w:szCs w:val="24"/>
        </w:rPr>
        <w:t xml:space="preserve">на </w:t>
      </w:r>
      <w:r w:rsidR="00D441AE">
        <w:rPr>
          <w:rFonts w:ascii="Times New Roman" w:hAnsi="Times New Roman" w:cs="Times New Roman"/>
          <w:sz w:val="24"/>
          <w:szCs w:val="24"/>
        </w:rPr>
        <w:t>45,</w:t>
      </w:r>
      <w:r w:rsidR="00194A9E">
        <w:rPr>
          <w:rFonts w:ascii="Times New Roman" w:hAnsi="Times New Roman" w:cs="Times New Roman"/>
          <w:sz w:val="24"/>
          <w:szCs w:val="24"/>
        </w:rPr>
        <w:t>6</w:t>
      </w:r>
      <w:r w:rsidR="0040561B">
        <w:rPr>
          <w:rFonts w:ascii="Times New Roman" w:hAnsi="Times New Roman" w:cs="Times New Roman"/>
          <w:sz w:val="24"/>
          <w:szCs w:val="24"/>
        </w:rPr>
        <w:t xml:space="preserve"> </w:t>
      </w:r>
      <w:r w:rsidR="00A175B4">
        <w:rPr>
          <w:rFonts w:ascii="Times New Roman" w:hAnsi="Times New Roman" w:cs="Times New Roman"/>
          <w:sz w:val="24"/>
          <w:szCs w:val="24"/>
        </w:rPr>
        <w:t>%.</w:t>
      </w:r>
      <w:r w:rsidR="004056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61B" w:rsidRDefault="0040561B" w:rsidP="00BA0E35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A175B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 сумма выделяемых средств  состав</w:t>
      </w:r>
      <w:r w:rsidR="00194A9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194A9E">
        <w:rPr>
          <w:rFonts w:ascii="Times New Roman" w:hAnsi="Times New Roman" w:cs="Times New Roman"/>
          <w:sz w:val="24"/>
          <w:szCs w:val="24"/>
        </w:rPr>
        <w:t>901,3</w:t>
      </w:r>
      <w:r w:rsidRPr="0040561B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A175B4">
        <w:rPr>
          <w:rFonts w:ascii="Times New Roman" w:hAnsi="Times New Roman" w:cs="Times New Roman"/>
          <w:sz w:val="24"/>
          <w:szCs w:val="24"/>
        </w:rPr>
        <w:t>3</w:t>
      </w:r>
      <w:r w:rsidRPr="0040561B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194A9E">
        <w:rPr>
          <w:rFonts w:ascii="Times New Roman" w:hAnsi="Times New Roman" w:cs="Times New Roman"/>
          <w:sz w:val="24"/>
          <w:szCs w:val="24"/>
        </w:rPr>
        <w:t>669,5</w:t>
      </w:r>
      <w:r w:rsidRPr="0040561B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56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1AE" w:rsidRDefault="0040561B" w:rsidP="0078713E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Удельный вес расходов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указанному разделу в общем объеме расходов на 202</w:t>
      </w:r>
      <w:r w:rsidR="00A175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194A9E">
        <w:rPr>
          <w:rFonts w:ascii="Times New Roman" w:hAnsi="Times New Roman" w:cs="Times New Roman"/>
          <w:sz w:val="24"/>
          <w:szCs w:val="24"/>
        </w:rPr>
        <w:t>25,1</w:t>
      </w:r>
      <w:r w:rsidRPr="0040561B">
        <w:rPr>
          <w:rFonts w:ascii="Times New Roman" w:hAnsi="Times New Roman" w:cs="Times New Roman"/>
          <w:sz w:val="24"/>
          <w:szCs w:val="24"/>
        </w:rPr>
        <w:t xml:space="preserve">% </w:t>
      </w:r>
      <w:r w:rsidR="00D441AE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</w:t>
      </w:r>
    </w:p>
    <w:p w:rsidR="0078713E" w:rsidRDefault="00511C71" w:rsidP="0078713E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решения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175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3190" w:rsidRPr="0051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объем </w:t>
      </w:r>
      <w:r w:rsidR="00BF3190" w:rsidRPr="00511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условно утверждаемых расходов </w:t>
      </w:r>
      <w:r w:rsidR="00BF3190" w:rsidRPr="0051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 в сумме </w:t>
      </w:r>
      <w:r w:rsidR="00023A9C">
        <w:rPr>
          <w:rFonts w:ascii="Times New Roman" w:eastAsia="Times New Roman" w:hAnsi="Times New Roman" w:cs="Times New Roman"/>
          <w:sz w:val="24"/>
          <w:szCs w:val="24"/>
          <w:lang w:eastAsia="ru-RU"/>
        </w:rPr>
        <w:t>92,8</w:t>
      </w:r>
      <w:r w:rsidR="000565CF" w:rsidRPr="00B57FE9">
        <w:rPr>
          <w:sz w:val="24"/>
          <w:szCs w:val="24"/>
        </w:rPr>
        <w:t xml:space="preserve"> </w:t>
      </w:r>
      <w:r w:rsidR="00BF3190" w:rsidRPr="00511C7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="000565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F3190" w:rsidRPr="0051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2C7A96">
        <w:rPr>
          <w:rFonts w:ascii="Times New Roman" w:eastAsia="Times New Roman" w:hAnsi="Times New Roman" w:cs="Times New Roman"/>
          <w:sz w:val="24"/>
          <w:szCs w:val="24"/>
          <w:lang w:eastAsia="ru-RU"/>
        </w:rPr>
        <w:t>2,5</w:t>
      </w:r>
      <w:r w:rsidR="00BF3190" w:rsidRPr="0051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общего объема расходов бюджета (без учета расходов бюджета, предусмотренных за счет межбюджетных трансфертов из других бюджетов бюджетной системы, имею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 целевое назначение), на 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175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3190" w:rsidRPr="0051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023A9C">
        <w:rPr>
          <w:rFonts w:ascii="Times New Roman" w:eastAsia="Times New Roman" w:hAnsi="Times New Roman" w:cs="Times New Roman"/>
          <w:sz w:val="24"/>
          <w:szCs w:val="24"/>
          <w:lang w:eastAsia="ru-RU"/>
        </w:rPr>
        <w:t>182,6</w:t>
      </w:r>
      <w:r w:rsidR="00BF3190" w:rsidRPr="0051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0565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F3190" w:rsidRPr="0051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007985">
        <w:rPr>
          <w:rFonts w:ascii="Times New Roman" w:eastAsia="Times New Roman" w:hAnsi="Times New Roman" w:cs="Times New Roman"/>
          <w:sz w:val="24"/>
          <w:szCs w:val="24"/>
          <w:lang w:eastAsia="ru-RU"/>
        </w:rPr>
        <w:t>5,0</w:t>
      </w:r>
      <w:r w:rsidR="00BF3190" w:rsidRPr="0051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объема расходов бюджета</w:t>
      </w:r>
      <w:r w:rsidR="002C7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7A96" w:rsidRPr="002C7A96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 учета расходов бюджета, предусмотренных за счет межбюджетных трансфертов из других бюджетов бюджетной системы, имеющих целевое назначение)</w:t>
      </w:r>
      <w:r w:rsidR="00BF3190" w:rsidRPr="0051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Установленные объемы  условно утверждаемых расходов соответствуют требованиям ст.184.1 Бюджетного кодекса Российской Федерации, согласно которой на первый год планового периода они должны быть утверждены в объеме не менее 2,5 % общего объема расходов (без учета расходов бюджета, предусмотренных за счет межбюджетных трансфертов из других бюджетов бюджетной системы, имеющих целевое назначение), на второй год планового периода – не менее 5,0 % общего объема расходов бюджета (без учета расходов бюджета, предусмотренных за счет межбюджетных трансфертов из других бюджетов бюджетной системы, имеющих целевое назначение).  </w:t>
      </w:r>
    </w:p>
    <w:p w:rsidR="0078713E" w:rsidRDefault="0078713E" w:rsidP="0078713E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3E" w:rsidRDefault="00BF3190" w:rsidP="0078713E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4.Муниципальный долг, дефицит бюджета </w:t>
      </w:r>
      <w:r w:rsidR="00B73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Большеабакасинского</w:t>
      </w:r>
      <w:r w:rsidR="00264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1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и источники его финансирования</w:t>
      </w:r>
    </w:p>
    <w:p w:rsidR="0078713E" w:rsidRDefault="0078713E" w:rsidP="0078713E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13E" w:rsidRDefault="00BF3190" w:rsidP="0078713E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Предельный объем </w:t>
      </w:r>
      <w:r w:rsidRPr="00F11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долга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Большеабакасинского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C6D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175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</w:t>
      </w:r>
      <w:r w:rsidR="00B3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ановый период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175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175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предлагается утвердить в сумме 0,0 тыс. рублей.</w:t>
      </w:r>
      <w:r w:rsidR="007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EB6A2D" w:rsidRDefault="0078713E" w:rsidP="00EB6A2D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оект решения бюджета </w:t>
      </w:r>
      <w:r w:rsidR="00B73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Большеабакасинского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F53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175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3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175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175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предлагается утвердить без дефицита.</w:t>
      </w:r>
      <w:r w:rsidR="00BF3190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713E" w:rsidRPr="00EB6A2D" w:rsidRDefault="0078713E" w:rsidP="00EB6A2D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6A2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BF3190" w:rsidRPr="00EB6A2D">
        <w:rPr>
          <w:rFonts w:ascii="Times New Roman" w:hAnsi="Times New Roman" w:cs="Times New Roman"/>
          <w:b/>
          <w:sz w:val="24"/>
          <w:szCs w:val="24"/>
          <w:lang w:eastAsia="ru-RU"/>
        </w:rPr>
        <w:t>Выводы и предложения</w:t>
      </w:r>
    </w:p>
    <w:p w:rsidR="0078713E" w:rsidRPr="00EB6A2D" w:rsidRDefault="00EB6A2D" w:rsidP="00EB6A2D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A2D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BF3190" w:rsidRPr="00EB6A2D">
        <w:rPr>
          <w:rFonts w:ascii="Times New Roman" w:hAnsi="Times New Roman"/>
          <w:sz w:val="24"/>
          <w:szCs w:val="24"/>
          <w:lang w:eastAsia="ru-RU"/>
        </w:rPr>
        <w:t xml:space="preserve"> 1.</w:t>
      </w:r>
      <w:r w:rsidR="0078713E" w:rsidRPr="00EB6A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3190" w:rsidRPr="00EB6A2D">
        <w:rPr>
          <w:rFonts w:ascii="Times New Roman" w:hAnsi="Times New Roman"/>
          <w:sz w:val="24"/>
          <w:szCs w:val="24"/>
          <w:lang w:eastAsia="ru-RU"/>
        </w:rPr>
        <w:t xml:space="preserve">Перечень документов и материалов, представленных Собранию депутатов </w:t>
      </w:r>
      <w:r w:rsidR="00B73202" w:rsidRPr="00EB6A2D">
        <w:rPr>
          <w:rFonts w:ascii="Times New Roman" w:hAnsi="Times New Roman"/>
          <w:sz w:val="24"/>
          <w:szCs w:val="24"/>
          <w:lang w:eastAsia="ru-RU"/>
        </w:rPr>
        <w:t>Большеабакасинского</w:t>
      </w:r>
      <w:r w:rsidR="00264EEE" w:rsidRPr="00EB6A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0C6D" w:rsidRPr="00EB6A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3190" w:rsidRPr="00EB6A2D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  <w:r w:rsidR="00F53694" w:rsidRPr="00EB6A2D">
        <w:rPr>
          <w:rFonts w:ascii="Times New Roman" w:hAnsi="Times New Roman"/>
          <w:sz w:val="24"/>
          <w:szCs w:val="24"/>
          <w:lang w:eastAsia="ru-RU"/>
        </w:rPr>
        <w:t>Ибресинского</w:t>
      </w:r>
      <w:r w:rsidR="00BF3190" w:rsidRPr="00EB6A2D">
        <w:rPr>
          <w:rFonts w:ascii="Times New Roman" w:hAnsi="Times New Roman"/>
          <w:sz w:val="24"/>
          <w:szCs w:val="24"/>
          <w:lang w:eastAsia="ru-RU"/>
        </w:rPr>
        <w:t xml:space="preserve"> района Чувашской Республики   </w:t>
      </w:r>
      <w:r w:rsidR="00F75E35" w:rsidRPr="00EB6A2D">
        <w:rPr>
          <w:rFonts w:ascii="Times New Roman" w:hAnsi="Times New Roman"/>
          <w:sz w:val="24"/>
          <w:szCs w:val="24"/>
          <w:lang w:eastAsia="ru-RU"/>
        </w:rPr>
        <w:t xml:space="preserve">в целом, </w:t>
      </w:r>
      <w:r w:rsidR="00BF3190" w:rsidRPr="00EB6A2D">
        <w:rPr>
          <w:rFonts w:ascii="Times New Roman" w:hAnsi="Times New Roman"/>
          <w:sz w:val="24"/>
          <w:szCs w:val="24"/>
          <w:lang w:eastAsia="ru-RU"/>
        </w:rPr>
        <w:t>соответствует требованиям статьи 3</w:t>
      </w:r>
      <w:r w:rsidR="009A1C28" w:rsidRPr="00EB6A2D">
        <w:rPr>
          <w:rFonts w:ascii="Times New Roman" w:hAnsi="Times New Roman"/>
          <w:sz w:val="24"/>
          <w:szCs w:val="24"/>
          <w:lang w:eastAsia="ru-RU"/>
        </w:rPr>
        <w:t>4</w:t>
      </w:r>
      <w:r w:rsidR="00BF3190" w:rsidRPr="00EB6A2D">
        <w:rPr>
          <w:rFonts w:ascii="Times New Roman" w:hAnsi="Times New Roman"/>
          <w:sz w:val="24"/>
          <w:szCs w:val="24"/>
          <w:lang w:eastAsia="ru-RU"/>
        </w:rPr>
        <w:t xml:space="preserve"> Положения «О регулировании бюджетных правоотношений в </w:t>
      </w:r>
      <w:proofErr w:type="spellStart"/>
      <w:r w:rsidR="00B73202" w:rsidRPr="00EB6A2D">
        <w:rPr>
          <w:rFonts w:ascii="Times New Roman" w:hAnsi="Times New Roman"/>
          <w:sz w:val="24"/>
          <w:szCs w:val="24"/>
          <w:lang w:eastAsia="ru-RU"/>
        </w:rPr>
        <w:t>Большеабакасинском</w:t>
      </w:r>
      <w:proofErr w:type="spellEnd"/>
      <w:r w:rsidR="00264EEE" w:rsidRPr="00EB6A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0C6D" w:rsidRPr="00EB6A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3190" w:rsidRPr="00EB6A2D">
        <w:rPr>
          <w:rFonts w:ascii="Times New Roman" w:hAnsi="Times New Roman"/>
          <w:sz w:val="24"/>
          <w:szCs w:val="24"/>
          <w:lang w:eastAsia="ru-RU"/>
        </w:rPr>
        <w:t xml:space="preserve">сельском поселении </w:t>
      </w:r>
      <w:r w:rsidR="00F53694" w:rsidRPr="00EB6A2D">
        <w:rPr>
          <w:rFonts w:ascii="Times New Roman" w:hAnsi="Times New Roman"/>
          <w:sz w:val="24"/>
          <w:szCs w:val="24"/>
          <w:lang w:eastAsia="ru-RU"/>
        </w:rPr>
        <w:t>Ибресинского</w:t>
      </w:r>
      <w:r w:rsidR="00BF3190" w:rsidRPr="00EB6A2D">
        <w:rPr>
          <w:rFonts w:ascii="Times New Roman" w:hAnsi="Times New Roman"/>
          <w:sz w:val="24"/>
          <w:szCs w:val="24"/>
          <w:lang w:eastAsia="ru-RU"/>
        </w:rPr>
        <w:t xml:space="preserve"> района Чувашской Республики».</w:t>
      </w:r>
      <w:r w:rsidR="00F75E35" w:rsidRPr="00EB6A2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EB6A2D" w:rsidRPr="00EB6A2D" w:rsidRDefault="00EB6A2D" w:rsidP="00EB6A2D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BF3190" w:rsidRPr="00EB6A2D">
        <w:rPr>
          <w:rFonts w:ascii="Times New Roman" w:hAnsi="Times New Roman"/>
          <w:sz w:val="24"/>
          <w:szCs w:val="24"/>
          <w:lang w:eastAsia="ru-RU"/>
        </w:rPr>
        <w:t xml:space="preserve"> 2.</w:t>
      </w:r>
      <w:r w:rsidR="0078713E" w:rsidRPr="00EB6A2D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BF3190" w:rsidRPr="00EB6A2D">
        <w:rPr>
          <w:rFonts w:ascii="Times New Roman" w:hAnsi="Times New Roman"/>
          <w:sz w:val="24"/>
          <w:szCs w:val="24"/>
          <w:lang w:eastAsia="ru-RU"/>
        </w:rPr>
        <w:t xml:space="preserve">Состав показателей, представленных для рассмотрения  и утверждения  в проекте решения </w:t>
      </w:r>
      <w:r w:rsidR="00A175B4" w:rsidRPr="00EB6A2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BF3190" w:rsidRPr="00EB6A2D">
        <w:rPr>
          <w:rFonts w:ascii="Times New Roman" w:hAnsi="Times New Roman"/>
          <w:sz w:val="24"/>
          <w:szCs w:val="24"/>
          <w:lang w:eastAsia="ru-RU"/>
        </w:rPr>
        <w:t>соответствует требованиям статьи 3</w:t>
      </w:r>
      <w:r w:rsidR="009A1C28" w:rsidRPr="00EB6A2D">
        <w:rPr>
          <w:rFonts w:ascii="Times New Roman" w:hAnsi="Times New Roman"/>
          <w:sz w:val="24"/>
          <w:szCs w:val="24"/>
          <w:lang w:eastAsia="ru-RU"/>
        </w:rPr>
        <w:t>3</w:t>
      </w:r>
      <w:r w:rsidR="00BF3190" w:rsidRPr="00EB6A2D">
        <w:rPr>
          <w:rFonts w:ascii="Times New Roman" w:hAnsi="Times New Roman"/>
          <w:sz w:val="24"/>
          <w:szCs w:val="24"/>
          <w:lang w:eastAsia="ru-RU"/>
        </w:rPr>
        <w:t xml:space="preserve"> Положения «О регулировании бюджетных правоотношений в </w:t>
      </w:r>
      <w:proofErr w:type="spellStart"/>
      <w:r w:rsidR="00B73202" w:rsidRPr="00EB6A2D">
        <w:rPr>
          <w:rFonts w:ascii="Times New Roman" w:hAnsi="Times New Roman"/>
          <w:sz w:val="24"/>
          <w:szCs w:val="24"/>
          <w:lang w:eastAsia="ru-RU"/>
        </w:rPr>
        <w:t>Большеабакасинском</w:t>
      </w:r>
      <w:proofErr w:type="spellEnd"/>
      <w:r w:rsidR="00264EEE" w:rsidRPr="00EB6A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3190" w:rsidRPr="00EB6A2D">
        <w:rPr>
          <w:rFonts w:ascii="Times New Roman" w:hAnsi="Times New Roman"/>
          <w:sz w:val="24"/>
          <w:szCs w:val="24"/>
          <w:lang w:eastAsia="ru-RU"/>
        </w:rPr>
        <w:t xml:space="preserve"> сельском поселении </w:t>
      </w:r>
      <w:r w:rsidR="00F53694" w:rsidRPr="00EB6A2D">
        <w:rPr>
          <w:rFonts w:ascii="Times New Roman" w:hAnsi="Times New Roman"/>
          <w:sz w:val="24"/>
          <w:szCs w:val="24"/>
          <w:lang w:eastAsia="ru-RU"/>
        </w:rPr>
        <w:t>Ибресинского</w:t>
      </w:r>
      <w:r w:rsidR="00BF3190" w:rsidRPr="00EB6A2D">
        <w:rPr>
          <w:rFonts w:ascii="Times New Roman" w:hAnsi="Times New Roman"/>
          <w:sz w:val="24"/>
          <w:szCs w:val="24"/>
          <w:lang w:eastAsia="ru-RU"/>
        </w:rPr>
        <w:t xml:space="preserve"> района Чувашской Республики».  </w:t>
      </w:r>
    </w:p>
    <w:p w:rsidR="00EB6A2D" w:rsidRPr="00EB6A2D" w:rsidRDefault="00EB6A2D" w:rsidP="00EB6A2D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78713E" w:rsidRPr="00EB6A2D">
        <w:rPr>
          <w:rFonts w:ascii="Times New Roman" w:hAnsi="Times New Roman"/>
          <w:sz w:val="24"/>
          <w:szCs w:val="24"/>
          <w:lang w:eastAsia="ru-RU"/>
        </w:rPr>
        <w:t>3. Проектом решения предлагается утвердить:</w:t>
      </w:r>
    </w:p>
    <w:p w:rsidR="00EB6A2D" w:rsidRPr="00EB6A2D" w:rsidRDefault="00EB6A2D" w:rsidP="00EB6A2D">
      <w:pPr>
        <w:pStyle w:val="ac"/>
        <w:spacing w:before="2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- </w:t>
      </w:r>
      <w:r w:rsidR="00BF3190" w:rsidRPr="00EB6A2D">
        <w:rPr>
          <w:rFonts w:ascii="Times New Roman" w:hAnsi="Times New Roman"/>
          <w:sz w:val="24"/>
          <w:szCs w:val="24"/>
          <w:lang w:eastAsia="ru-RU"/>
        </w:rPr>
        <w:t xml:space="preserve">доходы бюджета </w:t>
      </w:r>
      <w:r w:rsidR="00B73202" w:rsidRPr="00EB6A2D">
        <w:rPr>
          <w:rFonts w:ascii="Times New Roman" w:hAnsi="Times New Roman"/>
          <w:sz w:val="24"/>
          <w:szCs w:val="24"/>
          <w:lang w:eastAsia="ru-RU"/>
        </w:rPr>
        <w:t>Большеабакасинского</w:t>
      </w:r>
      <w:r w:rsidR="00264EEE" w:rsidRPr="00EB6A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0C6D" w:rsidRPr="00EB6A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3190" w:rsidRPr="00EB6A2D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  <w:r w:rsidR="00F53694" w:rsidRPr="00EB6A2D">
        <w:rPr>
          <w:rFonts w:ascii="Times New Roman" w:hAnsi="Times New Roman"/>
          <w:sz w:val="24"/>
          <w:szCs w:val="24"/>
          <w:lang w:eastAsia="ru-RU"/>
        </w:rPr>
        <w:t>Ибресинского</w:t>
      </w:r>
      <w:r w:rsidR="00BF3190" w:rsidRPr="00EB6A2D">
        <w:rPr>
          <w:rFonts w:ascii="Times New Roman" w:hAnsi="Times New Roman"/>
          <w:sz w:val="24"/>
          <w:szCs w:val="24"/>
          <w:lang w:eastAsia="ru-RU"/>
        </w:rPr>
        <w:t xml:space="preserve"> района Чувашской Республики на </w:t>
      </w:r>
      <w:r w:rsidR="00F922DD" w:rsidRPr="00EB6A2D">
        <w:rPr>
          <w:rFonts w:ascii="Times New Roman" w:hAnsi="Times New Roman"/>
          <w:sz w:val="24"/>
          <w:szCs w:val="24"/>
          <w:lang w:eastAsia="ru-RU"/>
        </w:rPr>
        <w:t>202</w:t>
      </w:r>
      <w:r w:rsidR="00615956" w:rsidRPr="00EB6A2D">
        <w:rPr>
          <w:rFonts w:ascii="Times New Roman" w:hAnsi="Times New Roman"/>
          <w:sz w:val="24"/>
          <w:szCs w:val="24"/>
          <w:lang w:eastAsia="ru-RU"/>
        </w:rPr>
        <w:t>1</w:t>
      </w:r>
      <w:r w:rsidR="00BF3190" w:rsidRPr="00EB6A2D">
        <w:rPr>
          <w:rFonts w:ascii="Times New Roman" w:hAnsi="Times New Roman"/>
          <w:sz w:val="24"/>
          <w:szCs w:val="24"/>
          <w:lang w:eastAsia="ru-RU"/>
        </w:rPr>
        <w:t xml:space="preserve"> год сумме </w:t>
      </w:r>
      <w:r w:rsidR="00023A9C" w:rsidRPr="00EB6A2D">
        <w:rPr>
          <w:rFonts w:ascii="Times New Roman" w:hAnsi="Times New Roman"/>
          <w:sz w:val="24"/>
          <w:szCs w:val="24"/>
          <w:lang w:eastAsia="ru-RU"/>
        </w:rPr>
        <w:t xml:space="preserve"> 4889,5</w:t>
      </w:r>
      <w:r w:rsidR="00BF3190" w:rsidRPr="00EB6A2D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B357C3" w:rsidRPr="00EB6A2D">
        <w:rPr>
          <w:rFonts w:ascii="Times New Roman" w:hAnsi="Times New Roman"/>
          <w:sz w:val="24"/>
          <w:szCs w:val="24"/>
          <w:lang w:eastAsia="ru-RU"/>
        </w:rPr>
        <w:t xml:space="preserve">, на </w:t>
      </w:r>
      <w:r w:rsidR="00F922DD" w:rsidRPr="00EB6A2D">
        <w:rPr>
          <w:rFonts w:ascii="Times New Roman" w:hAnsi="Times New Roman"/>
          <w:sz w:val="24"/>
          <w:szCs w:val="24"/>
          <w:lang w:eastAsia="ru-RU"/>
        </w:rPr>
        <w:t>202</w:t>
      </w:r>
      <w:r w:rsidR="00615956" w:rsidRPr="00EB6A2D">
        <w:rPr>
          <w:rFonts w:ascii="Times New Roman" w:hAnsi="Times New Roman"/>
          <w:sz w:val="24"/>
          <w:szCs w:val="24"/>
          <w:lang w:eastAsia="ru-RU"/>
        </w:rPr>
        <w:t>2</w:t>
      </w:r>
      <w:r w:rsidR="00BF3190" w:rsidRPr="00EB6A2D">
        <w:rPr>
          <w:rFonts w:ascii="Times New Roman" w:hAnsi="Times New Roman"/>
          <w:sz w:val="24"/>
          <w:szCs w:val="24"/>
          <w:lang w:eastAsia="ru-RU"/>
        </w:rPr>
        <w:t xml:space="preserve"> год –</w:t>
      </w:r>
      <w:r w:rsidR="00023A9C" w:rsidRPr="00EB6A2D">
        <w:rPr>
          <w:rFonts w:ascii="Times New Roman" w:hAnsi="Times New Roman"/>
          <w:sz w:val="24"/>
          <w:szCs w:val="24"/>
          <w:lang w:eastAsia="ru-RU"/>
        </w:rPr>
        <w:t>4628,1</w:t>
      </w:r>
      <w:r w:rsidR="00B357C3" w:rsidRPr="00EB6A2D">
        <w:rPr>
          <w:rFonts w:ascii="Times New Roman" w:hAnsi="Times New Roman"/>
          <w:sz w:val="24"/>
          <w:szCs w:val="24"/>
          <w:lang w:eastAsia="ru-RU"/>
        </w:rPr>
        <w:t xml:space="preserve"> тыс. рублей, на </w:t>
      </w:r>
      <w:r w:rsidR="00F922DD" w:rsidRPr="00EB6A2D">
        <w:rPr>
          <w:rFonts w:ascii="Times New Roman" w:hAnsi="Times New Roman"/>
          <w:sz w:val="24"/>
          <w:szCs w:val="24"/>
          <w:lang w:eastAsia="ru-RU"/>
        </w:rPr>
        <w:t>202</w:t>
      </w:r>
      <w:r w:rsidR="00615956" w:rsidRPr="00EB6A2D">
        <w:rPr>
          <w:rFonts w:ascii="Times New Roman" w:hAnsi="Times New Roman"/>
          <w:sz w:val="24"/>
          <w:szCs w:val="24"/>
          <w:lang w:eastAsia="ru-RU"/>
        </w:rPr>
        <w:t>3</w:t>
      </w:r>
      <w:r w:rsidR="00BF3190" w:rsidRPr="00EB6A2D">
        <w:rPr>
          <w:rFonts w:ascii="Times New Roman" w:hAnsi="Times New Roman"/>
          <w:sz w:val="24"/>
          <w:szCs w:val="24"/>
          <w:lang w:eastAsia="ru-RU"/>
        </w:rPr>
        <w:t xml:space="preserve"> год –</w:t>
      </w:r>
      <w:r w:rsidR="00023A9C" w:rsidRPr="00EB6A2D">
        <w:rPr>
          <w:rFonts w:ascii="Times New Roman" w:hAnsi="Times New Roman"/>
          <w:sz w:val="24"/>
          <w:szCs w:val="24"/>
          <w:lang w:eastAsia="ru-RU"/>
        </w:rPr>
        <w:t xml:space="preserve">4570,8 </w:t>
      </w:r>
      <w:r w:rsidR="00BF3190" w:rsidRPr="00EB6A2D">
        <w:rPr>
          <w:rFonts w:ascii="Times New Roman" w:hAnsi="Times New Roman"/>
          <w:sz w:val="24"/>
          <w:szCs w:val="24"/>
          <w:lang w:eastAsia="ru-RU"/>
        </w:rPr>
        <w:t xml:space="preserve">тыс. рублей; </w:t>
      </w:r>
    </w:p>
    <w:p w:rsidR="00EB6A2D" w:rsidRPr="00EB6A2D" w:rsidRDefault="00BF3190" w:rsidP="00EB6A2D">
      <w:pPr>
        <w:pStyle w:val="ac"/>
        <w:spacing w:before="2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A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6A2D">
        <w:rPr>
          <w:rFonts w:ascii="Times New Roman" w:hAnsi="Times New Roman"/>
          <w:sz w:val="24"/>
          <w:szCs w:val="24"/>
          <w:lang w:eastAsia="ru-RU"/>
        </w:rPr>
        <w:t xml:space="preserve">        - </w:t>
      </w:r>
      <w:r w:rsidRPr="00EB6A2D">
        <w:rPr>
          <w:rFonts w:ascii="Times New Roman" w:hAnsi="Times New Roman"/>
          <w:sz w:val="24"/>
          <w:szCs w:val="24"/>
          <w:lang w:eastAsia="ru-RU"/>
        </w:rPr>
        <w:t xml:space="preserve">расходы бюджета </w:t>
      </w:r>
      <w:r w:rsidR="00023A9C" w:rsidRPr="00EB6A2D">
        <w:rPr>
          <w:rFonts w:ascii="Times New Roman" w:hAnsi="Times New Roman"/>
          <w:sz w:val="24"/>
          <w:szCs w:val="24"/>
          <w:lang w:eastAsia="ru-RU"/>
        </w:rPr>
        <w:t>на 2021 год сумме  4889,5тыс. рублей, на 2022 год –4628,1 тыс. рублей, на 2023 год –4570,8 тыс. рублей</w:t>
      </w:r>
      <w:r w:rsidR="004219FB" w:rsidRPr="00EB6A2D">
        <w:rPr>
          <w:rFonts w:ascii="Times New Roman" w:hAnsi="Times New Roman"/>
          <w:sz w:val="24"/>
          <w:szCs w:val="24"/>
          <w:lang w:eastAsia="ru-RU"/>
        </w:rPr>
        <w:t>;</w:t>
      </w:r>
    </w:p>
    <w:p w:rsidR="00EB6A2D" w:rsidRPr="00EB6A2D" w:rsidRDefault="00EB6A2D" w:rsidP="00EB6A2D">
      <w:pPr>
        <w:pStyle w:val="ac"/>
        <w:spacing w:before="2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- </w:t>
      </w:r>
      <w:r w:rsidR="00BF3190" w:rsidRPr="00EB6A2D">
        <w:rPr>
          <w:rFonts w:ascii="Times New Roman" w:hAnsi="Times New Roman"/>
          <w:sz w:val="24"/>
          <w:szCs w:val="24"/>
          <w:lang w:eastAsia="ru-RU"/>
        </w:rPr>
        <w:t>усл</w:t>
      </w:r>
      <w:r w:rsidR="00B357C3" w:rsidRPr="00EB6A2D">
        <w:rPr>
          <w:rFonts w:ascii="Times New Roman" w:hAnsi="Times New Roman"/>
          <w:sz w:val="24"/>
          <w:szCs w:val="24"/>
          <w:lang w:eastAsia="ru-RU"/>
        </w:rPr>
        <w:t xml:space="preserve">овно утвержденные расходы на </w:t>
      </w:r>
      <w:r w:rsidR="00F922DD" w:rsidRPr="00EB6A2D">
        <w:rPr>
          <w:rFonts w:ascii="Times New Roman" w:hAnsi="Times New Roman"/>
          <w:sz w:val="24"/>
          <w:szCs w:val="24"/>
          <w:lang w:eastAsia="ru-RU"/>
        </w:rPr>
        <w:t>202</w:t>
      </w:r>
      <w:r w:rsidR="00615956" w:rsidRPr="00EB6A2D">
        <w:rPr>
          <w:rFonts w:ascii="Times New Roman" w:hAnsi="Times New Roman"/>
          <w:sz w:val="24"/>
          <w:szCs w:val="24"/>
          <w:lang w:eastAsia="ru-RU"/>
        </w:rPr>
        <w:t>2</w:t>
      </w:r>
      <w:r w:rsidR="00BF3190" w:rsidRPr="00EB6A2D">
        <w:rPr>
          <w:rFonts w:ascii="Times New Roman" w:hAnsi="Times New Roman"/>
          <w:sz w:val="24"/>
          <w:szCs w:val="24"/>
          <w:lang w:eastAsia="ru-RU"/>
        </w:rPr>
        <w:t xml:space="preserve"> год в сумме </w:t>
      </w:r>
      <w:r w:rsidR="00023A9C" w:rsidRPr="00EB6A2D">
        <w:rPr>
          <w:rFonts w:ascii="Times New Roman" w:hAnsi="Times New Roman"/>
          <w:sz w:val="24"/>
          <w:szCs w:val="24"/>
          <w:lang w:eastAsia="ru-RU"/>
        </w:rPr>
        <w:t>92,8</w:t>
      </w:r>
      <w:r w:rsidR="00615956" w:rsidRPr="00EB6A2D">
        <w:rPr>
          <w:rFonts w:ascii="Times New Roman" w:hAnsi="Times New Roman"/>
          <w:sz w:val="24"/>
          <w:szCs w:val="24"/>
        </w:rPr>
        <w:t xml:space="preserve"> </w:t>
      </w:r>
      <w:r w:rsidR="00BF3190" w:rsidRPr="00EB6A2D">
        <w:rPr>
          <w:rFonts w:ascii="Times New Roman" w:hAnsi="Times New Roman"/>
          <w:sz w:val="24"/>
          <w:szCs w:val="24"/>
          <w:lang w:eastAsia="ru-RU"/>
        </w:rPr>
        <w:t xml:space="preserve">тыс. рублей, </w:t>
      </w:r>
      <w:r w:rsidR="00B357C3" w:rsidRPr="00EB6A2D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F922DD" w:rsidRPr="00EB6A2D">
        <w:rPr>
          <w:rFonts w:ascii="Times New Roman" w:hAnsi="Times New Roman"/>
          <w:sz w:val="24"/>
          <w:szCs w:val="24"/>
          <w:lang w:eastAsia="ru-RU"/>
        </w:rPr>
        <w:t>202</w:t>
      </w:r>
      <w:r w:rsidR="00615956" w:rsidRPr="00EB6A2D">
        <w:rPr>
          <w:rFonts w:ascii="Times New Roman" w:hAnsi="Times New Roman"/>
          <w:sz w:val="24"/>
          <w:szCs w:val="24"/>
          <w:lang w:eastAsia="ru-RU"/>
        </w:rPr>
        <w:t>3</w:t>
      </w:r>
      <w:r w:rsidR="00BF3190" w:rsidRPr="00EB6A2D">
        <w:rPr>
          <w:rFonts w:ascii="Times New Roman" w:hAnsi="Times New Roman"/>
          <w:sz w:val="24"/>
          <w:szCs w:val="24"/>
          <w:lang w:eastAsia="ru-RU"/>
        </w:rPr>
        <w:t xml:space="preserve"> год – </w:t>
      </w:r>
      <w:r w:rsidR="00023A9C" w:rsidRPr="00EB6A2D">
        <w:rPr>
          <w:rFonts w:ascii="Times New Roman" w:hAnsi="Times New Roman"/>
          <w:sz w:val="24"/>
          <w:szCs w:val="24"/>
          <w:lang w:eastAsia="ru-RU"/>
        </w:rPr>
        <w:t>182,6</w:t>
      </w:r>
      <w:r w:rsidR="00615956" w:rsidRPr="00EB6A2D">
        <w:rPr>
          <w:rFonts w:ascii="Times New Roman" w:hAnsi="Times New Roman"/>
          <w:sz w:val="24"/>
          <w:szCs w:val="24"/>
        </w:rPr>
        <w:t xml:space="preserve"> </w:t>
      </w:r>
      <w:r w:rsidR="00BF3190" w:rsidRPr="00EB6A2D">
        <w:rPr>
          <w:rFonts w:ascii="Times New Roman" w:hAnsi="Times New Roman"/>
          <w:sz w:val="24"/>
          <w:szCs w:val="24"/>
          <w:lang w:eastAsia="ru-RU"/>
        </w:rPr>
        <w:t xml:space="preserve">тыс. рублей. Параметры условно утвержденных расходов соответствуют требованиям ст.184.1 Бюджетного кодекса Российской Федерации; </w:t>
      </w:r>
    </w:p>
    <w:p w:rsidR="00EB6A2D" w:rsidRPr="00EB6A2D" w:rsidRDefault="00EB6A2D" w:rsidP="00EB6A2D">
      <w:pPr>
        <w:pStyle w:val="ac"/>
        <w:spacing w:before="2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- </w:t>
      </w:r>
      <w:r w:rsidR="00BF3190" w:rsidRPr="00EB6A2D">
        <w:rPr>
          <w:rFonts w:ascii="Times New Roman" w:hAnsi="Times New Roman"/>
          <w:sz w:val="24"/>
          <w:szCs w:val="24"/>
          <w:lang w:eastAsia="ru-RU"/>
        </w:rPr>
        <w:t xml:space="preserve">дефицит бюджета на </w:t>
      </w:r>
      <w:r w:rsidR="00F922DD" w:rsidRPr="00EB6A2D">
        <w:rPr>
          <w:rFonts w:ascii="Times New Roman" w:hAnsi="Times New Roman"/>
          <w:sz w:val="24"/>
          <w:szCs w:val="24"/>
          <w:lang w:eastAsia="ru-RU"/>
        </w:rPr>
        <w:t>202</w:t>
      </w:r>
      <w:r w:rsidR="00615956" w:rsidRPr="00EB6A2D">
        <w:rPr>
          <w:rFonts w:ascii="Times New Roman" w:hAnsi="Times New Roman"/>
          <w:sz w:val="24"/>
          <w:szCs w:val="24"/>
          <w:lang w:eastAsia="ru-RU"/>
        </w:rPr>
        <w:t>1</w:t>
      </w:r>
      <w:r w:rsidR="00B357C3" w:rsidRPr="00EB6A2D">
        <w:rPr>
          <w:rFonts w:ascii="Times New Roman" w:hAnsi="Times New Roman"/>
          <w:sz w:val="24"/>
          <w:szCs w:val="24"/>
          <w:lang w:eastAsia="ru-RU"/>
        </w:rPr>
        <w:t>-</w:t>
      </w:r>
      <w:r w:rsidR="00F922DD" w:rsidRPr="00EB6A2D">
        <w:rPr>
          <w:rFonts w:ascii="Times New Roman" w:hAnsi="Times New Roman"/>
          <w:sz w:val="24"/>
          <w:szCs w:val="24"/>
          <w:lang w:eastAsia="ru-RU"/>
        </w:rPr>
        <w:t>202</w:t>
      </w:r>
      <w:r w:rsidR="00615956" w:rsidRPr="00EB6A2D">
        <w:rPr>
          <w:rFonts w:ascii="Times New Roman" w:hAnsi="Times New Roman"/>
          <w:sz w:val="24"/>
          <w:szCs w:val="24"/>
          <w:lang w:eastAsia="ru-RU"/>
        </w:rPr>
        <w:t>3</w:t>
      </w:r>
      <w:r w:rsidR="00BF3190" w:rsidRPr="00EB6A2D">
        <w:rPr>
          <w:rFonts w:ascii="Times New Roman" w:hAnsi="Times New Roman"/>
          <w:sz w:val="24"/>
          <w:szCs w:val="24"/>
          <w:lang w:eastAsia="ru-RU"/>
        </w:rPr>
        <w:t xml:space="preserve"> годы  составит  – 0,0 тыс. рублей.</w:t>
      </w:r>
    </w:p>
    <w:p w:rsidR="00EB6A2D" w:rsidRPr="00EB6A2D" w:rsidRDefault="00EB6A2D" w:rsidP="00EB6A2D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BF3190" w:rsidRPr="00EB6A2D">
        <w:rPr>
          <w:rFonts w:ascii="Times New Roman" w:hAnsi="Times New Roman"/>
          <w:sz w:val="24"/>
          <w:szCs w:val="24"/>
          <w:lang w:eastAsia="ru-RU"/>
        </w:rPr>
        <w:t xml:space="preserve">Контрольно-счетный орган </w:t>
      </w:r>
      <w:r w:rsidR="00F53694" w:rsidRPr="00EB6A2D">
        <w:rPr>
          <w:rFonts w:ascii="Times New Roman" w:hAnsi="Times New Roman"/>
          <w:sz w:val="24"/>
          <w:szCs w:val="24"/>
          <w:lang w:eastAsia="ru-RU"/>
        </w:rPr>
        <w:t>Ибресинского</w:t>
      </w:r>
      <w:r w:rsidR="00BF3190" w:rsidRPr="00EB6A2D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="00D63A98" w:rsidRPr="00EB6A2D">
        <w:rPr>
          <w:rFonts w:ascii="Times New Roman" w:hAnsi="Times New Roman"/>
          <w:sz w:val="24"/>
          <w:szCs w:val="24"/>
          <w:lang w:eastAsia="ru-RU"/>
        </w:rPr>
        <w:t>считает, что</w:t>
      </w:r>
      <w:r w:rsidR="00BF3190" w:rsidRPr="00EB6A2D">
        <w:rPr>
          <w:rFonts w:ascii="Times New Roman" w:hAnsi="Times New Roman"/>
          <w:sz w:val="24"/>
          <w:szCs w:val="24"/>
          <w:lang w:eastAsia="ru-RU"/>
        </w:rPr>
        <w:t xml:space="preserve"> проект бюджета </w:t>
      </w:r>
      <w:r w:rsidR="00B73202" w:rsidRPr="00EB6A2D">
        <w:rPr>
          <w:rFonts w:ascii="Times New Roman" w:hAnsi="Times New Roman"/>
          <w:sz w:val="24"/>
          <w:szCs w:val="24"/>
          <w:lang w:eastAsia="ru-RU"/>
        </w:rPr>
        <w:t>Большеабакасинского</w:t>
      </w:r>
      <w:r w:rsidR="00264EEE" w:rsidRPr="00EB6A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0C6D" w:rsidRPr="00EB6A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3190" w:rsidRPr="00EB6A2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F53694" w:rsidRPr="00EB6A2D">
        <w:rPr>
          <w:rFonts w:ascii="Times New Roman" w:hAnsi="Times New Roman"/>
          <w:sz w:val="24"/>
          <w:szCs w:val="24"/>
          <w:lang w:eastAsia="ru-RU"/>
        </w:rPr>
        <w:t>Ибресинского</w:t>
      </w:r>
      <w:r w:rsidR="00BF3190" w:rsidRPr="00EB6A2D">
        <w:rPr>
          <w:rFonts w:ascii="Times New Roman" w:hAnsi="Times New Roman"/>
          <w:sz w:val="24"/>
          <w:szCs w:val="24"/>
          <w:lang w:eastAsia="ru-RU"/>
        </w:rPr>
        <w:t xml:space="preserve"> района на </w:t>
      </w:r>
      <w:r w:rsidR="004C39AC" w:rsidRPr="00EB6A2D">
        <w:rPr>
          <w:rFonts w:ascii="Times New Roman" w:hAnsi="Times New Roman"/>
          <w:sz w:val="24"/>
          <w:szCs w:val="24"/>
          <w:lang w:eastAsia="ru-RU"/>
        </w:rPr>
        <w:t>2021 год и на плановый период 2022 и 2023 годов</w:t>
      </w:r>
      <w:r w:rsidR="00BF3190" w:rsidRPr="00EB6A2D">
        <w:rPr>
          <w:rFonts w:ascii="Times New Roman" w:hAnsi="Times New Roman"/>
          <w:sz w:val="24"/>
          <w:szCs w:val="24"/>
          <w:lang w:eastAsia="ru-RU"/>
        </w:rPr>
        <w:t xml:space="preserve"> может быть рассмотрен </w:t>
      </w:r>
      <w:r w:rsidR="00BF3190" w:rsidRPr="00EB6A2D">
        <w:rPr>
          <w:rFonts w:ascii="Times New Roman" w:hAnsi="Times New Roman"/>
          <w:sz w:val="24"/>
          <w:szCs w:val="24"/>
          <w:lang w:val="en-US" w:eastAsia="ru-RU"/>
        </w:rPr>
        <w:t>C</w:t>
      </w:r>
      <w:proofErr w:type="spellStart"/>
      <w:r w:rsidR="00BF3190" w:rsidRPr="00EB6A2D">
        <w:rPr>
          <w:rFonts w:ascii="Times New Roman" w:hAnsi="Times New Roman"/>
          <w:sz w:val="24"/>
          <w:szCs w:val="24"/>
          <w:lang w:eastAsia="ru-RU"/>
        </w:rPr>
        <w:t>обранием</w:t>
      </w:r>
      <w:proofErr w:type="spellEnd"/>
      <w:r w:rsidR="00BF3190" w:rsidRPr="00EB6A2D">
        <w:rPr>
          <w:rFonts w:ascii="Times New Roman" w:hAnsi="Times New Roman"/>
          <w:sz w:val="24"/>
          <w:szCs w:val="24"/>
          <w:lang w:eastAsia="ru-RU"/>
        </w:rPr>
        <w:t xml:space="preserve">  депутатов </w:t>
      </w:r>
      <w:r w:rsidR="00B73202" w:rsidRPr="00EB6A2D">
        <w:rPr>
          <w:rFonts w:ascii="Times New Roman" w:hAnsi="Times New Roman"/>
          <w:sz w:val="24"/>
          <w:szCs w:val="24"/>
          <w:lang w:eastAsia="ru-RU"/>
        </w:rPr>
        <w:t>Большеабакасинского</w:t>
      </w:r>
      <w:r w:rsidR="00264EEE" w:rsidRPr="00EB6A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0C6D" w:rsidRPr="00EB6A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3190" w:rsidRPr="00EB6A2D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  <w:r w:rsidR="00F53694" w:rsidRPr="00EB6A2D">
        <w:rPr>
          <w:rFonts w:ascii="Times New Roman" w:hAnsi="Times New Roman"/>
          <w:sz w:val="24"/>
          <w:szCs w:val="24"/>
          <w:lang w:eastAsia="ru-RU"/>
        </w:rPr>
        <w:t>Ибресинского</w:t>
      </w:r>
      <w:r w:rsidR="00BF3190" w:rsidRPr="00EB6A2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="00D63A98" w:rsidRPr="00EB6A2D">
        <w:rPr>
          <w:rFonts w:ascii="Times New Roman" w:hAnsi="Times New Roman"/>
          <w:sz w:val="24"/>
          <w:szCs w:val="24"/>
          <w:lang w:eastAsia="ru-RU"/>
        </w:rPr>
        <w:t xml:space="preserve"> и принят </w:t>
      </w:r>
      <w:r w:rsidR="00BF3190" w:rsidRPr="00EB6A2D">
        <w:rPr>
          <w:rFonts w:ascii="Times New Roman" w:hAnsi="Times New Roman"/>
          <w:sz w:val="24"/>
          <w:szCs w:val="24"/>
          <w:lang w:eastAsia="ru-RU"/>
        </w:rPr>
        <w:t xml:space="preserve"> в установленном порядке.  </w:t>
      </w:r>
    </w:p>
    <w:p w:rsidR="00BF3190" w:rsidRDefault="00BF3190" w:rsidP="00EB6A2D">
      <w:pPr>
        <w:pStyle w:val="ac"/>
        <w:spacing w:before="240"/>
        <w:rPr>
          <w:rFonts w:ascii="Times New Roman" w:hAnsi="Times New Roman"/>
          <w:sz w:val="24"/>
          <w:szCs w:val="24"/>
          <w:lang w:eastAsia="ru-RU"/>
        </w:rPr>
      </w:pPr>
      <w:r w:rsidRPr="00EB6A2D">
        <w:rPr>
          <w:rFonts w:ascii="Times New Roman" w:hAnsi="Times New Roman"/>
          <w:sz w:val="24"/>
          <w:szCs w:val="24"/>
          <w:lang w:eastAsia="ru-RU"/>
        </w:rPr>
        <w:t>Председатель</w:t>
      </w:r>
      <w:r w:rsidRPr="00EB6A2D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</w:t>
      </w:r>
      <w:r w:rsidR="00EB6A2D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Pr="00EB6A2D"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="00B357C3" w:rsidRPr="00EB6A2D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="00D63A98" w:rsidRPr="00EB6A2D">
        <w:rPr>
          <w:rFonts w:ascii="Times New Roman" w:hAnsi="Times New Roman"/>
          <w:sz w:val="24"/>
          <w:szCs w:val="24"/>
          <w:lang w:eastAsia="ru-RU"/>
        </w:rPr>
        <w:t>Ф.В.Тимофеев</w:t>
      </w:r>
    </w:p>
    <w:p w:rsidR="00EB6A2D" w:rsidRPr="00EB6A2D" w:rsidRDefault="00EB6A2D" w:rsidP="00EB6A2D">
      <w:pPr>
        <w:pStyle w:val="ac"/>
        <w:spacing w:before="2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24.11.2020</w:t>
      </w:r>
    </w:p>
    <w:sectPr w:rsidR="00EB6A2D" w:rsidRPr="00EB6A2D" w:rsidSect="00564C6F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ED4" w:rsidRDefault="009E4ED4" w:rsidP="00B1668B">
      <w:pPr>
        <w:spacing w:after="0" w:line="240" w:lineRule="auto"/>
      </w:pPr>
      <w:r>
        <w:separator/>
      </w:r>
    </w:p>
  </w:endnote>
  <w:endnote w:type="continuationSeparator" w:id="0">
    <w:p w:rsidR="009E4ED4" w:rsidRDefault="009E4ED4" w:rsidP="00B16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ED4" w:rsidRDefault="009E4ED4" w:rsidP="00B1668B">
      <w:pPr>
        <w:spacing w:after="0" w:line="240" w:lineRule="auto"/>
      </w:pPr>
      <w:r>
        <w:separator/>
      </w:r>
    </w:p>
  </w:footnote>
  <w:footnote w:type="continuationSeparator" w:id="0">
    <w:p w:rsidR="009E4ED4" w:rsidRDefault="009E4ED4" w:rsidP="00B16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F097C"/>
    <w:multiLevelType w:val="hybridMultilevel"/>
    <w:tmpl w:val="D7F8E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B4D95"/>
    <w:rsid w:val="0000150F"/>
    <w:rsid w:val="000028CE"/>
    <w:rsid w:val="00007985"/>
    <w:rsid w:val="00023A9C"/>
    <w:rsid w:val="00036767"/>
    <w:rsid w:val="0004144C"/>
    <w:rsid w:val="00042891"/>
    <w:rsid w:val="00043B58"/>
    <w:rsid w:val="00055C89"/>
    <w:rsid w:val="000565CF"/>
    <w:rsid w:val="00063062"/>
    <w:rsid w:val="00070853"/>
    <w:rsid w:val="00070C59"/>
    <w:rsid w:val="00076064"/>
    <w:rsid w:val="00082CC8"/>
    <w:rsid w:val="00083983"/>
    <w:rsid w:val="000924A0"/>
    <w:rsid w:val="00093D75"/>
    <w:rsid w:val="000C1F1C"/>
    <w:rsid w:val="000C4EEB"/>
    <w:rsid w:val="000C773C"/>
    <w:rsid w:val="000D6F88"/>
    <w:rsid w:val="000E4AF7"/>
    <w:rsid w:val="00104BC5"/>
    <w:rsid w:val="00115C3C"/>
    <w:rsid w:val="00123F68"/>
    <w:rsid w:val="00136E68"/>
    <w:rsid w:val="00140681"/>
    <w:rsid w:val="00140F45"/>
    <w:rsid w:val="001510D3"/>
    <w:rsid w:val="0015765C"/>
    <w:rsid w:val="00162E87"/>
    <w:rsid w:val="001816CA"/>
    <w:rsid w:val="001842CA"/>
    <w:rsid w:val="001860B2"/>
    <w:rsid w:val="00194A9E"/>
    <w:rsid w:val="001A0E23"/>
    <w:rsid w:val="001A2095"/>
    <w:rsid w:val="001B66D2"/>
    <w:rsid w:val="001D05CC"/>
    <w:rsid w:val="00200405"/>
    <w:rsid w:val="00204BDB"/>
    <w:rsid w:val="00223448"/>
    <w:rsid w:val="0023175C"/>
    <w:rsid w:val="00264EEE"/>
    <w:rsid w:val="002654BF"/>
    <w:rsid w:val="00274939"/>
    <w:rsid w:val="00291152"/>
    <w:rsid w:val="00294399"/>
    <w:rsid w:val="002A0CF7"/>
    <w:rsid w:val="002B41C3"/>
    <w:rsid w:val="002B4369"/>
    <w:rsid w:val="002B4D95"/>
    <w:rsid w:val="002C0229"/>
    <w:rsid w:val="002C5B93"/>
    <w:rsid w:val="002C7A96"/>
    <w:rsid w:val="002D7C4B"/>
    <w:rsid w:val="002F6DC9"/>
    <w:rsid w:val="002F7421"/>
    <w:rsid w:val="00321189"/>
    <w:rsid w:val="0032598E"/>
    <w:rsid w:val="0032605B"/>
    <w:rsid w:val="00337962"/>
    <w:rsid w:val="00344437"/>
    <w:rsid w:val="003561FB"/>
    <w:rsid w:val="0035748D"/>
    <w:rsid w:val="00360E0D"/>
    <w:rsid w:val="0037526F"/>
    <w:rsid w:val="0037772C"/>
    <w:rsid w:val="003804B9"/>
    <w:rsid w:val="00381A08"/>
    <w:rsid w:val="00391901"/>
    <w:rsid w:val="003979FD"/>
    <w:rsid w:val="003A037C"/>
    <w:rsid w:val="003A70FD"/>
    <w:rsid w:val="003C29F6"/>
    <w:rsid w:val="003C2E26"/>
    <w:rsid w:val="003C6EC6"/>
    <w:rsid w:val="003D6647"/>
    <w:rsid w:val="003E3B2D"/>
    <w:rsid w:val="003F0895"/>
    <w:rsid w:val="0040561B"/>
    <w:rsid w:val="00416004"/>
    <w:rsid w:val="004219FB"/>
    <w:rsid w:val="00422E59"/>
    <w:rsid w:val="00426DA9"/>
    <w:rsid w:val="00427294"/>
    <w:rsid w:val="00431153"/>
    <w:rsid w:val="00441CAB"/>
    <w:rsid w:val="00445191"/>
    <w:rsid w:val="004527FD"/>
    <w:rsid w:val="00467B69"/>
    <w:rsid w:val="004767A0"/>
    <w:rsid w:val="00483522"/>
    <w:rsid w:val="00484C36"/>
    <w:rsid w:val="00497C3A"/>
    <w:rsid w:val="004B13AD"/>
    <w:rsid w:val="004B6BAB"/>
    <w:rsid w:val="004C39AC"/>
    <w:rsid w:val="004D26BF"/>
    <w:rsid w:val="004D42CF"/>
    <w:rsid w:val="004E5AAC"/>
    <w:rsid w:val="004E5E15"/>
    <w:rsid w:val="004E7214"/>
    <w:rsid w:val="0050100A"/>
    <w:rsid w:val="00511C71"/>
    <w:rsid w:val="00515ACA"/>
    <w:rsid w:val="00516353"/>
    <w:rsid w:val="00527566"/>
    <w:rsid w:val="00540DA7"/>
    <w:rsid w:val="00541875"/>
    <w:rsid w:val="00564C6F"/>
    <w:rsid w:val="0056759C"/>
    <w:rsid w:val="005706E6"/>
    <w:rsid w:val="00574AF1"/>
    <w:rsid w:val="0057598C"/>
    <w:rsid w:val="00581EFB"/>
    <w:rsid w:val="005A25BE"/>
    <w:rsid w:val="005B47AF"/>
    <w:rsid w:val="005C08DF"/>
    <w:rsid w:val="005C23E6"/>
    <w:rsid w:val="005C3245"/>
    <w:rsid w:val="005C6270"/>
    <w:rsid w:val="005D2674"/>
    <w:rsid w:val="005E1E5C"/>
    <w:rsid w:val="005E39AC"/>
    <w:rsid w:val="00611401"/>
    <w:rsid w:val="00615956"/>
    <w:rsid w:val="00630C6D"/>
    <w:rsid w:val="00634331"/>
    <w:rsid w:val="00635885"/>
    <w:rsid w:val="00636616"/>
    <w:rsid w:val="00654E10"/>
    <w:rsid w:val="00655474"/>
    <w:rsid w:val="00655DFD"/>
    <w:rsid w:val="0066250E"/>
    <w:rsid w:val="0066359D"/>
    <w:rsid w:val="00666B58"/>
    <w:rsid w:val="00681006"/>
    <w:rsid w:val="00691CFC"/>
    <w:rsid w:val="00692FE0"/>
    <w:rsid w:val="006A6478"/>
    <w:rsid w:val="006C0A64"/>
    <w:rsid w:val="006C1974"/>
    <w:rsid w:val="006D21E0"/>
    <w:rsid w:val="006E100B"/>
    <w:rsid w:val="006E2AA9"/>
    <w:rsid w:val="006E2AFA"/>
    <w:rsid w:val="007046A9"/>
    <w:rsid w:val="00711386"/>
    <w:rsid w:val="007139F1"/>
    <w:rsid w:val="007150BE"/>
    <w:rsid w:val="0072039F"/>
    <w:rsid w:val="0072217C"/>
    <w:rsid w:val="00722BB5"/>
    <w:rsid w:val="007336DB"/>
    <w:rsid w:val="0074252B"/>
    <w:rsid w:val="007563E3"/>
    <w:rsid w:val="007613AC"/>
    <w:rsid w:val="00763880"/>
    <w:rsid w:val="007662BA"/>
    <w:rsid w:val="00774997"/>
    <w:rsid w:val="0078570D"/>
    <w:rsid w:val="0078596C"/>
    <w:rsid w:val="0078713E"/>
    <w:rsid w:val="007A40C5"/>
    <w:rsid w:val="007B15C1"/>
    <w:rsid w:val="007B6FDC"/>
    <w:rsid w:val="007C0ADF"/>
    <w:rsid w:val="007C6219"/>
    <w:rsid w:val="007E4C78"/>
    <w:rsid w:val="007E5A2D"/>
    <w:rsid w:val="00801008"/>
    <w:rsid w:val="00817E68"/>
    <w:rsid w:val="00821923"/>
    <w:rsid w:val="00822823"/>
    <w:rsid w:val="00845D4A"/>
    <w:rsid w:val="00850A9B"/>
    <w:rsid w:val="00856432"/>
    <w:rsid w:val="00865A7D"/>
    <w:rsid w:val="00866E6F"/>
    <w:rsid w:val="00870D48"/>
    <w:rsid w:val="0088098D"/>
    <w:rsid w:val="008A77E8"/>
    <w:rsid w:val="008B07F6"/>
    <w:rsid w:val="008B68CD"/>
    <w:rsid w:val="008B7DB3"/>
    <w:rsid w:val="008E2A20"/>
    <w:rsid w:val="008E7A75"/>
    <w:rsid w:val="0090775D"/>
    <w:rsid w:val="00931E42"/>
    <w:rsid w:val="00931F48"/>
    <w:rsid w:val="00942B4C"/>
    <w:rsid w:val="00943DBA"/>
    <w:rsid w:val="00951B74"/>
    <w:rsid w:val="00951D39"/>
    <w:rsid w:val="00960813"/>
    <w:rsid w:val="009618D3"/>
    <w:rsid w:val="0096786B"/>
    <w:rsid w:val="00970E23"/>
    <w:rsid w:val="00972069"/>
    <w:rsid w:val="009744DC"/>
    <w:rsid w:val="00977F28"/>
    <w:rsid w:val="009A1C28"/>
    <w:rsid w:val="009A37FF"/>
    <w:rsid w:val="009B52E0"/>
    <w:rsid w:val="009C1BCC"/>
    <w:rsid w:val="009C2909"/>
    <w:rsid w:val="009E4ED4"/>
    <w:rsid w:val="009F632B"/>
    <w:rsid w:val="00A03BE3"/>
    <w:rsid w:val="00A057DF"/>
    <w:rsid w:val="00A175B4"/>
    <w:rsid w:val="00A21A82"/>
    <w:rsid w:val="00A2545E"/>
    <w:rsid w:val="00A37E9F"/>
    <w:rsid w:val="00A724EA"/>
    <w:rsid w:val="00A7669F"/>
    <w:rsid w:val="00A76A58"/>
    <w:rsid w:val="00A927AD"/>
    <w:rsid w:val="00A94595"/>
    <w:rsid w:val="00AB31CF"/>
    <w:rsid w:val="00AC14C3"/>
    <w:rsid w:val="00AC7A02"/>
    <w:rsid w:val="00AE25DC"/>
    <w:rsid w:val="00AF42CD"/>
    <w:rsid w:val="00AF6677"/>
    <w:rsid w:val="00B00383"/>
    <w:rsid w:val="00B01C52"/>
    <w:rsid w:val="00B06073"/>
    <w:rsid w:val="00B0689B"/>
    <w:rsid w:val="00B07C1F"/>
    <w:rsid w:val="00B1668B"/>
    <w:rsid w:val="00B232C0"/>
    <w:rsid w:val="00B353D7"/>
    <w:rsid w:val="00B357C3"/>
    <w:rsid w:val="00B43D19"/>
    <w:rsid w:val="00B73202"/>
    <w:rsid w:val="00B7334C"/>
    <w:rsid w:val="00B76DE9"/>
    <w:rsid w:val="00B853CD"/>
    <w:rsid w:val="00BA0E35"/>
    <w:rsid w:val="00BA6727"/>
    <w:rsid w:val="00BB3DF8"/>
    <w:rsid w:val="00BC7E0F"/>
    <w:rsid w:val="00BF3190"/>
    <w:rsid w:val="00C21EA4"/>
    <w:rsid w:val="00C22157"/>
    <w:rsid w:val="00C474FB"/>
    <w:rsid w:val="00C543B0"/>
    <w:rsid w:val="00C56C50"/>
    <w:rsid w:val="00C641CF"/>
    <w:rsid w:val="00C67806"/>
    <w:rsid w:val="00C72587"/>
    <w:rsid w:val="00C80A3B"/>
    <w:rsid w:val="00C822B0"/>
    <w:rsid w:val="00C971C9"/>
    <w:rsid w:val="00CA70EC"/>
    <w:rsid w:val="00CC5CA0"/>
    <w:rsid w:val="00CC795E"/>
    <w:rsid w:val="00CC7AB5"/>
    <w:rsid w:val="00CE1096"/>
    <w:rsid w:val="00CE3499"/>
    <w:rsid w:val="00CE4FC0"/>
    <w:rsid w:val="00D07636"/>
    <w:rsid w:val="00D118EA"/>
    <w:rsid w:val="00D137F0"/>
    <w:rsid w:val="00D15021"/>
    <w:rsid w:val="00D170C1"/>
    <w:rsid w:val="00D174B9"/>
    <w:rsid w:val="00D2127C"/>
    <w:rsid w:val="00D417B1"/>
    <w:rsid w:val="00D42DD7"/>
    <w:rsid w:val="00D43508"/>
    <w:rsid w:val="00D441AE"/>
    <w:rsid w:val="00D5479C"/>
    <w:rsid w:val="00D54B45"/>
    <w:rsid w:val="00D63A98"/>
    <w:rsid w:val="00D76A4C"/>
    <w:rsid w:val="00D778E7"/>
    <w:rsid w:val="00D8044A"/>
    <w:rsid w:val="00D83FE8"/>
    <w:rsid w:val="00D844CF"/>
    <w:rsid w:val="00DA730C"/>
    <w:rsid w:val="00DD3C67"/>
    <w:rsid w:val="00DE14CC"/>
    <w:rsid w:val="00E00749"/>
    <w:rsid w:val="00E02E32"/>
    <w:rsid w:val="00E07A83"/>
    <w:rsid w:val="00E10833"/>
    <w:rsid w:val="00E13A6A"/>
    <w:rsid w:val="00E14A0A"/>
    <w:rsid w:val="00E33644"/>
    <w:rsid w:val="00E34EAE"/>
    <w:rsid w:val="00E47499"/>
    <w:rsid w:val="00E62C64"/>
    <w:rsid w:val="00E70FCC"/>
    <w:rsid w:val="00E76557"/>
    <w:rsid w:val="00E82256"/>
    <w:rsid w:val="00E96867"/>
    <w:rsid w:val="00EB6A2D"/>
    <w:rsid w:val="00EB7DCC"/>
    <w:rsid w:val="00EC4E41"/>
    <w:rsid w:val="00EE5D07"/>
    <w:rsid w:val="00EF2D4C"/>
    <w:rsid w:val="00EF5A01"/>
    <w:rsid w:val="00F13994"/>
    <w:rsid w:val="00F1775F"/>
    <w:rsid w:val="00F27429"/>
    <w:rsid w:val="00F521EE"/>
    <w:rsid w:val="00F53694"/>
    <w:rsid w:val="00F543F4"/>
    <w:rsid w:val="00F63343"/>
    <w:rsid w:val="00F656FC"/>
    <w:rsid w:val="00F67F03"/>
    <w:rsid w:val="00F70B0A"/>
    <w:rsid w:val="00F70E47"/>
    <w:rsid w:val="00F75E35"/>
    <w:rsid w:val="00F76924"/>
    <w:rsid w:val="00F8591E"/>
    <w:rsid w:val="00F922DD"/>
    <w:rsid w:val="00F93FE6"/>
    <w:rsid w:val="00F948EB"/>
    <w:rsid w:val="00F96A6D"/>
    <w:rsid w:val="00FA6DE8"/>
    <w:rsid w:val="00FB34BA"/>
    <w:rsid w:val="00FD4981"/>
    <w:rsid w:val="00FE04AE"/>
    <w:rsid w:val="00FE4FA6"/>
    <w:rsid w:val="00FE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3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BF3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DC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668B"/>
  </w:style>
  <w:style w:type="paragraph" w:styleId="a8">
    <w:name w:val="footer"/>
    <w:basedOn w:val="a"/>
    <w:link w:val="a9"/>
    <w:uiPriority w:val="99"/>
    <w:unhideWhenUsed/>
    <w:rsid w:val="00B1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668B"/>
  </w:style>
  <w:style w:type="paragraph" w:styleId="aa">
    <w:name w:val="Title"/>
    <w:basedOn w:val="a"/>
    <w:link w:val="ab"/>
    <w:qFormat/>
    <w:rsid w:val="00294399"/>
    <w:pPr>
      <w:autoSpaceDE w:val="0"/>
      <w:autoSpaceDN w:val="0"/>
      <w:spacing w:after="0" w:line="240" w:lineRule="auto"/>
      <w:jc w:val="center"/>
    </w:pPr>
    <w:rPr>
      <w:rFonts w:ascii="TimesET" w:eastAsia="Times New Roman" w:hAnsi="TimesET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294399"/>
    <w:rPr>
      <w:rFonts w:ascii="TimesET" w:eastAsia="Times New Roman" w:hAnsi="TimesET" w:cs="Times New Roman"/>
      <w:b/>
      <w:sz w:val="24"/>
      <w:szCs w:val="20"/>
      <w:lang w:eastAsia="ru-RU"/>
    </w:rPr>
  </w:style>
  <w:style w:type="paragraph" w:styleId="ac">
    <w:name w:val="No Spacing"/>
    <w:uiPriority w:val="1"/>
    <w:qFormat/>
    <w:rsid w:val="002943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FB298-6F4C-4E6D-9B25-3CE9B5E2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3691</Words>
  <Characters>21045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kco1</dc:creator>
  <cp:lastModifiedBy>ibrkso</cp:lastModifiedBy>
  <cp:revision>3</cp:revision>
  <cp:lastPrinted>2020-11-25T13:20:00Z</cp:lastPrinted>
  <dcterms:created xsi:type="dcterms:W3CDTF">2020-11-25T13:45:00Z</dcterms:created>
  <dcterms:modified xsi:type="dcterms:W3CDTF">2020-12-07T12:38:00Z</dcterms:modified>
</cp:coreProperties>
</file>