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81608E">
        <w:trPr>
          <w:trHeight w:val="1418"/>
        </w:trPr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F533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35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5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72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</w:t>
      </w:r>
      <w:r w:rsidR="00BB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6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58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F5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F5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533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33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</w:t>
      </w:r>
      <w:r w:rsidR="00F53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бюджете Ибресинского городского  поселения Ибресинского района Чувашской Республики на 2022 год и на плановый период 2023 и 2024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 Положения «О регулировании бюджетных правоотношений 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26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53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F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F5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3390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F53390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F53390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F53390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F53390" w:rsidRPr="00070853" w:rsidTr="00F53390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9A1C28" w:rsidRDefault="00F53390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34476,4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37563,6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21569,5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21368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99,1</w:t>
            </w:r>
          </w:p>
        </w:tc>
      </w:tr>
      <w:tr w:rsidR="00F53390" w:rsidRPr="00070853" w:rsidTr="00F53390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9A1C28" w:rsidRDefault="00F53390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38337,6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37563,6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21569,5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21368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99,1</w:t>
            </w:r>
          </w:p>
        </w:tc>
      </w:tr>
      <w:tr w:rsidR="00F53390" w:rsidRPr="00070853" w:rsidTr="00F53390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9A1C28" w:rsidRDefault="00F53390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-3861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0" w:rsidRPr="00F53390" w:rsidRDefault="00F53390" w:rsidP="00F53390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F53390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5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3390">
        <w:rPr>
          <w:rFonts w:ascii="Times New Roman" w:eastAsia="Times New Roman" w:hAnsi="Times New Roman" w:cs="Times New Roman"/>
          <w:sz w:val="24"/>
          <w:szCs w:val="24"/>
          <w:lang w:eastAsia="ru-RU"/>
        </w:rPr>
        <w:t>457,2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533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825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690E">
        <w:rPr>
          <w:rFonts w:ascii="Times New Roman" w:eastAsia="Times New Roman" w:hAnsi="Times New Roman" w:cs="Times New Roman"/>
          <w:sz w:val="24"/>
          <w:szCs w:val="24"/>
          <w:lang w:eastAsia="ru-RU"/>
        </w:rPr>
        <w:t>475,7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6690E">
        <w:rPr>
          <w:rFonts w:ascii="Times New Roman" w:eastAsia="Times New Roman" w:hAnsi="Times New Roman" w:cs="Times New Roman"/>
          <w:sz w:val="24"/>
          <w:szCs w:val="24"/>
          <w:lang w:eastAsia="ru-RU"/>
        </w:rPr>
        <w:t>5556,1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46690E">
        <w:rPr>
          <w:rFonts w:ascii="Times New Roman" w:eastAsia="Times New Roman" w:hAnsi="Times New Roman" w:cs="Times New Roman"/>
          <w:sz w:val="24"/>
          <w:szCs w:val="24"/>
          <w:lang w:eastAsia="ru-RU"/>
        </w:rPr>
        <w:t>447,6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4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46690E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885,4</w:t>
      </w:r>
      <w:r w:rsidR="0046020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тыс.руб.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Ибресинского городского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46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58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Ибресинского городского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581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466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466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66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66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66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58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656D9D" w:rsidRDefault="00656D9D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9D" w:rsidRDefault="00656D9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D9D" w:rsidRDefault="00656D9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46690E" w:rsidRPr="002C0229" w:rsidTr="00746C47">
        <w:tc>
          <w:tcPr>
            <w:tcW w:w="1985" w:type="dxa"/>
            <w:vMerge w:val="restart"/>
            <w:shd w:val="clear" w:color="auto" w:fill="auto"/>
          </w:tcPr>
          <w:p w:rsidR="0046690E" w:rsidRPr="002C0229" w:rsidRDefault="0046690E" w:rsidP="00A71BC0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6690E" w:rsidRPr="0046690E" w:rsidRDefault="00466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2021год (решение о бюджете) сумма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46690E" w:rsidRPr="0046690E" w:rsidRDefault="00466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46690E" w:rsidRPr="0046690E" w:rsidRDefault="00466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92" w:type="dxa"/>
            <w:gridSpan w:val="2"/>
            <w:shd w:val="clear" w:color="auto" w:fill="auto"/>
            <w:vAlign w:val="bottom"/>
          </w:tcPr>
          <w:p w:rsidR="0046690E" w:rsidRPr="0046690E" w:rsidRDefault="00466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656D9D" w:rsidRPr="002C0229" w:rsidTr="00A71BC0">
        <w:tc>
          <w:tcPr>
            <w:tcW w:w="1985" w:type="dxa"/>
            <w:vMerge/>
            <w:shd w:val="clear" w:color="auto" w:fill="auto"/>
          </w:tcPr>
          <w:p w:rsidR="00656D9D" w:rsidRPr="002C0229" w:rsidRDefault="00656D9D" w:rsidP="00A71BC0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D9D" w:rsidRPr="002C0229" w:rsidRDefault="00656D9D" w:rsidP="00A71BC0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6D9D" w:rsidRPr="0046690E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656D9D" w:rsidRPr="0046690E" w:rsidRDefault="00656D9D" w:rsidP="00A71B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</w:t>
            </w:r>
            <w:proofErr w:type="spellEnd"/>
          </w:p>
          <w:p w:rsidR="00656D9D" w:rsidRPr="0046690E" w:rsidRDefault="00656D9D" w:rsidP="00A71B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656D9D" w:rsidRPr="0046690E" w:rsidRDefault="00656D9D" w:rsidP="00A71B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656D9D" w:rsidRPr="0046690E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656D9D" w:rsidRPr="0046690E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656D9D" w:rsidRPr="0046690E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656D9D" w:rsidRPr="0046690E" w:rsidRDefault="00656D9D" w:rsidP="00A71B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968" w:type="dxa"/>
            <w:shd w:val="clear" w:color="auto" w:fill="auto"/>
          </w:tcPr>
          <w:p w:rsidR="00656D9D" w:rsidRPr="0046690E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преды-дущему</w:t>
            </w:r>
            <w:proofErr w:type="spellEnd"/>
            <w:r w:rsidRPr="00466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году(%)</w:t>
            </w:r>
          </w:p>
        </w:tc>
      </w:tr>
      <w:tr w:rsidR="0046690E" w:rsidRPr="00656D9D" w:rsidTr="00A71BC0">
        <w:trPr>
          <w:trHeight w:val="471"/>
        </w:trPr>
        <w:tc>
          <w:tcPr>
            <w:tcW w:w="1985" w:type="dxa"/>
            <w:shd w:val="clear" w:color="auto" w:fill="auto"/>
          </w:tcPr>
          <w:p w:rsidR="0046690E" w:rsidRPr="00B76DE9" w:rsidRDefault="0046690E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</w:pPr>
            <w:r w:rsidRPr="0046690E">
              <w:t>34476,4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sz w:val="22"/>
                <w:szCs w:val="22"/>
              </w:rPr>
            </w:pPr>
            <w:r w:rsidRPr="0046690E">
              <w:rPr>
                <w:sz w:val="22"/>
                <w:szCs w:val="22"/>
              </w:rPr>
              <w:t>37563,6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sz w:val="22"/>
                <w:szCs w:val="22"/>
              </w:rPr>
            </w:pPr>
            <w:r w:rsidRPr="0046690E">
              <w:rPr>
                <w:sz w:val="22"/>
                <w:szCs w:val="22"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sz w:val="22"/>
                <w:szCs w:val="22"/>
              </w:rPr>
            </w:pPr>
            <w:r w:rsidRPr="0046690E">
              <w:rPr>
                <w:sz w:val="22"/>
                <w:szCs w:val="22"/>
              </w:rPr>
              <w:t>21569,5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sz w:val="22"/>
                <w:szCs w:val="22"/>
              </w:rPr>
            </w:pPr>
            <w:r w:rsidRPr="0046690E">
              <w:rPr>
                <w:sz w:val="22"/>
                <w:szCs w:val="22"/>
              </w:rPr>
              <w:t>57,4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sz w:val="22"/>
                <w:szCs w:val="22"/>
              </w:rPr>
            </w:pPr>
            <w:r w:rsidRPr="0046690E">
              <w:rPr>
                <w:sz w:val="22"/>
                <w:szCs w:val="22"/>
              </w:rPr>
              <w:t>21368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sz w:val="22"/>
                <w:szCs w:val="22"/>
              </w:rPr>
            </w:pPr>
            <w:r w:rsidRPr="0046690E">
              <w:rPr>
                <w:sz w:val="22"/>
                <w:szCs w:val="22"/>
              </w:rPr>
              <w:t>99,1</w:t>
            </w:r>
          </w:p>
        </w:tc>
      </w:tr>
      <w:tr w:rsidR="0046690E" w:rsidTr="00A71BC0">
        <w:trPr>
          <w:trHeight w:val="291"/>
        </w:trPr>
        <w:tc>
          <w:tcPr>
            <w:tcW w:w="1985" w:type="dxa"/>
            <w:shd w:val="clear" w:color="auto" w:fill="auto"/>
          </w:tcPr>
          <w:p w:rsidR="0046690E" w:rsidRPr="007C0ADF" w:rsidRDefault="0046690E" w:rsidP="00A71BC0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rFonts w:ascii="Calibri" w:hAnsi="Calibri"/>
                <w:b w:val="0"/>
                <w:szCs w:val="24"/>
              </w:rPr>
            </w:pPr>
            <w:r w:rsidRPr="0046690E">
              <w:rPr>
                <w:rFonts w:ascii="Calibri" w:hAnsi="Calibri"/>
                <w:b w:val="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rFonts w:ascii="Calibri" w:hAnsi="Calibri"/>
                <w:b w:val="0"/>
                <w:szCs w:val="24"/>
              </w:rPr>
            </w:pPr>
            <w:r w:rsidRPr="0046690E">
              <w:rPr>
                <w:rFonts w:ascii="Calibri" w:hAnsi="Calibri"/>
                <w:b w:val="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rFonts w:ascii="Calibri" w:hAnsi="Calibri"/>
                <w:b w:val="0"/>
                <w:i/>
                <w:iCs/>
                <w:sz w:val="18"/>
                <w:szCs w:val="18"/>
              </w:rPr>
            </w:pPr>
            <w:r w:rsidRPr="0046690E">
              <w:rPr>
                <w:rFonts w:ascii="Calibri" w:hAnsi="Calibri"/>
                <w:b w:val="0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rFonts w:ascii="Calibri" w:hAnsi="Calibri"/>
                <w:b w:val="0"/>
                <w:szCs w:val="24"/>
              </w:rPr>
            </w:pPr>
            <w:r w:rsidRPr="0046690E">
              <w:rPr>
                <w:rFonts w:ascii="Calibri" w:hAnsi="Calibri"/>
                <w:b w:val="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i/>
                <w:iCs/>
                <w:sz w:val="18"/>
                <w:szCs w:val="18"/>
              </w:rPr>
            </w:pPr>
            <w:r w:rsidRPr="0046690E">
              <w:rPr>
                <w:b w:val="0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rFonts w:ascii="Calibri" w:hAnsi="Calibri"/>
                <w:b w:val="0"/>
                <w:szCs w:val="24"/>
              </w:rPr>
            </w:pPr>
            <w:r w:rsidRPr="0046690E">
              <w:rPr>
                <w:rFonts w:ascii="Calibri" w:hAnsi="Calibri"/>
                <w:b w:val="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 </w:t>
            </w:r>
          </w:p>
        </w:tc>
      </w:tr>
      <w:tr w:rsidR="0046690E" w:rsidTr="009B774E">
        <w:trPr>
          <w:trHeight w:val="557"/>
        </w:trPr>
        <w:tc>
          <w:tcPr>
            <w:tcW w:w="1985" w:type="dxa"/>
            <w:shd w:val="clear" w:color="auto" w:fill="auto"/>
          </w:tcPr>
          <w:p w:rsidR="0046690E" w:rsidRPr="00B76DE9" w:rsidRDefault="0046690E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22"/>
                <w:szCs w:val="22"/>
              </w:rPr>
            </w:pPr>
            <w:r w:rsidRPr="0046690E">
              <w:rPr>
                <w:b w:val="0"/>
                <w:sz w:val="22"/>
                <w:szCs w:val="22"/>
              </w:rPr>
              <w:t>18060,3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22"/>
                <w:szCs w:val="22"/>
              </w:rPr>
            </w:pPr>
            <w:r w:rsidRPr="0046690E">
              <w:rPr>
                <w:b w:val="0"/>
                <w:sz w:val="22"/>
                <w:szCs w:val="22"/>
              </w:rPr>
              <w:t>17570,3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rFonts w:ascii="Calibri" w:hAnsi="Calibri"/>
                <w:b w:val="0"/>
                <w:i/>
                <w:iCs/>
                <w:sz w:val="18"/>
                <w:szCs w:val="18"/>
              </w:rPr>
            </w:pPr>
            <w:r w:rsidRPr="0046690E">
              <w:rPr>
                <w:rFonts w:ascii="Calibri" w:hAnsi="Calibri"/>
                <w:b w:val="0"/>
                <w:i/>
                <w:iCs/>
                <w:sz w:val="18"/>
                <w:szCs w:val="18"/>
              </w:rPr>
              <w:t>97,3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22"/>
                <w:szCs w:val="22"/>
              </w:rPr>
            </w:pPr>
            <w:r w:rsidRPr="0046690E">
              <w:rPr>
                <w:b w:val="0"/>
                <w:sz w:val="22"/>
                <w:szCs w:val="22"/>
              </w:rPr>
              <w:t>17902,4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b w:val="0"/>
                <w:i/>
                <w:iCs/>
                <w:sz w:val="18"/>
                <w:szCs w:val="18"/>
              </w:rPr>
            </w:pPr>
            <w:r w:rsidRPr="0046690E">
              <w:rPr>
                <w:b w:val="0"/>
                <w:i/>
                <w:iCs/>
                <w:sz w:val="18"/>
                <w:szCs w:val="18"/>
              </w:rPr>
              <w:t>101,9</w:t>
            </w:r>
          </w:p>
        </w:tc>
        <w:tc>
          <w:tcPr>
            <w:tcW w:w="1124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22"/>
                <w:szCs w:val="22"/>
              </w:rPr>
            </w:pPr>
            <w:r w:rsidRPr="0046690E">
              <w:rPr>
                <w:b w:val="0"/>
                <w:sz w:val="22"/>
                <w:szCs w:val="22"/>
              </w:rPr>
              <w:t>17707,7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b w:val="0"/>
                <w:i/>
                <w:iCs/>
                <w:sz w:val="18"/>
                <w:szCs w:val="18"/>
              </w:rPr>
            </w:pPr>
            <w:r w:rsidRPr="0046690E">
              <w:rPr>
                <w:b w:val="0"/>
                <w:i/>
                <w:iCs/>
                <w:sz w:val="18"/>
                <w:szCs w:val="18"/>
              </w:rPr>
              <w:t>98,9</w:t>
            </w:r>
          </w:p>
        </w:tc>
      </w:tr>
      <w:tr w:rsidR="0046690E" w:rsidTr="009B774E">
        <w:trPr>
          <w:trHeight w:val="580"/>
        </w:trPr>
        <w:tc>
          <w:tcPr>
            <w:tcW w:w="1985" w:type="dxa"/>
            <w:shd w:val="clear" w:color="auto" w:fill="auto"/>
          </w:tcPr>
          <w:p w:rsidR="0046690E" w:rsidRPr="00B76DE9" w:rsidRDefault="0046690E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46,8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rFonts w:ascii="Calibri" w:hAnsi="Calibri"/>
                <w:b w:val="0"/>
                <w:i/>
                <w:iCs/>
                <w:sz w:val="18"/>
                <w:szCs w:val="18"/>
              </w:rPr>
            </w:pPr>
            <w:r w:rsidRPr="0046690E">
              <w:rPr>
                <w:rFonts w:ascii="Calibri" w:hAnsi="Calibri"/>
                <w:b w:val="0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83,0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b w:val="0"/>
                <w:i/>
                <w:iCs/>
                <w:sz w:val="18"/>
                <w:szCs w:val="18"/>
              </w:rPr>
            </w:pPr>
            <w:r w:rsidRPr="0046690E">
              <w:rPr>
                <w:b w:val="0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82,9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b w:val="0"/>
                <w:i/>
                <w:iCs/>
                <w:sz w:val="18"/>
                <w:szCs w:val="18"/>
              </w:rPr>
            </w:pPr>
            <w:r w:rsidRPr="0046690E">
              <w:rPr>
                <w:b w:val="0"/>
                <w:i/>
                <w:iCs/>
                <w:sz w:val="18"/>
                <w:szCs w:val="18"/>
              </w:rPr>
              <w:t> </w:t>
            </w:r>
          </w:p>
        </w:tc>
      </w:tr>
      <w:tr w:rsidR="0046690E" w:rsidTr="009B774E">
        <w:tc>
          <w:tcPr>
            <w:tcW w:w="1985" w:type="dxa"/>
            <w:shd w:val="clear" w:color="auto" w:fill="auto"/>
          </w:tcPr>
          <w:p w:rsidR="0046690E" w:rsidRPr="00B76DE9" w:rsidRDefault="0046690E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22"/>
                <w:szCs w:val="22"/>
              </w:rPr>
            </w:pPr>
            <w:r w:rsidRPr="0046690E">
              <w:rPr>
                <w:b w:val="0"/>
                <w:sz w:val="22"/>
                <w:szCs w:val="22"/>
              </w:rPr>
              <w:t>16416,1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22"/>
                <w:szCs w:val="22"/>
              </w:rPr>
            </w:pPr>
            <w:r w:rsidRPr="0046690E">
              <w:rPr>
                <w:b w:val="0"/>
                <w:sz w:val="22"/>
                <w:szCs w:val="22"/>
              </w:rPr>
              <w:t>19993,3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rFonts w:ascii="Calibri" w:hAnsi="Calibri"/>
                <w:b w:val="0"/>
                <w:i/>
                <w:iCs/>
                <w:sz w:val="18"/>
                <w:szCs w:val="18"/>
              </w:rPr>
            </w:pPr>
            <w:r w:rsidRPr="0046690E">
              <w:rPr>
                <w:rFonts w:ascii="Calibri" w:hAnsi="Calibri"/>
                <w:b w:val="0"/>
                <w:i/>
                <w:iCs/>
                <w:sz w:val="18"/>
                <w:szCs w:val="18"/>
              </w:rPr>
              <w:t>121,8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22"/>
                <w:szCs w:val="22"/>
              </w:rPr>
            </w:pPr>
            <w:r w:rsidRPr="0046690E">
              <w:rPr>
                <w:b w:val="0"/>
                <w:sz w:val="22"/>
                <w:szCs w:val="22"/>
              </w:rPr>
              <w:t>3667,1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b w:val="0"/>
                <w:i/>
                <w:iCs/>
                <w:sz w:val="18"/>
                <w:szCs w:val="18"/>
              </w:rPr>
            </w:pPr>
            <w:r w:rsidRPr="0046690E">
              <w:rPr>
                <w:b w:val="0"/>
                <w:i/>
                <w:iCs/>
                <w:sz w:val="18"/>
                <w:szCs w:val="18"/>
              </w:rPr>
              <w:t>18,3</w:t>
            </w:r>
          </w:p>
        </w:tc>
        <w:tc>
          <w:tcPr>
            <w:tcW w:w="1124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22"/>
                <w:szCs w:val="22"/>
              </w:rPr>
            </w:pPr>
            <w:r w:rsidRPr="0046690E">
              <w:rPr>
                <w:b w:val="0"/>
                <w:sz w:val="22"/>
                <w:szCs w:val="22"/>
              </w:rPr>
              <w:t>3660,3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b w:val="0"/>
                <w:i/>
                <w:iCs/>
                <w:sz w:val="18"/>
                <w:szCs w:val="18"/>
              </w:rPr>
            </w:pPr>
            <w:r w:rsidRPr="0046690E">
              <w:rPr>
                <w:b w:val="0"/>
                <w:i/>
                <w:iCs/>
                <w:sz w:val="18"/>
                <w:szCs w:val="18"/>
              </w:rPr>
              <w:t>99,8</w:t>
            </w:r>
          </w:p>
        </w:tc>
      </w:tr>
      <w:tr w:rsidR="0046690E" w:rsidTr="009B774E">
        <w:trPr>
          <w:trHeight w:val="604"/>
        </w:trPr>
        <w:tc>
          <w:tcPr>
            <w:tcW w:w="1985" w:type="dxa"/>
            <w:shd w:val="clear" w:color="auto" w:fill="auto"/>
          </w:tcPr>
          <w:p w:rsidR="0046690E" w:rsidRPr="00B76DE9" w:rsidRDefault="0046690E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47,6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53,2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rFonts w:ascii="Calibri" w:hAnsi="Calibri"/>
                <w:b w:val="0"/>
                <w:i/>
                <w:iCs/>
                <w:sz w:val="18"/>
                <w:szCs w:val="18"/>
              </w:rPr>
            </w:pPr>
            <w:r w:rsidRPr="0046690E">
              <w:rPr>
                <w:rFonts w:ascii="Calibri" w:hAnsi="Calibri"/>
                <w:b w:val="0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17,0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6690E" w:rsidRPr="0046690E" w:rsidRDefault="0046690E" w:rsidP="0046690E">
            <w:pPr>
              <w:pStyle w:val="aa"/>
              <w:rPr>
                <w:b w:val="0"/>
                <w:i/>
                <w:iCs/>
                <w:sz w:val="18"/>
                <w:szCs w:val="18"/>
              </w:rPr>
            </w:pPr>
            <w:r w:rsidRPr="0046690E">
              <w:rPr>
                <w:b w:val="0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17,1</w:t>
            </w:r>
          </w:p>
        </w:tc>
        <w:tc>
          <w:tcPr>
            <w:tcW w:w="968" w:type="dxa"/>
            <w:shd w:val="clear" w:color="auto" w:fill="auto"/>
          </w:tcPr>
          <w:p w:rsidR="0046690E" w:rsidRPr="0046690E" w:rsidRDefault="0046690E" w:rsidP="0046690E">
            <w:pPr>
              <w:pStyle w:val="aa"/>
              <w:rPr>
                <w:b w:val="0"/>
                <w:sz w:val="18"/>
                <w:szCs w:val="18"/>
              </w:rPr>
            </w:pPr>
            <w:r w:rsidRPr="0046690E">
              <w:rPr>
                <w:b w:val="0"/>
                <w:sz w:val="18"/>
                <w:szCs w:val="18"/>
              </w:rPr>
              <w:t> </w:t>
            </w:r>
          </w:p>
        </w:tc>
      </w:tr>
    </w:tbl>
    <w:p w:rsidR="00656D9D" w:rsidRDefault="00656D9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581FA1">
        <w:rPr>
          <w:rFonts w:ascii="Times New Roman" w:hAnsi="Times New Roman" w:cs="Times New Roman"/>
          <w:sz w:val="24"/>
          <w:szCs w:val="24"/>
        </w:rPr>
        <w:t xml:space="preserve">Ибресинского городского </w:t>
      </w:r>
      <w:r w:rsidRPr="00B76DE9">
        <w:rPr>
          <w:rFonts w:ascii="Times New Roman" w:hAnsi="Times New Roman" w:cs="Times New Roman"/>
          <w:sz w:val="24"/>
          <w:szCs w:val="24"/>
        </w:rPr>
        <w:t>поселения на 202</w:t>
      </w:r>
      <w:r w:rsidR="001166E5">
        <w:rPr>
          <w:rFonts w:ascii="Times New Roman" w:hAnsi="Times New Roman" w:cs="Times New Roman"/>
          <w:sz w:val="24"/>
          <w:szCs w:val="24"/>
        </w:rPr>
        <w:t>2</w:t>
      </w:r>
      <w:r w:rsidRPr="00B76DE9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1166E5">
        <w:rPr>
          <w:rFonts w:ascii="Times New Roman" w:hAnsi="Times New Roman" w:cs="Times New Roman"/>
          <w:sz w:val="24"/>
          <w:szCs w:val="24"/>
        </w:rPr>
        <w:t>37563,6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</w:t>
      </w:r>
      <w:r w:rsidR="001166E5">
        <w:rPr>
          <w:rFonts w:ascii="Times New Roman" w:hAnsi="Times New Roman" w:cs="Times New Roman"/>
          <w:sz w:val="24"/>
          <w:szCs w:val="24"/>
        </w:rPr>
        <w:t>1</w:t>
      </w:r>
      <w:r w:rsidRPr="003A70FD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4E0DDC">
        <w:rPr>
          <w:rFonts w:ascii="Times New Roman" w:hAnsi="Times New Roman" w:cs="Times New Roman"/>
          <w:sz w:val="24"/>
          <w:szCs w:val="24"/>
        </w:rPr>
        <w:t>доходы</w:t>
      </w:r>
      <w:r w:rsidR="00656D9D">
        <w:rPr>
          <w:rFonts w:ascii="Times New Roman" w:hAnsi="Times New Roman" w:cs="Times New Roman"/>
          <w:sz w:val="24"/>
          <w:szCs w:val="24"/>
        </w:rPr>
        <w:t xml:space="preserve"> в 202</w:t>
      </w:r>
      <w:r w:rsidR="001166E5">
        <w:rPr>
          <w:rFonts w:ascii="Times New Roman" w:hAnsi="Times New Roman" w:cs="Times New Roman"/>
          <w:sz w:val="24"/>
          <w:szCs w:val="24"/>
        </w:rPr>
        <w:t>2</w:t>
      </w:r>
      <w:r w:rsidR="00656D9D">
        <w:rPr>
          <w:rFonts w:ascii="Times New Roman" w:hAnsi="Times New Roman" w:cs="Times New Roman"/>
          <w:sz w:val="24"/>
          <w:szCs w:val="24"/>
        </w:rPr>
        <w:t>году</w:t>
      </w:r>
      <w:r w:rsidR="004E0DDC">
        <w:rPr>
          <w:rFonts w:ascii="Times New Roman" w:hAnsi="Times New Roman" w:cs="Times New Roman"/>
          <w:sz w:val="24"/>
          <w:szCs w:val="24"/>
        </w:rPr>
        <w:t xml:space="preserve"> у</w:t>
      </w:r>
      <w:r w:rsidR="001166E5">
        <w:rPr>
          <w:rFonts w:ascii="Times New Roman" w:hAnsi="Times New Roman" w:cs="Times New Roman"/>
          <w:sz w:val="24"/>
          <w:szCs w:val="24"/>
        </w:rPr>
        <w:t>величатся</w:t>
      </w:r>
      <w:r w:rsidR="004E0DDC">
        <w:rPr>
          <w:rFonts w:ascii="Times New Roman" w:hAnsi="Times New Roman" w:cs="Times New Roman"/>
          <w:sz w:val="24"/>
          <w:szCs w:val="24"/>
        </w:rPr>
        <w:t xml:space="preserve"> на </w:t>
      </w:r>
      <w:r w:rsidR="001166E5">
        <w:rPr>
          <w:rFonts w:ascii="Times New Roman" w:hAnsi="Times New Roman" w:cs="Times New Roman"/>
          <w:sz w:val="24"/>
          <w:szCs w:val="24"/>
        </w:rPr>
        <w:t>9,0</w:t>
      </w:r>
      <w:r w:rsidRPr="003A70FD">
        <w:rPr>
          <w:rFonts w:ascii="Times New Roman" w:hAnsi="Times New Roman" w:cs="Times New Roman"/>
          <w:sz w:val="24"/>
          <w:szCs w:val="24"/>
        </w:rPr>
        <w:t>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Поступление доходов на 202</w:t>
      </w:r>
      <w:r w:rsidR="001166E5">
        <w:rPr>
          <w:rFonts w:ascii="Times New Roman" w:hAnsi="Times New Roman" w:cs="Times New Roman"/>
          <w:sz w:val="24"/>
          <w:szCs w:val="24"/>
        </w:rPr>
        <w:t>3</w:t>
      </w:r>
      <w:r w:rsidRPr="003A70FD">
        <w:rPr>
          <w:rFonts w:ascii="Times New Roman" w:hAnsi="Times New Roman" w:cs="Times New Roman"/>
          <w:sz w:val="24"/>
          <w:szCs w:val="24"/>
        </w:rPr>
        <w:t xml:space="preserve"> год  прогнозируется в сумме </w:t>
      </w:r>
      <w:r w:rsidR="00656D9D">
        <w:rPr>
          <w:rFonts w:ascii="Times New Roman" w:hAnsi="Times New Roman" w:cs="Times New Roman"/>
          <w:sz w:val="24"/>
          <w:szCs w:val="24"/>
        </w:rPr>
        <w:t>2</w:t>
      </w:r>
      <w:r w:rsidR="001166E5">
        <w:rPr>
          <w:rFonts w:ascii="Times New Roman" w:hAnsi="Times New Roman" w:cs="Times New Roman"/>
          <w:sz w:val="24"/>
          <w:szCs w:val="24"/>
        </w:rPr>
        <w:t>1569,5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</w:t>
      </w:r>
      <w:r w:rsidR="001166E5">
        <w:rPr>
          <w:rFonts w:ascii="Times New Roman" w:hAnsi="Times New Roman" w:cs="Times New Roman"/>
          <w:sz w:val="24"/>
          <w:szCs w:val="24"/>
        </w:rPr>
        <w:t>4</w:t>
      </w:r>
      <w:r w:rsidRPr="003A70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56D9D">
        <w:rPr>
          <w:rFonts w:ascii="Times New Roman" w:hAnsi="Times New Roman" w:cs="Times New Roman"/>
          <w:sz w:val="24"/>
          <w:szCs w:val="24"/>
        </w:rPr>
        <w:t>2</w:t>
      </w:r>
      <w:r w:rsidR="001166E5">
        <w:rPr>
          <w:rFonts w:ascii="Times New Roman" w:hAnsi="Times New Roman" w:cs="Times New Roman"/>
          <w:sz w:val="24"/>
          <w:szCs w:val="24"/>
        </w:rPr>
        <w:t>1368,0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>на 202</w:t>
      </w:r>
      <w:r w:rsidR="001166E5">
        <w:rPr>
          <w:rFonts w:ascii="Times New Roman" w:hAnsi="Times New Roman" w:cs="Times New Roman"/>
          <w:sz w:val="24"/>
          <w:szCs w:val="24"/>
        </w:rPr>
        <w:t>2</w:t>
      </w:r>
      <w:r w:rsidRPr="003A70FD">
        <w:rPr>
          <w:rFonts w:ascii="Times New Roman" w:hAnsi="Times New Roman" w:cs="Times New Roman"/>
          <w:sz w:val="24"/>
          <w:szCs w:val="24"/>
        </w:rPr>
        <w:t xml:space="preserve">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656D9D">
        <w:rPr>
          <w:rFonts w:ascii="Times New Roman" w:hAnsi="Times New Roman" w:cs="Times New Roman"/>
          <w:sz w:val="24"/>
          <w:szCs w:val="24"/>
        </w:rPr>
        <w:t>1</w:t>
      </w:r>
      <w:r w:rsidR="001166E5">
        <w:rPr>
          <w:rFonts w:ascii="Times New Roman" w:hAnsi="Times New Roman" w:cs="Times New Roman"/>
          <w:sz w:val="24"/>
          <w:szCs w:val="24"/>
        </w:rPr>
        <w:t>7570,3</w:t>
      </w:r>
      <w:r w:rsidR="00656D9D">
        <w:rPr>
          <w:rFonts w:ascii="Times New Roman" w:hAnsi="Times New Roman" w:cs="Times New Roman"/>
          <w:sz w:val="24"/>
          <w:szCs w:val="24"/>
        </w:rPr>
        <w:t xml:space="preserve"> </w:t>
      </w:r>
      <w:r w:rsidRPr="003A70FD">
        <w:rPr>
          <w:rFonts w:ascii="Times New Roman" w:hAnsi="Times New Roman" w:cs="Times New Roman"/>
          <w:sz w:val="24"/>
          <w:szCs w:val="24"/>
        </w:rPr>
        <w:t>тыс.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166E5">
        <w:rPr>
          <w:rFonts w:ascii="Times New Roman" w:hAnsi="Times New Roman" w:cs="Times New Roman"/>
          <w:sz w:val="24"/>
          <w:szCs w:val="24"/>
        </w:rPr>
        <w:t>97,3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</w:t>
      </w:r>
      <w:r w:rsidR="00656D9D">
        <w:rPr>
          <w:rFonts w:ascii="Times New Roman" w:hAnsi="Times New Roman" w:cs="Times New Roman"/>
          <w:sz w:val="24"/>
          <w:szCs w:val="24"/>
        </w:rPr>
        <w:t xml:space="preserve"> </w:t>
      </w:r>
      <w:r w:rsidR="0066250E">
        <w:rPr>
          <w:rFonts w:ascii="Times New Roman" w:hAnsi="Times New Roman" w:cs="Times New Roman"/>
          <w:sz w:val="24"/>
          <w:szCs w:val="24"/>
        </w:rPr>
        <w:t xml:space="preserve"> 202</w:t>
      </w:r>
      <w:r w:rsidR="001166E5">
        <w:rPr>
          <w:rFonts w:ascii="Times New Roman" w:hAnsi="Times New Roman" w:cs="Times New Roman"/>
          <w:sz w:val="24"/>
          <w:szCs w:val="24"/>
        </w:rPr>
        <w:t>1</w:t>
      </w:r>
      <w:r w:rsidR="0066250E">
        <w:rPr>
          <w:rFonts w:ascii="Times New Roman" w:hAnsi="Times New Roman" w:cs="Times New Roman"/>
          <w:sz w:val="24"/>
          <w:szCs w:val="24"/>
        </w:rPr>
        <w:t xml:space="preserve"> году. Их удельный вес в доходах поселения составит </w:t>
      </w:r>
      <w:r w:rsidR="001166E5">
        <w:rPr>
          <w:rFonts w:ascii="Times New Roman" w:hAnsi="Times New Roman" w:cs="Times New Roman"/>
          <w:sz w:val="24"/>
          <w:szCs w:val="24"/>
        </w:rPr>
        <w:t>46,8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1166E5">
        <w:rPr>
          <w:rFonts w:ascii="Times New Roman" w:hAnsi="Times New Roman" w:cs="Times New Roman"/>
          <w:sz w:val="24"/>
          <w:szCs w:val="24"/>
        </w:rPr>
        <w:t>5,6</w:t>
      </w:r>
      <w:r w:rsidR="00B76DE9">
        <w:rPr>
          <w:rFonts w:ascii="Times New Roman" w:hAnsi="Times New Roman" w:cs="Times New Roman"/>
          <w:sz w:val="24"/>
          <w:szCs w:val="24"/>
        </w:rPr>
        <w:t xml:space="preserve">%-ных  пункта </w:t>
      </w:r>
      <w:r w:rsidR="001166E5">
        <w:rPr>
          <w:rFonts w:ascii="Times New Roman" w:hAnsi="Times New Roman" w:cs="Times New Roman"/>
          <w:sz w:val="24"/>
          <w:szCs w:val="24"/>
        </w:rPr>
        <w:t>ниже уровня</w:t>
      </w:r>
      <w:r w:rsidR="00B76DE9">
        <w:rPr>
          <w:rFonts w:ascii="Times New Roman" w:hAnsi="Times New Roman" w:cs="Times New Roman"/>
          <w:sz w:val="24"/>
          <w:szCs w:val="24"/>
        </w:rPr>
        <w:t xml:space="preserve"> 202</w:t>
      </w:r>
      <w:r w:rsidR="001166E5">
        <w:rPr>
          <w:rFonts w:ascii="Times New Roman" w:hAnsi="Times New Roman" w:cs="Times New Roman"/>
          <w:sz w:val="24"/>
          <w:szCs w:val="24"/>
        </w:rPr>
        <w:t>1</w:t>
      </w:r>
      <w:r w:rsidR="00B76D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70FD" w:rsidRPr="003A70FD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>
        <w:rPr>
          <w:rFonts w:ascii="Times New Roman" w:hAnsi="Times New Roman" w:cs="Times New Roman"/>
          <w:sz w:val="24"/>
          <w:szCs w:val="24"/>
        </w:rPr>
        <w:t>на плановый период  прогнозируется  в сумме</w:t>
      </w:r>
      <w:r w:rsidR="00656D9D">
        <w:rPr>
          <w:rFonts w:ascii="Times New Roman" w:hAnsi="Times New Roman" w:cs="Times New Roman"/>
          <w:sz w:val="24"/>
          <w:szCs w:val="24"/>
        </w:rPr>
        <w:t xml:space="preserve"> 17</w:t>
      </w:r>
      <w:r w:rsidR="001166E5">
        <w:rPr>
          <w:rFonts w:ascii="Times New Roman" w:hAnsi="Times New Roman" w:cs="Times New Roman"/>
          <w:sz w:val="24"/>
          <w:szCs w:val="24"/>
        </w:rPr>
        <w:t>902,4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1166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и </w:t>
      </w:r>
      <w:r w:rsidR="00A2030D">
        <w:rPr>
          <w:rFonts w:ascii="Times New Roman" w:hAnsi="Times New Roman" w:cs="Times New Roman"/>
          <w:sz w:val="24"/>
          <w:szCs w:val="24"/>
        </w:rPr>
        <w:t>1</w:t>
      </w:r>
      <w:r w:rsidR="001166E5">
        <w:rPr>
          <w:rFonts w:ascii="Times New Roman" w:hAnsi="Times New Roman" w:cs="Times New Roman"/>
          <w:sz w:val="24"/>
          <w:szCs w:val="24"/>
        </w:rPr>
        <w:t>7707,4</w:t>
      </w:r>
      <w:r w:rsidR="00A2030D">
        <w:rPr>
          <w:rFonts w:ascii="Times New Roman" w:hAnsi="Times New Roman" w:cs="Times New Roman"/>
          <w:sz w:val="24"/>
          <w:szCs w:val="24"/>
        </w:rPr>
        <w:t xml:space="preserve"> т.</w:t>
      </w:r>
      <w:r w:rsidR="003A70FD" w:rsidRPr="003A70FD">
        <w:rPr>
          <w:rFonts w:ascii="Times New Roman" w:hAnsi="Times New Roman" w:cs="Times New Roman"/>
          <w:sz w:val="24"/>
          <w:szCs w:val="24"/>
        </w:rPr>
        <w:t>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</w:t>
      </w:r>
      <w:r w:rsidR="001166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19993,3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21,8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утвержденн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3667,1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6E5">
        <w:rPr>
          <w:rFonts w:ascii="Times New Roman" w:eastAsia="Times New Roman" w:hAnsi="Times New Roman" w:cs="Times New Roman"/>
          <w:sz w:val="24"/>
          <w:szCs w:val="24"/>
          <w:lang w:eastAsia="ru-RU"/>
        </w:rPr>
        <w:t>3660,3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Таблица №3</w:t>
      </w:r>
    </w:p>
    <w:tbl>
      <w:tblPr>
        <w:tblStyle w:val="a3"/>
        <w:tblW w:w="9746" w:type="dxa"/>
        <w:tblInd w:w="108" w:type="dxa"/>
        <w:tblLayout w:type="fixed"/>
        <w:tblLook w:val="01E0"/>
      </w:tblPr>
      <w:tblGrid>
        <w:gridCol w:w="3402"/>
        <w:gridCol w:w="1276"/>
        <w:gridCol w:w="1134"/>
        <w:gridCol w:w="851"/>
        <w:gridCol w:w="850"/>
        <w:gridCol w:w="1134"/>
        <w:gridCol w:w="1099"/>
      </w:tblGrid>
      <w:tr w:rsidR="0066250E" w:rsidRPr="00B20B85" w:rsidTr="0002451D">
        <w:trPr>
          <w:trHeight w:val="2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</w:t>
            </w:r>
            <w:r w:rsidR="001C392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</w:t>
            </w:r>
            <w:r w:rsidR="001C392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</w:t>
            </w:r>
            <w:r w:rsidR="001C392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</w:t>
            </w:r>
            <w:r w:rsidR="001C392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</w:tr>
      <w:tr w:rsidR="0066250E" w:rsidRPr="00B20B85" w:rsidTr="0002451D">
        <w:trPr>
          <w:trHeight w:val="2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</w:tr>
      <w:tr w:rsidR="001166E5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5" w:rsidRPr="00931F48" w:rsidRDefault="001166E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  <w:r w:rsidRPr="001166E5">
              <w:rPr>
                <w:rFonts w:ascii="Times New Roman" w:hAnsi="Times New Roman"/>
                <w:sz w:val="20"/>
              </w:rPr>
              <w:t>18060,3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  <w:r w:rsidRPr="001166E5">
              <w:rPr>
                <w:rFonts w:ascii="Times New Roman" w:hAnsi="Times New Roman"/>
                <w:sz w:val="20"/>
              </w:rPr>
              <w:t>17570,3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  <w:r w:rsidRPr="001166E5">
              <w:rPr>
                <w:rFonts w:ascii="Times New Roman" w:hAnsi="Times New Roman"/>
                <w:sz w:val="20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  <w:r w:rsidRPr="001166E5">
              <w:rPr>
                <w:rFonts w:ascii="Times New Roman" w:hAnsi="Times New Roman"/>
                <w:sz w:val="20"/>
              </w:rPr>
              <w:t>-490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  <w:r w:rsidRPr="001166E5">
              <w:rPr>
                <w:rFonts w:ascii="Times New Roman" w:hAnsi="Times New Roman"/>
                <w:sz w:val="20"/>
              </w:rPr>
              <w:t>17902,4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  <w:r w:rsidRPr="001166E5">
              <w:rPr>
                <w:rFonts w:ascii="Times New Roman" w:hAnsi="Times New Roman"/>
                <w:sz w:val="20"/>
              </w:rPr>
              <w:t>17707,7</w:t>
            </w:r>
          </w:p>
        </w:tc>
      </w:tr>
      <w:tr w:rsidR="001166E5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5" w:rsidRDefault="00116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</w:tr>
      <w:tr w:rsidR="001166E5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5" w:rsidRPr="004D42CF" w:rsidRDefault="001166E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15451,7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15741,3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16040,2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16161,6</w:t>
            </w:r>
          </w:p>
        </w:tc>
      </w:tr>
      <w:tr w:rsidR="001166E5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5" w:rsidRDefault="00116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89,6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91,3</w:t>
            </w:r>
          </w:p>
        </w:tc>
      </w:tr>
      <w:tr w:rsidR="001166E5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5" w:rsidRDefault="001166E5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2608,6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1829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-779,6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1862,2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1166E5">
              <w:rPr>
                <w:rFonts w:ascii="Times New Roman" w:hAnsi="Times New Roman"/>
                <w:b w:val="0"/>
                <w:sz w:val="20"/>
              </w:rPr>
              <w:t>1546,1</w:t>
            </w:r>
          </w:p>
        </w:tc>
      </w:tr>
      <w:tr w:rsidR="001166E5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5" w:rsidRDefault="00116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10,4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5" w:rsidRPr="001166E5" w:rsidRDefault="001166E5" w:rsidP="001166E5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166E5">
              <w:rPr>
                <w:rFonts w:ascii="Times New Roman" w:hAnsi="Times New Roman"/>
                <w:b w:val="0"/>
                <w:i/>
                <w:iCs/>
                <w:sz w:val="20"/>
              </w:rPr>
              <w:t>8,7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89,6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выше  уровня предшествующего года.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поступление налоговых доходов прогнозируется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15741,3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1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01,9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5451,7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неналоговых доходов в 202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в сумме 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1829,0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70,1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202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2608,6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неналоговых доходов в 202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составит 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соответственно ниже показателя 2020 года на </w:t>
      </w:r>
      <w:r w:rsidR="001C392D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пункта.  </w:t>
      </w:r>
    </w:p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416"/>
        <w:gridCol w:w="1276"/>
        <w:gridCol w:w="992"/>
        <w:gridCol w:w="1276"/>
        <w:gridCol w:w="992"/>
        <w:gridCol w:w="851"/>
        <w:gridCol w:w="850"/>
      </w:tblGrid>
      <w:tr w:rsidR="001B66D2" w:rsidRPr="001B66D2" w:rsidTr="00817F4C">
        <w:trPr>
          <w:trHeight w:val="315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A46CF8" w:rsidRDefault="001B66D2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46CF8" w:rsidRDefault="00817F4C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У</w:t>
            </w:r>
            <w:r w:rsidR="003C6EC6" w:rsidRPr="00A46CF8">
              <w:rPr>
                <w:rFonts w:ascii="Times New Roman" w:hAnsi="Times New Roman"/>
                <w:lang w:eastAsia="ru-RU"/>
              </w:rPr>
              <w:t>твержден</w:t>
            </w:r>
            <w:r w:rsidRPr="00A46CF8">
              <w:rPr>
                <w:rFonts w:ascii="Times New Roman" w:hAnsi="Times New Roman"/>
                <w:lang w:eastAsia="ru-RU"/>
              </w:rPr>
              <w:t>.</w:t>
            </w:r>
            <w:r w:rsidR="003C6EC6" w:rsidRPr="00A46CF8">
              <w:rPr>
                <w:rFonts w:ascii="Times New Roman" w:hAnsi="Times New Roman"/>
                <w:lang w:eastAsia="ru-RU"/>
              </w:rPr>
              <w:t>бюджет</w:t>
            </w:r>
            <w:r w:rsidRPr="00A46CF8">
              <w:rPr>
                <w:rFonts w:ascii="Times New Roman" w:hAnsi="Times New Roman"/>
                <w:lang w:eastAsia="ru-RU"/>
              </w:rPr>
              <w:t xml:space="preserve"> назначения 2020 г</w:t>
            </w:r>
            <w:r w:rsidR="003C6EC6" w:rsidRPr="00A46CF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46CF8" w:rsidRDefault="001B66D2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Проект на 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46CF8" w:rsidRDefault="001B66D2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Динамика</w:t>
            </w:r>
          </w:p>
        </w:tc>
      </w:tr>
      <w:tr w:rsidR="00817F4C" w:rsidRPr="001B66D2" w:rsidTr="00817F4C">
        <w:trPr>
          <w:trHeight w:val="525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(тыс. </w:t>
            </w:r>
            <w:proofErr w:type="spellStart"/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уд. вес.(%)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(тыс. </w:t>
            </w:r>
            <w:proofErr w:type="spellStart"/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уд. вес.(%)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(+ ;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C392D" w:rsidRPr="001B66D2" w:rsidTr="001C392D">
        <w:trPr>
          <w:trHeight w:val="36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A46CF8" w:rsidRDefault="001C392D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 xml:space="preserve">Налоговые доходы, всего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sz w:val="20"/>
              </w:rPr>
            </w:pPr>
            <w:r w:rsidRPr="001C392D">
              <w:rPr>
                <w:rFonts w:ascii="Times New Roman" w:hAnsi="Times New Roman"/>
                <w:sz w:val="20"/>
              </w:rPr>
              <w:t>15451,7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i/>
                <w:iCs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sz w:val="20"/>
              </w:rPr>
            </w:pPr>
            <w:r w:rsidRPr="001C392D">
              <w:rPr>
                <w:rFonts w:ascii="Times New Roman" w:hAnsi="Times New Roman"/>
                <w:sz w:val="20"/>
              </w:rPr>
              <w:t>15741,3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i/>
                <w:iCs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sz w:val="20"/>
              </w:rPr>
            </w:pPr>
            <w:r w:rsidRPr="001C392D">
              <w:rPr>
                <w:rFonts w:ascii="Times New Roman" w:hAnsi="Times New Roman"/>
                <w:sz w:val="20"/>
              </w:rPr>
              <w:t>289,6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i/>
                <w:iCs/>
                <w:sz w:val="20"/>
              </w:rPr>
              <w:t>101,9</w:t>
            </w:r>
          </w:p>
        </w:tc>
      </w:tr>
      <w:tr w:rsidR="001C392D" w:rsidRPr="001B66D2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A46CF8" w:rsidRDefault="001C392D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1C392D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92D" w:rsidRPr="00A46CF8" w:rsidRDefault="001C392D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6950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7103,3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153,3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102,2</w:t>
            </w:r>
          </w:p>
        </w:tc>
      </w:tr>
      <w:tr w:rsidR="001C392D" w:rsidRPr="00817F4C" w:rsidTr="001C392D">
        <w:trPr>
          <w:trHeight w:val="29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A46CF8" w:rsidRDefault="001C392D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 xml:space="preserve">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1330,3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1831,4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501,1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137,7</w:t>
            </w:r>
          </w:p>
        </w:tc>
      </w:tr>
      <w:tr w:rsidR="001C392D" w:rsidRPr="00817F4C" w:rsidTr="001C392D">
        <w:trPr>
          <w:trHeight w:val="368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A46CF8" w:rsidRDefault="001C392D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 xml:space="preserve">Налоги на </w:t>
            </w:r>
            <w:proofErr w:type="spellStart"/>
            <w:r w:rsidRPr="00A46CF8">
              <w:rPr>
                <w:rFonts w:ascii="Times New Roman" w:hAnsi="Times New Roman"/>
                <w:b/>
                <w:lang w:eastAsia="ru-RU"/>
              </w:rPr>
              <w:t>совокуп</w:t>
            </w:r>
            <w:proofErr w:type="spellEnd"/>
            <w:r w:rsidRPr="00A46CF8">
              <w:rPr>
                <w:rFonts w:ascii="Times New Roman" w:hAnsi="Times New Roman"/>
                <w:b/>
                <w:lang w:eastAsia="ru-RU"/>
              </w:rPr>
              <w:t>.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-41,4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42,0</w:t>
            </w:r>
          </w:p>
        </w:tc>
      </w:tr>
      <w:tr w:rsidR="001C392D" w:rsidRPr="00817F4C" w:rsidTr="001C392D">
        <w:trPr>
          <w:trHeight w:val="376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A46CF8" w:rsidRDefault="001C392D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 xml:space="preserve">Налоги на имущество </w:t>
            </w:r>
            <w:proofErr w:type="spellStart"/>
            <w:r w:rsidRPr="00A46CF8">
              <w:rPr>
                <w:rFonts w:ascii="Times New Roman" w:hAnsi="Times New Roman"/>
                <w:b/>
                <w:lang w:eastAsia="ru-RU"/>
              </w:rPr>
              <w:t>физ</w:t>
            </w:r>
            <w:proofErr w:type="spellEnd"/>
            <w:r w:rsidRPr="00A46CF8">
              <w:rPr>
                <w:rFonts w:ascii="Times New Roman" w:hAnsi="Times New Roman"/>
                <w:b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2763,3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102,3</w:t>
            </w:r>
          </w:p>
        </w:tc>
      </w:tr>
      <w:tr w:rsidR="001C392D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A46CF8" w:rsidRDefault="001C392D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2313,3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-386,7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85,7</w:t>
            </w:r>
          </w:p>
        </w:tc>
      </w:tr>
      <w:tr w:rsidR="001C392D" w:rsidRPr="00817F4C" w:rsidTr="001C392D">
        <w:trPr>
          <w:trHeight w:val="342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A46CF8" w:rsidRDefault="001C392D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>Земельный налог  физ.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100,0</w:t>
            </w:r>
          </w:p>
        </w:tc>
      </w:tr>
      <w:tr w:rsidR="001C392D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A46CF8" w:rsidRDefault="001C392D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 w:rsidRPr="001C392D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92D" w:rsidRPr="001C392D" w:rsidRDefault="001C392D" w:rsidP="001C392D">
            <w:pPr>
              <w:pStyle w:val="aa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1C392D">
              <w:rPr>
                <w:rFonts w:ascii="Times New Roman" w:hAnsi="Times New Roman"/>
                <w:b w:val="0"/>
                <w:i/>
                <w:iCs/>
                <w:sz w:val="20"/>
              </w:rPr>
              <w:t>0,0</w:t>
            </w:r>
          </w:p>
        </w:tc>
      </w:tr>
    </w:tbl>
    <w:p w:rsidR="001B66D2" w:rsidRPr="00817F4C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FD333D">
        <w:rPr>
          <w:rFonts w:ascii="Times New Roman" w:hAnsi="Times New Roman" w:cs="Times New Roman"/>
          <w:sz w:val="24"/>
          <w:szCs w:val="24"/>
        </w:rPr>
        <w:t>2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D333D">
        <w:rPr>
          <w:rFonts w:ascii="Times New Roman" w:hAnsi="Times New Roman" w:cs="Times New Roman"/>
          <w:sz w:val="24"/>
          <w:szCs w:val="24"/>
        </w:rPr>
        <w:t>7103,3</w:t>
      </w:r>
      <w:r w:rsidR="00DF50B1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FF5815">
        <w:rPr>
          <w:rFonts w:ascii="Times New Roman" w:hAnsi="Times New Roman" w:cs="Times New Roman"/>
          <w:sz w:val="24"/>
          <w:szCs w:val="24"/>
        </w:rPr>
        <w:t xml:space="preserve">. Прирост к 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 сумме </w:t>
      </w:r>
      <w:r w:rsidR="00931F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</w:t>
      </w:r>
      <w:r w:rsidR="00FD33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F5815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33D">
        <w:rPr>
          <w:rFonts w:ascii="Times New Roman" w:hAnsi="Times New Roman" w:cs="Times New Roman"/>
          <w:sz w:val="24"/>
          <w:szCs w:val="24"/>
        </w:rPr>
        <w:t>153,3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>тыс.руб.,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 xml:space="preserve">или </w:t>
      </w:r>
      <w:r w:rsidR="00FD333D">
        <w:rPr>
          <w:rFonts w:ascii="Times New Roman" w:hAnsi="Times New Roman" w:cs="Times New Roman"/>
          <w:sz w:val="24"/>
          <w:szCs w:val="24"/>
        </w:rPr>
        <w:t>2,2</w:t>
      </w:r>
      <w:r w:rsidR="00931F48">
        <w:rPr>
          <w:rFonts w:ascii="Times New Roman" w:hAnsi="Times New Roman" w:cs="Times New Roman"/>
          <w:sz w:val="24"/>
          <w:szCs w:val="24"/>
        </w:rPr>
        <w:t>%</w:t>
      </w:r>
      <w:r w:rsidR="007336DB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</w:t>
      </w:r>
      <w:r w:rsidR="00DF50B1">
        <w:rPr>
          <w:rFonts w:ascii="Times New Roman" w:hAnsi="Times New Roman" w:cs="Times New Roman"/>
          <w:sz w:val="24"/>
          <w:szCs w:val="24"/>
        </w:rPr>
        <w:t>45,</w:t>
      </w:r>
      <w:r w:rsidR="00FD333D">
        <w:rPr>
          <w:rFonts w:ascii="Times New Roman" w:hAnsi="Times New Roman" w:cs="Times New Roman"/>
          <w:sz w:val="24"/>
          <w:szCs w:val="24"/>
        </w:rPr>
        <w:t>0</w:t>
      </w:r>
      <w:r w:rsidR="00DF50B1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FD333D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D333D">
        <w:rPr>
          <w:rFonts w:ascii="Times New Roman" w:hAnsi="Times New Roman" w:cs="Times New Roman"/>
          <w:sz w:val="24"/>
          <w:szCs w:val="24"/>
        </w:rPr>
        <w:t>1831,4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, что состав</w:t>
      </w:r>
      <w:r w:rsidR="00FF5815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33D">
        <w:rPr>
          <w:rFonts w:ascii="Times New Roman" w:hAnsi="Times New Roman" w:cs="Times New Roman"/>
          <w:sz w:val="24"/>
          <w:szCs w:val="24"/>
        </w:rPr>
        <w:t xml:space="preserve">11,6%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</w:t>
      </w:r>
      <w:r w:rsidR="00FD33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DF50B1">
        <w:rPr>
          <w:rFonts w:ascii="Times New Roman" w:hAnsi="Times New Roman" w:cs="Times New Roman"/>
          <w:sz w:val="24"/>
          <w:szCs w:val="24"/>
        </w:rPr>
        <w:t>1</w:t>
      </w:r>
      <w:r w:rsidR="00FD333D">
        <w:rPr>
          <w:rFonts w:ascii="Times New Roman" w:hAnsi="Times New Roman" w:cs="Times New Roman"/>
          <w:sz w:val="24"/>
          <w:szCs w:val="24"/>
        </w:rPr>
        <w:t>330,3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FD333D">
        <w:rPr>
          <w:rFonts w:ascii="Times New Roman" w:hAnsi="Times New Roman" w:cs="Times New Roman"/>
          <w:sz w:val="24"/>
          <w:szCs w:val="24"/>
        </w:rPr>
        <w:t>501,1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D333D">
        <w:rPr>
          <w:rFonts w:ascii="Times New Roman" w:hAnsi="Times New Roman" w:cs="Times New Roman"/>
          <w:sz w:val="24"/>
          <w:szCs w:val="24"/>
        </w:rPr>
        <w:t>37,7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4" w:rsidRDefault="003C6EC6" w:rsidP="00ED12D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на 202</w:t>
      </w:r>
      <w:r w:rsidR="00FD333D">
        <w:rPr>
          <w:rFonts w:ascii="Times New Roman" w:hAnsi="Times New Roman" w:cs="Times New Roman"/>
          <w:sz w:val="24"/>
          <w:szCs w:val="24"/>
        </w:rPr>
        <w:t>2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ED12D4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D333D">
        <w:rPr>
          <w:rFonts w:ascii="Times New Roman" w:hAnsi="Times New Roman" w:cs="Times New Roman"/>
          <w:sz w:val="24"/>
          <w:szCs w:val="24"/>
        </w:rPr>
        <w:t>3</w:t>
      </w:r>
      <w:r w:rsidR="00DF50B1">
        <w:rPr>
          <w:rFonts w:ascii="Times New Roman" w:hAnsi="Times New Roman" w:cs="Times New Roman"/>
          <w:sz w:val="24"/>
          <w:szCs w:val="24"/>
        </w:rPr>
        <w:t>0,0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D12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F5815">
        <w:rPr>
          <w:rFonts w:ascii="Times New Roman" w:hAnsi="Times New Roman" w:cs="Times New Roman"/>
          <w:sz w:val="24"/>
          <w:szCs w:val="24"/>
        </w:rPr>
        <w:t>0</w:t>
      </w:r>
      <w:r w:rsidR="00ED12D4">
        <w:rPr>
          <w:rFonts w:ascii="Times New Roman" w:hAnsi="Times New Roman" w:cs="Times New Roman"/>
          <w:sz w:val="24"/>
          <w:szCs w:val="24"/>
        </w:rPr>
        <w:t>,</w:t>
      </w:r>
      <w:r w:rsidR="00FD333D">
        <w:rPr>
          <w:rFonts w:ascii="Times New Roman" w:hAnsi="Times New Roman" w:cs="Times New Roman"/>
          <w:sz w:val="24"/>
          <w:szCs w:val="24"/>
        </w:rPr>
        <w:t>2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ED12D4">
        <w:rPr>
          <w:rFonts w:ascii="Times New Roman" w:hAnsi="Times New Roman" w:cs="Times New Roman"/>
          <w:sz w:val="24"/>
          <w:szCs w:val="24"/>
        </w:rPr>
        <w:t>. Снижение   запланированной сумме  202</w:t>
      </w:r>
      <w:r w:rsidR="00FD333D">
        <w:rPr>
          <w:rFonts w:ascii="Times New Roman" w:hAnsi="Times New Roman" w:cs="Times New Roman"/>
          <w:sz w:val="24"/>
          <w:szCs w:val="24"/>
        </w:rPr>
        <w:t>1</w:t>
      </w:r>
      <w:r w:rsidR="00ED12D4">
        <w:rPr>
          <w:rFonts w:ascii="Times New Roman" w:hAnsi="Times New Roman" w:cs="Times New Roman"/>
          <w:sz w:val="24"/>
          <w:szCs w:val="24"/>
        </w:rPr>
        <w:t xml:space="preserve"> года( </w:t>
      </w:r>
      <w:r w:rsidR="00FD333D">
        <w:rPr>
          <w:rFonts w:ascii="Times New Roman" w:hAnsi="Times New Roman" w:cs="Times New Roman"/>
          <w:sz w:val="24"/>
          <w:szCs w:val="24"/>
        </w:rPr>
        <w:t>71,4</w:t>
      </w:r>
      <w:r w:rsidR="00ED12D4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FD333D">
        <w:rPr>
          <w:rFonts w:ascii="Times New Roman" w:hAnsi="Times New Roman" w:cs="Times New Roman"/>
          <w:sz w:val="24"/>
          <w:szCs w:val="24"/>
        </w:rPr>
        <w:t>41,4</w:t>
      </w:r>
      <w:r w:rsidR="00FF5815">
        <w:rPr>
          <w:rFonts w:ascii="Times New Roman" w:hAnsi="Times New Roman" w:cs="Times New Roman"/>
          <w:sz w:val="24"/>
          <w:szCs w:val="24"/>
        </w:rPr>
        <w:t>т</w:t>
      </w:r>
      <w:r w:rsidR="00ED12D4"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 w:rsidR="00ED12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12D4">
        <w:rPr>
          <w:rFonts w:ascii="Times New Roman" w:hAnsi="Times New Roman" w:cs="Times New Roman"/>
          <w:sz w:val="24"/>
          <w:szCs w:val="24"/>
        </w:rPr>
        <w:t xml:space="preserve">, или </w:t>
      </w:r>
      <w:r w:rsidR="00FD333D">
        <w:rPr>
          <w:rFonts w:ascii="Times New Roman" w:hAnsi="Times New Roman" w:cs="Times New Roman"/>
          <w:sz w:val="24"/>
          <w:szCs w:val="24"/>
        </w:rPr>
        <w:t>на 58,0%.</w:t>
      </w:r>
    </w:p>
    <w:p w:rsidR="001D05CC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FF5815">
        <w:rPr>
          <w:rFonts w:ascii="Times New Roman" w:hAnsi="Times New Roman" w:cs="Times New Roman"/>
          <w:b/>
          <w:sz w:val="24"/>
          <w:szCs w:val="24"/>
        </w:rPr>
        <w:t>н</w:t>
      </w:r>
      <w:r w:rsidR="00063062" w:rsidRPr="00FF5815"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FD333D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50B1">
        <w:rPr>
          <w:rFonts w:ascii="Times New Roman" w:hAnsi="Times New Roman" w:cs="Times New Roman"/>
          <w:sz w:val="24"/>
          <w:szCs w:val="24"/>
        </w:rPr>
        <w:t>27</w:t>
      </w:r>
      <w:r w:rsidR="00FD333D">
        <w:rPr>
          <w:rFonts w:ascii="Times New Roman" w:hAnsi="Times New Roman" w:cs="Times New Roman"/>
          <w:sz w:val="24"/>
          <w:szCs w:val="24"/>
        </w:rPr>
        <w:t>63,3</w:t>
      </w:r>
      <w:r w:rsidR="00DF50B1">
        <w:rPr>
          <w:rFonts w:ascii="Times New Roman" w:hAnsi="Times New Roman" w:cs="Times New Roman"/>
          <w:sz w:val="24"/>
          <w:szCs w:val="24"/>
        </w:rPr>
        <w:t xml:space="preserve"> </w:t>
      </w:r>
      <w:r w:rsidR="00F70E47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F50B1">
        <w:rPr>
          <w:rFonts w:ascii="Times New Roman" w:hAnsi="Times New Roman" w:cs="Times New Roman"/>
          <w:sz w:val="24"/>
          <w:szCs w:val="24"/>
        </w:rPr>
        <w:t xml:space="preserve">что </w:t>
      </w:r>
      <w:r w:rsidR="00FD333D">
        <w:rPr>
          <w:rFonts w:ascii="Times New Roman" w:hAnsi="Times New Roman" w:cs="Times New Roman"/>
          <w:sz w:val="24"/>
          <w:szCs w:val="24"/>
        </w:rPr>
        <w:t>на 2,3%</w:t>
      </w:r>
      <w:r w:rsidR="00DF50B1">
        <w:rPr>
          <w:rFonts w:ascii="Times New Roman" w:hAnsi="Times New Roman" w:cs="Times New Roman"/>
          <w:sz w:val="24"/>
          <w:szCs w:val="24"/>
        </w:rPr>
        <w:t xml:space="preserve"> превышает утвержденную на 202</w:t>
      </w:r>
      <w:r w:rsidR="00FD333D">
        <w:rPr>
          <w:rFonts w:ascii="Times New Roman" w:hAnsi="Times New Roman" w:cs="Times New Roman"/>
          <w:sz w:val="24"/>
          <w:szCs w:val="24"/>
        </w:rPr>
        <w:t>1</w:t>
      </w:r>
      <w:r w:rsidR="00DF50B1">
        <w:rPr>
          <w:rFonts w:ascii="Times New Roman" w:hAnsi="Times New Roman" w:cs="Times New Roman"/>
          <w:sz w:val="24"/>
          <w:szCs w:val="24"/>
        </w:rPr>
        <w:t xml:space="preserve"> год сумму налогового поступления.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DF50B1">
        <w:rPr>
          <w:rFonts w:ascii="Times New Roman" w:hAnsi="Times New Roman" w:cs="Times New Roman"/>
          <w:sz w:val="24"/>
          <w:szCs w:val="24"/>
        </w:rPr>
        <w:t>1</w:t>
      </w:r>
      <w:r w:rsidR="007C6B08">
        <w:rPr>
          <w:rFonts w:ascii="Times New Roman" w:hAnsi="Times New Roman" w:cs="Times New Roman"/>
          <w:sz w:val="24"/>
          <w:szCs w:val="24"/>
        </w:rPr>
        <w:t>7,6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</w:t>
      </w:r>
      <w:r w:rsidR="00FD3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C52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FD333D">
        <w:rPr>
          <w:rFonts w:ascii="Times New Roman" w:hAnsi="Times New Roman" w:cs="Times New Roman"/>
          <w:sz w:val="24"/>
          <w:szCs w:val="24"/>
        </w:rPr>
        <w:t>2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01C52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 </w:t>
      </w:r>
      <w:r w:rsidR="00FD333D">
        <w:rPr>
          <w:rFonts w:ascii="Times New Roman" w:hAnsi="Times New Roman" w:cs="Times New Roman"/>
          <w:sz w:val="24"/>
          <w:szCs w:val="24"/>
        </w:rPr>
        <w:t>в сумме  2313,3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 руб</w:t>
      </w:r>
      <w:r w:rsidR="00B01C52">
        <w:rPr>
          <w:rFonts w:ascii="Times New Roman" w:hAnsi="Times New Roman" w:cs="Times New Roman"/>
          <w:sz w:val="24"/>
          <w:szCs w:val="24"/>
        </w:rPr>
        <w:t>.</w:t>
      </w:r>
      <w:r w:rsidR="00FD333D">
        <w:rPr>
          <w:rFonts w:ascii="Times New Roman" w:hAnsi="Times New Roman" w:cs="Times New Roman"/>
          <w:sz w:val="24"/>
          <w:szCs w:val="24"/>
        </w:rPr>
        <w:t>, что составляет 85,7% к уровню 2021 года.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D333D">
        <w:rPr>
          <w:rFonts w:ascii="Times New Roman" w:hAnsi="Times New Roman" w:cs="Times New Roman"/>
          <w:sz w:val="24"/>
          <w:szCs w:val="24"/>
        </w:rPr>
        <w:t>1</w:t>
      </w:r>
      <w:r w:rsidR="007C6B08">
        <w:rPr>
          <w:rFonts w:ascii="Times New Roman" w:hAnsi="Times New Roman" w:cs="Times New Roman"/>
          <w:sz w:val="24"/>
          <w:szCs w:val="24"/>
        </w:rPr>
        <w:t>4,7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7C6B08" w:rsidRDefault="00B01C52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7C6B08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CF64A0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DF50B1">
        <w:rPr>
          <w:rFonts w:ascii="Times New Roman" w:hAnsi="Times New Roman" w:cs="Times New Roman"/>
          <w:sz w:val="24"/>
          <w:szCs w:val="24"/>
        </w:rPr>
        <w:t xml:space="preserve"> на уровне 202</w:t>
      </w:r>
      <w:r w:rsidR="007C6B08">
        <w:rPr>
          <w:rFonts w:ascii="Times New Roman" w:hAnsi="Times New Roman" w:cs="Times New Roman"/>
          <w:sz w:val="24"/>
          <w:szCs w:val="24"/>
        </w:rPr>
        <w:t>1</w:t>
      </w:r>
      <w:r w:rsidR="00DF50B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50B1">
        <w:rPr>
          <w:rFonts w:ascii="Times New Roman" w:hAnsi="Times New Roman" w:cs="Times New Roman"/>
          <w:sz w:val="24"/>
          <w:szCs w:val="24"/>
        </w:rPr>
        <w:t>1700,0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F64A0">
        <w:rPr>
          <w:rFonts w:ascii="Times New Roman" w:hAnsi="Times New Roman" w:cs="Times New Roman"/>
          <w:sz w:val="24"/>
          <w:szCs w:val="24"/>
        </w:rPr>
        <w:t xml:space="preserve">, что составит  </w:t>
      </w:r>
      <w:r w:rsidR="00DF50B1">
        <w:rPr>
          <w:rFonts w:ascii="Times New Roman" w:hAnsi="Times New Roman" w:cs="Times New Roman"/>
          <w:sz w:val="24"/>
          <w:szCs w:val="24"/>
        </w:rPr>
        <w:t>1</w:t>
      </w:r>
      <w:r w:rsidR="007C6B08">
        <w:rPr>
          <w:rFonts w:ascii="Times New Roman" w:hAnsi="Times New Roman" w:cs="Times New Roman"/>
          <w:sz w:val="24"/>
          <w:szCs w:val="24"/>
        </w:rPr>
        <w:t>0,8</w:t>
      </w:r>
      <w:r w:rsidR="00CF64A0">
        <w:rPr>
          <w:rFonts w:ascii="Times New Roman" w:hAnsi="Times New Roman" w:cs="Times New Roman"/>
          <w:sz w:val="24"/>
          <w:szCs w:val="24"/>
        </w:rPr>
        <w:t xml:space="preserve">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CF64A0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F64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64A0" w:rsidRDefault="00CF64A0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CF64A0">
        <w:rPr>
          <w:rFonts w:ascii="Times New Roman" w:hAnsi="Times New Roman" w:cs="Times New Roman"/>
          <w:b/>
          <w:sz w:val="24"/>
          <w:szCs w:val="24"/>
        </w:rPr>
        <w:t>госпошлины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B1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. </w:t>
      </w:r>
    </w:p>
    <w:p w:rsidR="00A502E8" w:rsidRDefault="00FF1BFF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D4">
        <w:rPr>
          <w:rFonts w:ascii="Times New Roman" w:hAnsi="Times New Roman" w:cs="Times New Roman"/>
          <w:b/>
          <w:sz w:val="24"/>
          <w:szCs w:val="24"/>
        </w:rPr>
        <w:t>Н</w:t>
      </w:r>
      <w:r w:rsidR="00ED12D4" w:rsidRPr="00ED12D4">
        <w:rPr>
          <w:rFonts w:ascii="Times New Roman" w:hAnsi="Times New Roman" w:cs="Times New Roman"/>
          <w:b/>
          <w:sz w:val="24"/>
          <w:szCs w:val="24"/>
        </w:rPr>
        <w:t>ен</w:t>
      </w:r>
      <w:r w:rsidR="00BF3190"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алоговые доходы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6B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7C6B08">
        <w:rPr>
          <w:rFonts w:ascii="Times New Roman" w:eastAsia="Times New Roman" w:hAnsi="Times New Roman" w:cs="Times New Roman"/>
          <w:sz w:val="24"/>
          <w:szCs w:val="24"/>
          <w:lang w:eastAsia="ru-RU"/>
        </w:rPr>
        <w:t>1829,0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C6B08">
        <w:rPr>
          <w:rFonts w:ascii="Times New Roman" w:eastAsia="Times New Roman" w:hAnsi="Times New Roman" w:cs="Times New Roman"/>
          <w:sz w:val="24"/>
          <w:szCs w:val="24"/>
          <w:lang w:eastAsia="ru-RU"/>
        </w:rPr>
        <w:t>779,6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C6B08">
        <w:rPr>
          <w:rFonts w:ascii="Times New Roman" w:eastAsia="Times New Roman" w:hAnsi="Times New Roman" w:cs="Times New Roman"/>
          <w:sz w:val="24"/>
          <w:szCs w:val="24"/>
          <w:lang w:eastAsia="ru-RU"/>
        </w:rPr>
        <w:t>29,9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A6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08E" w:rsidRDefault="0081608E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8E" w:rsidRDefault="0081608E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08" w:rsidRDefault="007C6B08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08" w:rsidRDefault="007C6B08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08" w:rsidRDefault="007C6B08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08" w:rsidRDefault="007C6B08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0"/>
        <w:gridCol w:w="992"/>
        <w:gridCol w:w="1134"/>
        <w:gridCol w:w="851"/>
        <w:gridCol w:w="1134"/>
        <w:gridCol w:w="992"/>
        <w:gridCol w:w="850"/>
      </w:tblGrid>
      <w:tr w:rsidR="00A502E8" w:rsidRPr="00A502E8" w:rsidTr="00A502E8">
        <w:trPr>
          <w:trHeight w:val="315"/>
        </w:trPr>
        <w:tc>
          <w:tcPr>
            <w:tcW w:w="3700" w:type="dxa"/>
            <w:vMerge w:val="restart"/>
            <w:shd w:val="clear" w:color="auto" w:fill="auto"/>
            <w:vAlign w:val="bottom"/>
            <w:hideMark/>
          </w:tcPr>
          <w:p w:rsidR="00A502E8" w:rsidRPr="00DD3B00" w:rsidRDefault="007C6B08" w:rsidP="00DD3B00">
            <w:pPr>
              <w:pStyle w:val="aa"/>
            </w:pPr>
            <w:r w:rsidRPr="00DD3B00">
              <w:t>П</w:t>
            </w:r>
            <w:r w:rsidR="00A502E8" w:rsidRPr="00DD3B00">
              <w:t>оказатели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A502E8" w:rsidRPr="00A502E8" w:rsidRDefault="00A502E8" w:rsidP="00DD3B00">
            <w:pPr>
              <w:pStyle w:val="ac"/>
              <w:jc w:val="center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У</w:t>
            </w:r>
            <w:r w:rsidRPr="00A502E8">
              <w:rPr>
                <w:rFonts w:ascii="Times New Roman" w:hAnsi="Times New Roman"/>
                <w:szCs w:val="20"/>
              </w:rPr>
              <w:t>твержд</w:t>
            </w:r>
            <w:r w:rsidRPr="00A502E8">
              <w:rPr>
                <w:rFonts w:ascii="Times New Roman" w:hAnsi="Times New Roman"/>
              </w:rPr>
              <w:t xml:space="preserve">енная </w:t>
            </w:r>
            <w:r w:rsidRPr="00A502E8">
              <w:rPr>
                <w:rFonts w:ascii="Times New Roman" w:hAnsi="Times New Roman"/>
                <w:szCs w:val="20"/>
              </w:rPr>
              <w:t xml:space="preserve"> на 202</w:t>
            </w:r>
            <w:r w:rsidR="00DD3B00">
              <w:rPr>
                <w:rFonts w:ascii="Times New Roman" w:hAnsi="Times New Roman"/>
                <w:szCs w:val="20"/>
              </w:rPr>
              <w:t>1</w:t>
            </w:r>
            <w:r w:rsidRPr="00A502E8">
              <w:rPr>
                <w:rFonts w:ascii="Times New Roman" w:hAnsi="Times New Roman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center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Проект на  202</w:t>
            </w:r>
            <w:r w:rsidR="00DD3B00">
              <w:rPr>
                <w:rFonts w:ascii="Times New Roman" w:hAnsi="Times New Roman"/>
                <w:szCs w:val="20"/>
              </w:rPr>
              <w:t>2</w:t>
            </w:r>
            <w:r w:rsidRPr="00A502E8">
              <w:rPr>
                <w:rFonts w:ascii="Times New Roman" w:hAnsi="Times New Roman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A502E8" w:rsidRDefault="00A502E8" w:rsidP="00A502E8">
            <w:pPr>
              <w:pStyle w:val="ac"/>
              <w:jc w:val="center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Динамика</w:t>
            </w:r>
          </w:p>
          <w:p w:rsidR="00DD3B00" w:rsidRPr="00A502E8" w:rsidRDefault="00DD3B00" w:rsidP="00A502E8">
            <w:pPr>
              <w:pStyle w:val="ac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502E8" w:rsidRPr="00A502E8" w:rsidTr="00A502E8">
        <w:trPr>
          <w:trHeight w:val="525"/>
        </w:trPr>
        <w:tc>
          <w:tcPr>
            <w:tcW w:w="3700" w:type="dxa"/>
            <w:vMerge/>
            <w:vAlign w:val="center"/>
            <w:hideMark/>
          </w:tcPr>
          <w:p w:rsidR="00A502E8" w:rsidRPr="00DD3B00" w:rsidRDefault="00A502E8" w:rsidP="00A502E8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DD3B00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С</w:t>
            </w:r>
            <w:r w:rsidR="00A502E8" w:rsidRPr="00A502E8">
              <w:rPr>
                <w:rFonts w:ascii="Times New Roman" w:hAnsi="Times New Roman"/>
                <w:szCs w:val="20"/>
              </w:rPr>
              <w:t>умма</w:t>
            </w:r>
            <w:r>
              <w:rPr>
                <w:rFonts w:ascii="Times New Roman" w:hAnsi="Times New Roman"/>
                <w:szCs w:val="20"/>
              </w:rPr>
              <w:t xml:space="preserve"> (т.р.)</w:t>
            </w:r>
          </w:p>
        </w:tc>
        <w:tc>
          <w:tcPr>
            <w:tcW w:w="1134" w:type="dxa"/>
            <w:shd w:val="clear" w:color="auto" w:fill="auto"/>
            <w:hideMark/>
          </w:tcPr>
          <w:p w:rsidR="00A502E8" w:rsidRPr="00A502E8" w:rsidRDefault="00A502E8" w:rsidP="00DD3B00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удельный вес</w:t>
            </w:r>
            <w:r w:rsidR="00DD3B00">
              <w:rPr>
                <w:rFonts w:ascii="Times New Roman" w:hAnsi="Times New Roman"/>
                <w:szCs w:val="20"/>
              </w:rPr>
              <w:t>(</w:t>
            </w:r>
            <w:r w:rsidRPr="00A502E8">
              <w:rPr>
                <w:rFonts w:ascii="Times New Roman" w:hAnsi="Times New Roman"/>
                <w:szCs w:val="20"/>
              </w:rPr>
              <w:t xml:space="preserve"> %</w:t>
            </w:r>
            <w:r w:rsidR="00DD3B00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DD3B00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Сумма</w:t>
            </w:r>
            <w:r>
              <w:rPr>
                <w:rFonts w:ascii="Times New Roman" w:hAnsi="Times New Roman"/>
                <w:szCs w:val="20"/>
              </w:rPr>
              <w:t xml:space="preserve"> (т.р.)</w:t>
            </w:r>
          </w:p>
        </w:tc>
        <w:tc>
          <w:tcPr>
            <w:tcW w:w="1134" w:type="dxa"/>
            <w:shd w:val="clear" w:color="auto" w:fill="auto"/>
            <w:hideMark/>
          </w:tcPr>
          <w:p w:rsidR="00A502E8" w:rsidRPr="00A502E8" w:rsidRDefault="00A502E8" w:rsidP="00DD3B00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удельный вес</w:t>
            </w:r>
            <w:r w:rsidR="00DD3B00">
              <w:rPr>
                <w:rFonts w:ascii="Times New Roman" w:hAnsi="Times New Roman"/>
                <w:szCs w:val="20"/>
              </w:rPr>
              <w:t>(</w:t>
            </w:r>
            <w:r w:rsidRPr="00A502E8">
              <w:rPr>
                <w:rFonts w:ascii="Times New Roman" w:hAnsi="Times New Roman"/>
                <w:szCs w:val="20"/>
              </w:rPr>
              <w:t xml:space="preserve"> %</w:t>
            </w:r>
            <w:r w:rsidR="00DD3B00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(+ ; -)</w:t>
            </w:r>
          </w:p>
          <w:p w:rsidR="00DD3B00" w:rsidRPr="00A502E8" w:rsidRDefault="00DD3B00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%</w:t>
            </w:r>
          </w:p>
        </w:tc>
      </w:tr>
      <w:tr w:rsidR="007C6B08" w:rsidRPr="00A502E8" w:rsidTr="00DD3B0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3B00">
              <w:rPr>
                <w:rFonts w:ascii="Times New Roman" w:hAnsi="Times New Roman"/>
                <w:b/>
                <w:sz w:val="24"/>
                <w:szCs w:val="24"/>
              </w:rPr>
              <w:t xml:space="preserve">Неналоговые доходы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DD3B00" w:rsidRDefault="007C6B08" w:rsidP="00DD3B0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B0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2608,6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DD3B00" w:rsidRDefault="007C6B08" w:rsidP="00DD3B0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B0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7C6B08" w:rsidRPr="00DD3B00" w:rsidRDefault="007C6B08" w:rsidP="00DD3B0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B0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1829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DD3B00" w:rsidRDefault="007C6B08" w:rsidP="00DD3B0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B0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7C6B08" w:rsidRPr="00DD3B00" w:rsidRDefault="007C6B08" w:rsidP="00DD3B0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D3B00">
              <w:rPr>
                <w:rFonts w:ascii="Times New Roman" w:hAnsi="Times New Roman" w:cs="Times New Roman"/>
                <w:b/>
                <w:color w:val="000000"/>
                <w:szCs w:val="20"/>
              </w:rPr>
              <w:t>-779,6</w:t>
            </w:r>
          </w:p>
        </w:tc>
        <w:tc>
          <w:tcPr>
            <w:tcW w:w="850" w:type="dxa"/>
            <w:shd w:val="clear" w:color="auto" w:fill="auto"/>
            <w:hideMark/>
          </w:tcPr>
          <w:p w:rsidR="007C6B08" w:rsidRPr="00DD3B00" w:rsidRDefault="007C6B08" w:rsidP="00DD3B0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D3B00">
              <w:rPr>
                <w:rFonts w:ascii="Times New Roman" w:hAnsi="Times New Roman" w:cs="Times New Roman"/>
                <w:b/>
                <w:color w:val="000000"/>
                <w:szCs w:val="20"/>
              </w:rPr>
              <w:t>-70,1</w:t>
            </w:r>
          </w:p>
        </w:tc>
      </w:tr>
      <w:tr w:rsidR="007C6B08" w:rsidRPr="00A502E8" w:rsidTr="00DD3B00">
        <w:trPr>
          <w:trHeight w:val="279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B0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6B08" w:rsidRPr="00A502E8" w:rsidTr="00DD3B00">
        <w:trPr>
          <w:trHeight w:val="457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B00">
              <w:rPr>
                <w:rFonts w:ascii="Times New Roman" w:hAnsi="Times New Roman"/>
                <w:sz w:val="24"/>
                <w:szCs w:val="24"/>
              </w:rPr>
              <w:t>Доходы от арендной платы за земли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851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992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  <w:szCs w:val="20"/>
              </w:rPr>
              <w:t>-295</w:t>
            </w:r>
          </w:p>
        </w:tc>
        <w:tc>
          <w:tcPr>
            <w:tcW w:w="850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  <w:szCs w:val="20"/>
              </w:rPr>
              <w:t>-50,8</w:t>
            </w:r>
          </w:p>
        </w:tc>
      </w:tr>
      <w:tr w:rsidR="007C6B08" w:rsidRPr="00A502E8" w:rsidTr="00DD3B00">
        <w:trPr>
          <w:trHeight w:val="540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B0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851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308,8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992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50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-102,9</w:t>
            </w:r>
          </w:p>
        </w:tc>
      </w:tr>
      <w:tr w:rsidR="007C6B08" w:rsidRPr="00A502E8" w:rsidTr="00DD3B00">
        <w:trPr>
          <w:trHeight w:val="571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B00">
              <w:rPr>
                <w:rFonts w:ascii="Times New Roman" w:hAnsi="Times New Roman"/>
                <w:sz w:val="24"/>
                <w:szCs w:val="24"/>
              </w:rPr>
              <w:t>Доходы от прибыли унитарных предприятий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B08" w:rsidRPr="00A502E8" w:rsidTr="00DD3B00">
        <w:trPr>
          <w:trHeight w:val="551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B00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 ( плата за наем)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851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992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-20</w:t>
            </w:r>
          </w:p>
        </w:tc>
        <w:tc>
          <w:tcPr>
            <w:tcW w:w="850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-96,5</w:t>
            </w:r>
          </w:p>
        </w:tc>
      </w:tr>
      <w:tr w:rsidR="007C6B08" w:rsidRPr="00A502E8" w:rsidTr="00DD3B00">
        <w:trPr>
          <w:trHeight w:val="701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B00">
              <w:rPr>
                <w:rFonts w:ascii="Times New Roman" w:hAnsi="Times New Roman"/>
                <w:sz w:val="24"/>
                <w:szCs w:val="24"/>
              </w:rPr>
              <w:t>Административные платежи и сборы, штрафы, санкции, возмещение ущерба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B08" w:rsidRPr="00A502E8" w:rsidTr="00DD3B00">
        <w:trPr>
          <w:trHeight w:val="457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B00">
              <w:rPr>
                <w:rFonts w:ascii="Times New Roman" w:hAnsi="Times New Roman"/>
                <w:sz w:val="24"/>
                <w:szCs w:val="24"/>
              </w:rPr>
              <w:t>Доходы от платных услуг, компенсация затрат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992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850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-115,2</w:t>
            </w:r>
          </w:p>
        </w:tc>
      </w:tr>
      <w:tr w:rsidR="007C6B08" w:rsidRPr="00A502E8" w:rsidTr="00DD3B00">
        <w:trPr>
          <w:trHeight w:val="465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B00">
              <w:rPr>
                <w:rFonts w:ascii="Times New Roman" w:hAnsi="Times New Roman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1038,6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851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992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-488,6</w:t>
            </w:r>
          </w:p>
        </w:tc>
        <w:tc>
          <w:tcPr>
            <w:tcW w:w="850" w:type="dxa"/>
            <w:shd w:val="clear" w:color="auto" w:fill="auto"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-53,0</w:t>
            </w:r>
          </w:p>
        </w:tc>
      </w:tr>
      <w:tr w:rsidR="007C6B08" w:rsidRPr="00A502E8" w:rsidTr="00DD3B00">
        <w:trPr>
          <w:trHeight w:val="203"/>
        </w:trPr>
        <w:tc>
          <w:tcPr>
            <w:tcW w:w="3700" w:type="dxa"/>
            <w:shd w:val="clear" w:color="auto" w:fill="auto"/>
            <w:hideMark/>
          </w:tcPr>
          <w:p w:rsidR="007C6B08" w:rsidRPr="00DD3B00" w:rsidRDefault="007C6B08" w:rsidP="00DD3B0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B0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C6B08" w:rsidRPr="007C6B08" w:rsidRDefault="007C6B08" w:rsidP="00DD3B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B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A502E8" w:rsidRDefault="00A502E8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FF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E369C" w:rsidRDefault="004E369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арендная плата за земли-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305,0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A502E8" w:rsidRDefault="00EC4E41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 сдачи в аренду  имущества, находящегося в оперативном  управлении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A502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BFF" w:rsidRDefault="00570B73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использования имущества ( плата за наем)- 5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B73" w:rsidRDefault="00570B73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платных услуг и компенсация затрат -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115,2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570B73" w:rsidRDefault="00570B73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продажи материальных  активов-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550,0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70B73" w:rsidRDefault="00570B73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неналоговых доходов не  включены доходы от перечисления части прибыли  </w:t>
      </w:r>
      <w:proofErr w:type="spellStart"/>
      <w:r w:rsidRPr="0057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МУПа</w:t>
      </w:r>
      <w:proofErr w:type="spellEnd"/>
      <w:r w:rsidRPr="0057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F3190" w:rsidRPr="00CE37C2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Доля неналоговых доходов в доходах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10,4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5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  <w:r w:rsidR="005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%-</w:t>
      </w:r>
      <w:proofErr w:type="spellStart"/>
      <w:r w:rsidR="005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5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ниже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202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77F28" w:rsidRDefault="00BF3190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4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53694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19993,3тыс.р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ублей,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21,8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показателей 202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77F28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202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3667,1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8,3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показателю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202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в сумме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3660,3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99,8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увеличится на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%-</w:t>
      </w:r>
      <w:proofErr w:type="spellStart"/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DD3B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E0558">
        <w:rPr>
          <w:rFonts w:ascii="Times New Roman" w:eastAsia="Times New Roman" w:hAnsi="Times New Roman" w:cs="Times New Roman"/>
          <w:sz w:val="24"/>
          <w:szCs w:val="24"/>
          <w:lang w:eastAsia="ru-RU"/>
        </w:rPr>
        <w:t>53,2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514641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581FA1"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F53694"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9744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Ибресинского района Чувашской Республики на 202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, и  направлена на созд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269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F269CF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Объем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</w:t>
      </w: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расходов на </w:t>
      </w:r>
      <w:r w:rsidR="00F922DD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</w:t>
      </w:r>
      <w:r w:rsidR="00F269CF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 по сравнению с показателями </w:t>
      </w:r>
      <w:r w:rsidR="00F922DD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</w:t>
      </w:r>
      <w:r w:rsidR="00DD3C67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F269CF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 у</w:t>
      </w:r>
      <w:r w:rsidR="00376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меньшатся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 </w:t>
      </w:r>
      <w:r w:rsidR="00514641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15380,5</w:t>
      </w:r>
      <w:r w:rsidR="00E42A9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</w:t>
      </w: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ыс. рублей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или на </w:t>
      </w:r>
      <w:r w:rsidR="00514641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36,8</w:t>
      </w:r>
      <w:r w:rsidR="00376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% ,и 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составят </w:t>
      </w:r>
      <w:r w:rsidR="00514641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26418,9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тыс. руб.  На</w:t>
      </w:r>
      <w:r w:rsidR="00E07A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F922DD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</w:t>
      </w:r>
      <w:r w:rsidR="00DD3C67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год, по сравнению с </w:t>
      </w:r>
      <w:r w:rsidR="00F922DD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</w:t>
      </w:r>
      <w:r w:rsidR="00DD3C67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годом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прогнозируется </w:t>
      </w:r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</w:t>
      </w:r>
      <w:r w:rsidR="00514641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величение ра</w:t>
      </w:r>
      <w:r w:rsidR="00426DA9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сходов 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 </w:t>
      </w:r>
      <w:r w:rsidR="00514641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E42A9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,0</w:t>
      </w:r>
      <w:r w:rsidR="00376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</w:t>
      </w:r>
      <w:r w:rsidR="00E42A9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14641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до</w:t>
      </w:r>
      <w:r w:rsidR="00426DA9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14641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26954,2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тыс. руб.  На</w:t>
      </w:r>
      <w:r w:rsidR="00E07A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F922DD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</w:t>
      </w:r>
      <w:r w:rsidR="0082282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="00E07A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год, по сравнению с </w:t>
      </w:r>
      <w:r w:rsidR="00F922DD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</w:t>
      </w:r>
      <w:r w:rsidR="0082282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E07A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годом </w:t>
      </w:r>
      <w:r w:rsidR="0008398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="00426DA9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14641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также планируется увеличение  </w:t>
      </w:r>
      <w:r w:rsidR="00E42A9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расход</w:t>
      </w:r>
      <w:r w:rsidR="00514641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ов до 27510,8 тыс. руб. , или на  0,2</w:t>
      </w:r>
      <w:r w:rsidR="00822823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% .</w:t>
      </w:r>
    </w:p>
    <w:p w:rsidR="0074252B" w:rsidRDefault="0081608E" w:rsidP="0081608E">
      <w:pPr>
        <w:tabs>
          <w:tab w:val="left" w:pos="13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</w:t>
      </w:r>
      <w:r w:rsidR="0064243A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руктура</w:t>
      </w:r>
      <w:proofErr w:type="spellEnd"/>
      <w:r w:rsidR="0064243A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0335E2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расходов</w:t>
      </w:r>
      <w:r w:rsidR="00BF3190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бюджета </w:t>
      </w:r>
      <w:r w:rsidR="003A282E" w:rsidRPr="00F2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Ибресинского городского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по разделам классификации расходов характеризуется следующими данными: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B3" w:rsidRDefault="008B7DB3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1019"/>
        <w:gridCol w:w="851"/>
        <w:gridCol w:w="1089"/>
        <w:gridCol w:w="895"/>
        <w:gridCol w:w="993"/>
        <w:gridCol w:w="992"/>
      </w:tblGrid>
      <w:tr w:rsidR="00763880" w:rsidRPr="00763880" w:rsidTr="00445522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2020 год (решен </w:t>
            </w:r>
            <w:r w:rsidR="009F632B"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бюджет), тыс. руб.</w:t>
            </w:r>
          </w:p>
        </w:tc>
        <w:tc>
          <w:tcPr>
            <w:tcW w:w="58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Проект бюджета на:</w:t>
            </w:r>
          </w:p>
        </w:tc>
      </w:tr>
      <w:tr w:rsidR="00763880" w:rsidRPr="00763880" w:rsidTr="00445522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763880" w:rsidRPr="00763880" w:rsidTr="00445522">
        <w:trPr>
          <w:trHeight w:val="65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445522" w:rsidRDefault="00763880" w:rsidP="00E42A9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522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445522" w:rsidRDefault="009F632B" w:rsidP="00E42A9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522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445522" w:rsidRDefault="00763880" w:rsidP="00E42A9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522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445522" w:rsidRDefault="009F632B" w:rsidP="00E42A9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522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445522" w:rsidRDefault="00763880" w:rsidP="00E42A9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522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445522" w:rsidRDefault="009F632B" w:rsidP="00E42A9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522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</w:tr>
      <w:tr w:rsidR="00445522" w:rsidRPr="00763880" w:rsidTr="00445522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38337,6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37563,6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21569,5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21368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</w:tr>
      <w:tr w:rsidR="00445522" w:rsidRPr="00763880" w:rsidTr="00445522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57,4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445522" w:rsidRPr="00763880" w:rsidTr="00445522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5864,9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5069,3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5057,3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4765,9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22,3</w:t>
            </w:r>
          </w:p>
        </w:tc>
      </w:tr>
      <w:tr w:rsidR="00445522" w:rsidRPr="00763880" w:rsidTr="00445522">
        <w:trPr>
          <w:trHeight w:val="15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11386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99,8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445522" w:rsidRPr="00763880" w:rsidTr="00445522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4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</w:tr>
      <w:tr w:rsidR="00445522" w:rsidRPr="00763880" w:rsidTr="00445522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11386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>
              <w:rPr>
                <w:rFonts w:ascii="Times New Roman" w:hAnsi="Times New Roman"/>
                <w:b w:val="0"/>
                <w:i/>
                <w:iCs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>
              <w:rPr>
                <w:rFonts w:ascii="Times New Roman" w:hAnsi="Times New Roman"/>
                <w:b w:val="0"/>
                <w:i/>
                <w:iCs/>
                <w:sz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>
              <w:rPr>
                <w:rFonts w:ascii="Times New Roman" w:hAnsi="Times New Roman"/>
                <w:b w:val="0"/>
                <w:i/>
                <w:i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445522" w:rsidRPr="00763880" w:rsidTr="00445522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4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177,5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</w:tr>
      <w:tr w:rsidR="00445522" w:rsidRPr="00763880" w:rsidTr="00445522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11386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445522" w:rsidRPr="00763880" w:rsidTr="00445522">
        <w:trPr>
          <w:trHeight w:val="3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4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7128,1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6672,2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6616,7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6440,7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30,1</w:t>
            </w:r>
          </w:p>
        </w:tc>
      </w:tr>
      <w:tr w:rsidR="00445522" w:rsidRPr="00763880" w:rsidTr="00445522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11386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445522" w:rsidRPr="00763880" w:rsidTr="00445522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23173,8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24374,2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64,9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8050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8053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37,7</w:t>
            </w:r>
          </w:p>
        </w:tc>
      </w:tr>
      <w:tr w:rsidR="00445522" w:rsidRPr="00763880" w:rsidTr="0044552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11386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33,0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445522" w:rsidRPr="00763880" w:rsidTr="00445522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779,7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832,9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832,9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832,9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3,9</w:t>
            </w:r>
          </w:p>
        </w:tc>
      </w:tr>
      <w:tr w:rsidR="00445522" w:rsidRPr="00763880" w:rsidTr="0044552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11386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445522" w:rsidRPr="00763880" w:rsidTr="00445522">
        <w:trPr>
          <w:trHeight w:val="37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88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1113,5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>
              <w:rPr>
                <w:rFonts w:ascii="Times New Roman" w:hAnsi="Times New Roman"/>
                <w:b w:val="0"/>
                <w:i/>
                <w:iCs/>
                <w:sz w:val="20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>
              <w:rPr>
                <w:rFonts w:ascii="Times New Roman" w:hAnsi="Times New Roman"/>
                <w:b w:val="0"/>
                <w:i/>
                <w:iCs/>
                <w:sz w:val="20"/>
              </w:rPr>
              <w:t>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290,0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>
              <w:rPr>
                <w:rFonts w:ascii="Times New Roman" w:hAnsi="Times New Roman"/>
                <w:b w:val="0"/>
                <w:i/>
                <w:iCs/>
                <w:sz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>
              <w:rPr>
                <w:rFonts w:ascii="Times New Roman" w:hAnsi="Times New Roman"/>
                <w:b w:val="0"/>
                <w:i/>
                <w:iCs/>
                <w:sz w:val="20"/>
              </w:rPr>
              <w:t>1,4</w:t>
            </w:r>
          </w:p>
        </w:tc>
      </w:tr>
      <w:tr w:rsidR="00445522" w:rsidRPr="00763880" w:rsidTr="0044552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11386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445522" w:rsidRPr="00763880" w:rsidTr="0044552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4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F5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0,5</w:t>
            </w:r>
          </w:p>
        </w:tc>
      </w:tr>
      <w:tr w:rsidR="00445522" w:rsidRPr="00763880" w:rsidTr="00445522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11386" w:rsidRDefault="00445522" w:rsidP="00F53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F5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  <w:tr w:rsidR="00445522" w:rsidRPr="00763880" w:rsidTr="00445522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63880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447,6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445522">
              <w:rPr>
                <w:rFonts w:ascii="Times New Roman" w:hAnsi="Times New Roman"/>
                <w:b w:val="0"/>
                <w:sz w:val="20"/>
              </w:rPr>
              <w:t>4,1</w:t>
            </w:r>
          </w:p>
        </w:tc>
      </w:tr>
      <w:tr w:rsidR="00445522" w:rsidRPr="00763880" w:rsidTr="0044552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711386" w:rsidRDefault="00445522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9F632B" w:rsidRDefault="00445522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522" w:rsidRPr="00445522" w:rsidRDefault="00445522" w:rsidP="00445522">
            <w:pPr>
              <w:pStyle w:val="aa"/>
              <w:jc w:val="right"/>
              <w:rPr>
                <w:rFonts w:ascii="Times New Roman" w:hAnsi="Times New Roman"/>
                <w:b w:val="0"/>
                <w:i/>
                <w:iCs/>
                <w:sz w:val="20"/>
              </w:rPr>
            </w:pPr>
            <w:r w:rsidRPr="00445522">
              <w:rPr>
                <w:rFonts w:ascii="Times New Roman" w:hAnsi="Times New Roman"/>
                <w:b w:val="0"/>
                <w:i/>
                <w:iCs/>
                <w:sz w:val="20"/>
              </w:rPr>
              <w:t> </w:t>
            </w:r>
          </w:p>
        </w:tc>
      </w:tr>
    </w:tbl>
    <w:p w:rsidR="00BF319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меньшится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5340,4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планируется с уменьшением на 10,8 %  и составят 4764,4 тыс. руб. </w:t>
      </w:r>
      <w:r w:rsid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уменьшением на 0,1 % до 4759,2 тыс. руб. </w:t>
      </w:r>
    </w:p>
    <w:p w:rsidR="00E0393A" w:rsidRDefault="00BF3190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20,2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Pr="00E0393A" w:rsidRDefault="008B68CD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D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2E54B9">
        <w:rPr>
          <w:rFonts w:ascii="Times New Roman" w:hAnsi="Times New Roman" w:cs="Times New Roman"/>
          <w:b/>
          <w:sz w:val="24"/>
          <w:szCs w:val="24"/>
        </w:rPr>
        <w:t>п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 w:rsidRPr="002E54B9">
        <w:rPr>
          <w:rFonts w:ascii="Times New Roman" w:hAnsi="Times New Roman" w:cs="Times New Roman"/>
          <w:b/>
          <w:sz w:val="24"/>
          <w:szCs w:val="24"/>
        </w:rPr>
        <w:t>у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«Функционирование Правительства Российской Федерации</w:t>
      </w:r>
      <w:r w:rsidRPr="008B68CD">
        <w:rPr>
          <w:rFonts w:ascii="Times New Roman" w:eastAsia="Calibri" w:hAnsi="Times New Roman" w:cs="Times New Roman"/>
          <w:sz w:val="24"/>
          <w:szCs w:val="24"/>
        </w:rPr>
        <w:t>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-2023 годы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r w:rsidR="00E03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565">
        <w:rPr>
          <w:rFonts w:ascii="Times New Roman" w:eastAsia="Calibri" w:hAnsi="Times New Roman" w:cs="Times New Roman"/>
          <w:sz w:val="24"/>
          <w:szCs w:val="24"/>
        </w:rPr>
        <w:t>3373,0</w:t>
      </w:r>
      <w:r w:rsidR="00E0393A" w:rsidRPr="00E0393A">
        <w:rPr>
          <w:rFonts w:ascii="Times New Roman" w:hAnsi="Times New Roman" w:cs="Times New Roman"/>
          <w:sz w:val="24"/>
          <w:szCs w:val="24"/>
        </w:rPr>
        <w:t xml:space="preserve"> тыс</w:t>
      </w:r>
      <w:r w:rsidR="00E0393A">
        <w:rPr>
          <w:rFonts w:ascii="Times New Roman" w:hAnsi="Times New Roman" w:cs="Times New Roman"/>
          <w:sz w:val="24"/>
          <w:szCs w:val="24"/>
        </w:rPr>
        <w:t>. руб.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66">
        <w:rPr>
          <w:rFonts w:ascii="Times New Roman" w:hAnsi="Times New Roman" w:cs="Times New Roman"/>
          <w:b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D35565">
        <w:rPr>
          <w:rFonts w:ascii="Times New Roman" w:eastAsia="Calibri" w:hAnsi="Times New Roman" w:cs="Times New Roman"/>
          <w:sz w:val="24"/>
          <w:szCs w:val="24"/>
        </w:rPr>
        <w:t>90,0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Default="007B15C1" w:rsidP="00D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</w:t>
      </w:r>
      <w:r w:rsidR="00D35565">
        <w:rPr>
          <w:rFonts w:ascii="Times New Roman" w:eastAsia="Calibri" w:hAnsi="Times New Roman" w:cs="Times New Roman"/>
          <w:sz w:val="24"/>
          <w:szCs w:val="24"/>
        </w:rPr>
        <w:t>и " Развитие имущественных и земельных отношений". Н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а содержание административно-хозяйственного персонала  на 2021 год </w:t>
      </w:r>
      <w:r w:rsidR="00D35565">
        <w:rPr>
          <w:rFonts w:ascii="Times New Roman" w:eastAsia="Calibri" w:hAnsi="Times New Roman" w:cs="Times New Roman"/>
          <w:sz w:val="24"/>
          <w:szCs w:val="24"/>
        </w:rPr>
        <w:t>предусматривается ассигнования в сумме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565">
        <w:rPr>
          <w:rFonts w:ascii="Times New Roman" w:eastAsia="Calibri" w:hAnsi="Times New Roman" w:cs="Times New Roman"/>
          <w:sz w:val="24"/>
          <w:szCs w:val="24"/>
        </w:rPr>
        <w:t>855,9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E54B9">
        <w:rPr>
          <w:rFonts w:ascii="Times New Roman" w:eastAsia="Calibri" w:hAnsi="Times New Roman" w:cs="Times New Roman"/>
          <w:sz w:val="24"/>
          <w:szCs w:val="24"/>
        </w:rPr>
        <w:t>.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предусматриваются средства</w:t>
      </w:r>
      <w:r w:rsidR="00FE4FA6">
        <w:rPr>
          <w:rFonts w:ascii="Times New Roman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35565">
        <w:rPr>
          <w:rFonts w:ascii="Times New Roman" w:eastAsia="Calibri" w:hAnsi="Times New Roman" w:cs="Times New Roman"/>
          <w:sz w:val="24"/>
          <w:szCs w:val="24"/>
        </w:rPr>
        <w:t>21,0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565" w:rsidRDefault="00D35565" w:rsidP="00D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Расходы на проведение кадастровых работ составят 300,0 тыс. руб. На выполнение полномочий  по техническом учету, инвентаризации и   определение кадастровой стоимости  объектов предусматриваются 200,0 тыс. руб. На вовлечение в хозяйственный оборот  объектов муниципальной казны </w:t>
      </w:r>
      <w:r w:rsidR="008D51B7">
        <w:rPr>
          <w:rFonts w:ascii="Times New Roman" w:eastAsia="Calibri" w:hAnsi="Times New Roman" w:cs="Times New Roman"/>
          <w:sz w:val="24"/>
          <w:szCs w:val="24"/>
        </w:rPr>
        <w:t xml:space="preserve"> на 2021 год выделяются 475,0 тыс. руб. </w:t>
      </w:r>
    </w:p>
    <w:p w:rsidR="00E671BB" w:rsidRDefault="00E671BB" w:rsidP="00AA32E3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Расходы бюджета по  разделу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</w:t>
      </w:r>
      <w:r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2021 год  планируются с уменьшением к утвержденной  на 2020 год  величине расходов на 11,2 %  и составят 45365,7 тыс. руб. На 2022 год прогнозируются  с приростом на 12,8 % в сумме 6050,1 тыс. руб.  В 2023 году расходы увеличатся еще на 4,12 % и составят 6295,7 тыс. руб. </w:t>
      </w:r>
    </w:p>
    <w:p w:rsidR="00E671BB" w:rsidRDefault="00E671BB" w:rsidP="00E6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Удельный вес расходов  по разделу в 2021 году составят 20,3 % .</w:t>
      </w:r>
    </w:p>
    <w:p w:rsidR="00E671BB" w:rsidRDefault="00E671BB" w:rsidP="00E6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B7" w:rsidRDefault="00E671BB" w:rsidP="00E6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8D5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"</w:t>
      </w:r>
      <w:r w:rsidR="00856432"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</w:t>
      </w:r>
      <w:r w:rsidR="000924A0" w:rsidRPr="000924A0">
        <w:rPr>
          <w:rFonts w:ascii="Times New Roman" w:eastAsia="Calibri" w:hAnsi="Times New Roman" w:cs="Times New Roman"/>
          <w:sz w:val="24"/>
          <w:szCs w:val="24"/>
        </w:rPr>
        <w:t>»</w:t>
      </w:r>
      <w:r w:rsidR="008D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составят </w:t>
      </w:r>
      <w:r w:rsidR="008D51B7">
        <w:rPr>
          <w:rFonts w:ascii="Times New Roman" w:eastAsia="Times New Roman" w:hAnsi="Times New Roman" w:cs="Times New Roman"/>
          <w:sz w:val="24"/>
          <w:szCs w:val="24"/>
          <w:lang w:eastAsia="ru-RU"/>
        </w:rPr>
        <w:t>5030,5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BF3190" w:rsidRDefault="008D51B7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программе " Содействие занятости населения"  в планируемом году составят 250,0 тыс. руб.</w:t>
      </w:r>
    </w:p>
    <w:p w:rsidR="008D51B7" w:rsidRDefault="008D51B7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программе " Развитие сельского хозяйства" в 2021 году составят 85,2 тыс. руб. </w:t>
      </w:r>
    </w:p>
    <w:p w:rsidR="00AA32E3" w:rsidRDefault="00BF3190" w:rsidP="00AA32E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D4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14186,1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уровню 202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27969,8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AA32E3" w:rsidRDefault="00344437" w:rsidP="00AA32E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14325,1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14182,1 тыс. руб. соответственно.</w:t>
      </w:r>
    </w:p>
    <w:p w:rsidR="00AA32E3" w:rsidRDefault="00136E68" w:rsidP="00AA32E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E68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 муниципальн</w:t>
      </w:r>
      <w:r w:rsidR="00AA32E3">
        <w:rPr>
          <w:rFonts w:ascii="Times New Roman" w:hAnsi="Times New Roman" w:cs="Times New Roman"/>
          <w:sz w:val="24"/>
          <w:szCs w:val="24"/>
        </w:rPr>
        <w:t>ых</w:t>
      </w:r>
      <w:r w:rsidRPr="00136E68">
        <w:rPr>
          <w:rFonts w:ascii="Times New Roman" w:hAnsi="Times New Roman" w:cs="Times New Roman"/>
          <w:sz w:val="24"/>
          <w:szCs w:val="24"/>
        </w:rPr>
        <w:t xml:space="preserve"> программ "Модернизация и развитие сферы жилищно-коммунального </w:t>
      </w:r>
      <w:r w:rsidR="00BA0E35">
        <w:rPr>
          <w:rFonts w:ascii="Times New Roman" w:hAnsi="Times New Roman" w:cs="Times New Roman"/>
          <w:sz w:val="24"/>
          <w:szCs w:val="24"/>
        </w:rPr>
        <w:t>хозяйства</w:t>
      </w:r>
      <w:r w:rsidR="00AA32E3">
        <w:rPr>
          <w:rFonts w:ascii="Times New Roman" w:hAnsi="Times New Roman" w:cs="Times New Roman"/>
          <w:sz w:val="24"/>
          <w:szCs w:val="24"/>
        </w:rPr>
        <w:t>" и " Формирование современной городской среды"</w:t>
      </w:r>
      <w:r w:rsidR="00BA0E35">
        <w:rPr>
          <w:rFonts w:ascii="Times New Roman" w:hAnsi="Times New Roman" w:cs="Times New Roman"/>
          <w:sz w:val="24"/>
          <w:szCs w:val="24"/>
        </w:rPr>
        <w:t>.</w:t>
      </w:r>
      <w:r w:rsidR="00AA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90" w:rsidRPr="00F11F4A" w:rsidRDefault="00BA0E35" w:rsidP="00AA32E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53,7 %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61B" w:rsidRDefault="00BF3190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</w:t>
      </w:r>
      <w:r w:rsidR="00194A9E">
        <w:rPr>
          <w:rFonts w:ascii="Times New Roman" w:hAnsi="Times New Roman" w:cs="Times New Roman"/>
          <w:sz w:val="24"/>
          <w:szCs w:val="24"/>
        </w:rPr>
        <w:t>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AA32E3">
        <w:rPr>
          <w:rFonts w:ascii="Times New Roman" w:hAnsi="Times New Roman" w:cs="Times New Roman"/>
          <w:sz w:val="24"/>
          <w:szCs w:val="24"/>
        </w:rPr>
        <w:t>773,7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AA32E3">
        <w:rPr>
          <w:rFonts w:ascii="Times New Roman" w:hAnsi="Times New Roman" w:cs="Times New Roman"/>
          <w:sz w:val="24"/>
          <w:szCs w:val="24"/>
        </w:rPr>
        <w:t>776,3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с</w:t>
      </w:r>
      <w:r w:rsidR="00AA32E3">
        <w:rPr>
          <w:rFonts w:ascii="Times New Roman" w:hAnsi="Times New Roman" w:cs="Times New Roman"/>
          <w:sz w:val="24"/>
          <w:szCs w:val="24"/>
        </w:rPr>
        <w:t>о-снижением</w:t>
      </w:r>
      <w:proofErr w:type="spellEnd"/>
      <w:r w:rsidR="00AA32E3">
        <w:rPr>
          <w:rFonts w:ascii="Times New Roman" w:hAnsi="Times New Roman" w:cs="Times New Roman"/>
          <w:sz w:val="24"/>
          <w:szCs w:val="24"/>
        </w:rPr>
        <w:t xml:space="preserve"> </w:t>
      </w:r>
      <w:r w:rsidR="00D44556">
        <w:rPr>
          <w:rFonts w:ascii="Times New Roman" w:hAnsi="Times New Roman" w:cs="Times New Roman"/>
          <w:sz w:val="24"/>
          <w:szCs w:val="24"/>
        </w:rPr>
        <w:t xml:space="preserve"> на 0,</w:t>
      </w:r>
      <w:r w:rsidR="00AA32E3">
        <w:rPr>
          <w:rFonts w:ascii="Times New Roman" w:hAnsi="Times New Roman" w:cs="Times New Roman"/>
          <w:sz w:val="24"/>
          <w:szCs w:val="24"/>
        </w:rPr>
        <w:t>3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%</w:t>
      </w:r>
      <w:r w:rsidR="00AA32E3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17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сумма выделяемых средств  состав</w:t>
      </w:r>
      <w:r w:rsidR="00194A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C5F85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="004102BF">
        <w:rPr>
          <w:rFonts w:ascii="Times New Roman" w:hAnsi="Times New Roman" w:cs="Times New Roman"/>
          <w:sz w:val="24"/>
          <w:szCs w:val="24"/>
        </w:rPr>
        <w:t>773,7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BF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102BF">
        <w:rPr>
          <w:rFonts w:ascii="Times New Roman" w:hAnsi="Times New Roman" w:cs="Times New Roman"/>
          <w:sz w:val="24"/>
          <w:szCs w:val="24"/>
        </w:rPr>
        <w:t>2,9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2BF" w:rsidRDefault="00D441AE" w:rsidP="0081608E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2BF" w:rsidRPr="00775C47">
        <w:rPr>
          <w:rFonts w:ascii="Times New Roman" w:hAnsi="Times New Roman" w:cs="Times New Roman"/>
          <w:sz w:val="24"/>
          <w:szCs w:val="24"/>
        </w:rPr>
        <w:t xml:space="preserve">Бюджетные ассигнования по </w:t>
      </w:r>
      <w:r w:rsidR="004102BF" w:rsidRPr="00362D4D">
        <w:rPr>
          <w:rFonts w:ascii="Times New Roman" w:hAnsi="Times New Roman" w:cs="Times New Roman"/>
          <w:b/>
          <w:sz w:val="24"/>
          <w:szCs w:val="24"/>
        </w:rPr>
        <w:t>разделу</w:t>
      </w:r>
      <w:r w:rsidR="004102BF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4102BF" w:rsidRPr="00775C47">
        <w:rPr>
          <w:rFonts w:ascii="Times New Roman" w:hAnsi="Times New Roman" w:cs="Times New Roman"/>
          <w:b/>
          <w:sz w:val="24"/>
          <w:szCs w:val="24"/>
        </w:rPr>
        <w:t xml:space="preserve"> «Социальная политика»</w:t>
      </w:r>
      <w:r w:rsidR="00410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2BF" w:rsidRPr="00775C47">
        <w:rPr>
          <w:rFonts w:ascii="Times New Roman" w:hAnsi="Times New Roman" w:cs="Times New Roman"/>
          <w:sz w:val="24"/>
          <w:szCs w:val="24"/>
        </w:rPr>
        <w:t xml:space="preserve">предусмотрены на реализацию </w:t>
      </w:r>
      <w:r w:rsidR="004102BF">
        <w:rPr>
          <w:rFonts w:ascii="Times New Roman" w:hAnsi="Times New Roman" w:cs="Times New Roman"/>
          <w:sz w:val="24"/>
          <w:szCs w:val="24"/>
        </w:rPr>
        <w:t>следующих программ:</w:t>
      </w:r>
    </w:p>
    <w:p w:rsidR="004102BF" w:rsidRPr="00775C47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775C47">
        <w:rPr>
          <w:rFonts w:ascii="Times New Roman" w:hAnsi="Times New Roman" w:cs="Times New Roman"/>
          <w:sz w:val="24"/>
          <w:szCs w:val="24"/>
        </w:rPr>
        <w:t>муниципальной программы "Социальная поддержка граждан" на выплату муниципальной пенсии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Pr="00775C4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3,0</w:t>
      </w:r>
      <w:r w:rsidRPr="00775C4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C4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83,0</w:t>
      </w:r>
      <w:r w:rsidRPr="00775C47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– 8</w:t>
      </w:r>
      <w:r>
        <w:rPr>
          <w:rFonts w:ascii="Times New Roman" w:hAnsi="Times New Roman" w:cs="Times New Roman"/>
          <w:sz w:val="24"/>
          <w:szCs w:val="24"/>
        </w:rPr>
        <w:t>3,0</w:t>
      </w:r>
      <w:r w:rsidRPr="00775C4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02BF" w:rsidRPr="002C4FC1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775C47">
        <w:rPr>
          <w:rFonts w:ascii="Times New Roman" w:hAnsi="Times New Roman" w:cs="Times New Roman"/>
          <w:sz w:val="24"/>
          <w:szCs w:val="24"/>
        </w:rPr>
        <w:t>муниципальной программы "Обеспечение граждан в Чувашской Республике доступным и комфортным жильем" на обеспечение жильем молодых семей 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предусматриваются бюджетные ассигнования в сумме </w:t>
      </w:r>
      <w:r w:rsidRPr="0077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5C47">
        <w:rPr>
          <w:rFonts w:ascii="Times New Roman" w:hAnsi="Times New Roman" w:cs="Times New Roman"/>
          <w:sz w:val="24"/>
          <w:szCs w:val="24"/>
        </w:rPr>
        <w:t>00,0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C4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C47">
        <w:rPr>
          <w:rFonts w:ascii="Times New Roman" w:hAnsi="Times New Roman" w:cs="Times New Roman"/>
          <w:sz w:val="24"/>
          <w:szCs w:val="24"/>
        </w:rPr>
        <w:t>00,0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C47">
        <w:rPr>
          <w:rFonts w:ascii="Times New Roman" w:hAnsi="Times New Roman" w:cs="Times New Roman"/>
          <w:sz w:val="24"/>
          <w:szCs w:val="24"/>
        </w:rPr>
        <w:t>00,0 тыс. рублей</w:t>
      </w:r>
      <w:r w:rsidRPr="002C4FC1">
        <w:t>.</w:t>
      </w:r>
    </w:p>
    <w:p w:rsidR="004102BF" w:rsidRPr="00302AEE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выделяемых бюджетных ассигнований по разделу "Социальная политика"  на 2021 год составит 683,0 тыс. руб. , что составляет 87,4 % к запланированному уровню 2020 года . </w:t>
      </w:r>
    </w:p>
    <w:p w:rsidR="004102BF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 2022 и  2023 годов   предусматривается выделение средств  по 583,0 тыс. руб. ежегодно.</w:t>
      </w:r>
    </w:p>
    <w:p w:rsidR="004102BF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2021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2,6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561B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2,2%,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561B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2,1 %.</w:t>
      </w:r>
    </w:p>
    <w:p w:rsidR="004102BF" w:rsidRDefault="004102BF" w:rsidP="004102BF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4D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2268FC">
        <w:rPr>
          <w:rFonts w:ascii="Times New Roman" w:hAnsi="Times New Roman" w:cs="Times New Roman"/>
          <w:b/>
          <w:sz w:val="24"/>
          <w:szCs w:val="24"/>
        </w:rPr>
        <w:t>11 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Pr="00362D4D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муниципальной программы "Развитие физической культуры и спорта" на проведение спортивных мероприятий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4D">
        <w:rPr>
          <w:rFonts w:ascii="Times New Roman" w:hAnsi="Times New Roman" w:cs="Times New Roman"/>
          <w:sz w:val="24"/>
          <w:szCs w:val="24"/>
        </w:rPr>
        <w:t>70,0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2BF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 утвержденным бюджетным назначением  20</w:t>
      </w:r>
      <w:r w:rsidR="005B22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 </w:t>
      </w:r>
      <w:r w:rsidR="005B2284">
        <w:rPr>
          <w:rFonts w:ascii="Times New Roman" w:hAnsi="Times New Roman" w:cs="Times New Roman"/>
          <w:sz w:val="24"/>
          <w:szCs w:val="24"/>
        </w:rPr>
        <w:t>403,6</w:t>
      </w:r>
      <w:r>
        <w:rPr>
          <w:rFonts w:ascii="Times New Roman" w:hAnsi="Times New Roman" w:cs="Times New Roman"/>
          <w:sz w:val="24"/>
          <w:szCs w:val="24"/>
        </w:rPr>
        <w:t xml:space="preserve"> тыс. руб.) расходы в  202</w:t>
      </w:r>
      <w:r w:rsidR="005B22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  уменьшатся в </w:t>
      </w:r>
      <w:r w:rsidR="005B2284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4102BF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0,3</w:t>
      </w:r>
      <w:r w:rsidRPr="0040561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D441A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439,6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907,1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58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</w:t>
      </w:r>
      <w:r w:rsid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35" w:rsidRPr="00F7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67" w:rsidRDefault="0078713E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767" w:rsidRDefault="00A81767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26418,9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26954,2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27510,8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23A9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33057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26418,9 </w:t>
      </w:r>
      <w:r w:rsidR="00171414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2022 год –26954,2 тыс. рублей, на 2023 год –27510,8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>439,6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>9369,7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81767" w:rsidRDefault="00BF3190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0B72ED" w:rsidRDefault="00615956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D0" w:rsidRDefault="00215BD0" w:rsidP="00B1668B">
      <w:pPr>
        <w:spacing w:after="0" w:line="240" w:lineRule="auto"/>
      </w:pPr>
      <w:r>
        <w:separator/>
      </w:r>
    </w:p>
  </w:endnote>
  <w:endnote w:type="continuationSeparator" w:id="0">
    <w:p w:rsidR="00215BD0" w:rsidRDefault="00215BD0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D0" w:rsidRDefault="00215BD0" w:rsidP="00B1668B">
      <w:pPr>
        <w:spacing w:after="0" w:line="240" w:lineRule="auto"/>
      </w:pPr>
      <w:r>
        <w:separator/>
      </w:r>
    </w:p>
  </w:footnote>
  <w:footnote w:type="continuationSeparator" w:id="0">
    <w:p w:rsidR="00215BD0" w:rsidRDefault="00215BD0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28CE"/>
    <w:rsid w:val="00007985"/>
    <w:rsid w:val="00023A9C"/>
    <w:rsid w:val="0002451D"/>
    <w:rsid w:val="00032AAB"/>
    <w:rsid w:val="000335E2"/>
    <w:rsid w:val="00036767"/>
    <w:rsid w:val="0004144C"/>
    <w:rsid w:val="00042891"/>
    <w:rsid w:val="00042F22"/>
    <w:rsid w:val="00043B58"/>
    <w:rsid w:val="00055C89"/>
    <w:rsid w:val="000565CF"/>
    <w:rsid w:val="00063062"/>
    <w:rsid w:val="00070853"/>
    <w:rsid w:val="00070C59"/>
    <w:rsid w:val="00076064"/>
    <w:rsid w:val="00082CC8"/>
    <w:rsid w:val="00083983"/>
    <w:rsid w:val="000924A0"/>
    <w:rsid w:val="00093D75"/>
    <w:rsid w:val="000C1F1C"/>
    <w:rsid w:val="000C4EEB"/>
    <w:rsid w:val="000C773C"/>
    <w:rsid w:val="000D6F88"/>
    <w:rsid w:val="000E4AF7"/>
    <w:rsid w:val="00104BC5"/>
    <w:rsid w:val="00115C3C"/>
    <w:rsid w:val="001166E5"/>
    <w:rsid w:val="00123F68"/>
    <w:rsid w:val="00136E68"/>
    <w:rsid w:val="00140681"/>
    <w:rsid w:val="00140F45"/>
    <w:rsid w:val="001510D3"/>
    <w:rsid w:val="0015765C"/>
    <w:rsid w:val="00162E87"/>
    <w:rsid w:val="00171414"/>
    <w:rsid w:val="0017386E"/>
    <w:rsid w:val="001816CA"/>
    <w:rsid w:val="001842CA"/>
    <w:rsid w:val="001860B2"/>
    <w:rsid w:val="00194A9E"/>
    <w:rsid w:val="001A0E23"/>
    <w:rsid w:val="001A2095"/>
    <w:rsid w:val="001B66D2"/>
    <w:rsid w:val="001C392D"/>
    <w:rsid w:val="001D05CC"/>
    <w:rsid w:val="00200405"/>
    <w:rsid w:val="00204BDB"/>
    <w:rsid w:val="00215BD0"/>
    <w:rsid w:val="00223448"/>
    <w:rsid w:val="0023175C"/>
    <w:rsid w:val="00242130"/>
    <w:rsid w:val="00264233"/>
    <w:rsid w:val="00264EEE"/>
    <w:rsid w:val="002654BF"/>
    <w:rsid w:val="00274939"/>
    <w:rsid w:val="00291152"/>
    <w:rsid w:val="00294399"/>
    <w:rsid w:val="002A0CF7"/>
    <w:rsid w:val="002B181E"/>
    <w:rsid w:val="002B41C3"/>
    <w:rsid w:val="002B4369"/>
    <w:rsid w:val="002B4D95"/>
    <w:rsid w:val="002C0229"/>
    <w:rsid w:val="002C5B93"/>
    <w:rsid w:val="002C7A96"/>
    <w:rsid w:val="002D12DD"/>
    <w:rsid w:val="002D7C4B"/>
    <w:rsid w:val="002E54B9"/>
    <w:rsid w:val="002F6DC9"/>
    <w:rsid w:val="002F7421"/>
    <w:rsid w:val="0031438A"/>
    <w:rsid w:val="00320806"/>
    <w:rsid w:val="00321189"/>
    <w:rsid w:val="0032598E"/>
    <w:rsid w:val="0032605B"/>
    <w:rsid w:val="00337962"/>
    <w:rsid w:val="003415A0"/>
    <w:rsid w:val="00344437"/>
    <w:rsid w:val="003511AA"/>
    <w:rsid w:val="003561FB"/>
    <w:rsid w:val="0035748D"/>
    <w:rsid w:val="00360E0D"/>
    <w:rsid w:val="003742BF"/>
    <w:rsid w:val="0037526F"/>
    <w:rsid w:val="00376983"/>
    <w:rsid w:val="0037772C"/>
    <w:rsid w:val="003804B9"/>
    <w:rsid w:val="00381A08"/>
    <w:rsid w:val="00391901"/>
    <w:rsid w:val="003979FD"/>
    <w:rsid w:val="003A037C"/>
    <w:rsid w:val="003A282E"/>
    <w:rsid w:val="003A70FD"/>
    <w:rsid w:val="003C29F6"/>
    <w:rsid w:val="003C2E26"/>
    <w:rsid w:val="003C5F85"/>
    <w:rsid w:val="003C6EC6"/>
    <w:rsid w:val="003D6647"/>
    <w:rsid w:val="003E3B2D"/>
    <w:rsid w:val="003F0895"/>
    <w:rsid w:val="0040561B"/>
    <w:rsid w:val="004102BF"/>
    <w:rsid w:val="00416004"/>
    <w:rsid w:val="004219FB"/>
    <w:rsid w:val="00422E59"/>
    <w:rsid w:val="00426DA9"/>
    <w:rsid w:val="00427294"/>
    <w:rsid w:val="00431153"/>
    <w:rsid w:val="00441CAB"/>
    <w:rsid w:val="00445522"/>
    <w:rsid w:val="004527FD"/>
    <w:rsid w:val="00460203"/>
    <w:rsid w:val="004626D9"/>
    <w:rsid w:val="0046690E"/>
    <w:rsid w:val="00467B69"/>
    <w:rsid w:val="004767A0"/>
    <w:rsid w:val="00483522"/>
    <w:rsid w:val="00484C36"/>
    <w:rsid w:val="00497C3A"/>
    <w:rsid w:val="004B13AD"/>
    <w:rsid w:val="004B6BAB"/>
    <w:rsid w:val="004C2BAB"/>
    <w:rsid w:val="004C39AC"/>
    <w:rsid w:val="004D26BF"/>
    <w:rsid w:val="004D42CF"/>
    <w:rsid w:val="004E0DDC"/>
    <w:rsid w:val="004E369C"/>
    <w:rsid w:val="004E5AAC"/>
    <w:rsid w:val="004E5E15"/>
    <w:rsid w:val="004E7214"/>
    <w:rsid w:val="004F04C9"/>
    <w:rsid w:val="004F4F3F"/>
    <w:rsid w:val="0050100A"/>
    <w:rsid w:val="00511C71"/>
    <w:rsid w:val="00514641"/>
    <w:rsid w:val="00515ACA"/>
    <w:rsid w:val="00516353"/>
    <w:rsid w:val="00527566"/>
    <w:rsid w:val="00540DA7"/>
    <w:rsid w:val="00541875"/>
    <w:rsid w:val="00552389"/>
    <w:rsid w:val="005616B8"/>
    <w:rsid w:val="00561F32"/>
    <w:rsid w:val="00564C6F"/>
    <w:rsid w:val="0056759C"/>
    <w:rsid w:val="005706E6"/>
    <w:rsid w:val="00570B73"/>
    <w:rsid w:val="00574AF1"/>
    <w:rsid w:val="0057598C"/>
    <w:rsid w:val="00581EFB"/>
    <w:rsid w:val="00581FA1"/>
    <w:rsid w:val="0058255D"/>
    <w:rsid w:val="005A25BE"/>
    <w:rsid w:val="005A6013"/>
    <w:rsid w:val="005B2284"/>
    <w:rsid w:val="005B47AF"/>
    <w:rsid w:val="005C08DF"/>
    <w:rsid w:val="005C23E6"/>
    <w:rsid w:val="005C3245"/>
    <w:rsid w:val="005C6270"/>
    <w:rsid w:val="005D2674"/>
    <w:rsid w:val="005E1E5C"/>
    <w:rsid w:val="005E39AC"/>
    <w:rsid w:val="00611401"/>
    <w:rsid w:val="00615956"/>
    <w:rsid w:val="00623E25"/>
    <w:rsid w:val="00630C6D"/>
    <w:rsid w:val="00634331"/>
    <w:rsid w:val="00635885"/>
    <w:rsid w:val="00636616"/>
    <w:rsid w:val="0064243A"/>
    <w:rsid w:val="00654E10"/>
    <w:rsid w:val="00655474"/>
    <w:rsid w:val="00655DFD"/>
    <w:rsid w:val="00656D9D"/>
    <w:rsid w:val="0066250E"/>
    <w:rsid w:val="0066359D"/>
    <w:rsid w:val="00666B58"/>
    <w:rsid w:val="00681006"/>
    <w:rsid w:val="00691CFC"/>
    <w:rsid w:val="00692FE0"/>
    <w:rsid w:val="006A6478"/>
    <w:rsid w:val="006C0A64"/>
    <w:rsid w:val="006C1974"/>
    <w:rsid w:val="006D21E0"/>
    <w:rsid w:val="006E100B"/>
    <w:rsid w:val="006E2AA9"/>
    <w:rsid w:val="006E2AFA"/>
    <w:rsid w:val="007046A9"/>
    <w:rsid w:val="00710704"/>
    <w:rsid w:val="00711386"/>
    <w:rsid w:val="007139F1"/>
    <w:rsid w:val="007150BE"/>
    <w:rsid w:val="0072039F"/>
    <w:rsid w:val="0072217C"/>
    <w:rsid w:val="00722BB5"/>
    <w:rsid w:val="007269CC"/>
    <w:rsid w:val="007336DB"/>
    <w:rsid w:val="0073597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A14C0"/>
    <w:rsid w:val="007A25F0"/>
    <w:rsid w:val="007A40C5"/>
    <w:rsid w:val="007B15C1"/>
    <w:rsid w:val="007B6FDC"/>
    <w:rsid w:val="007C0ADF"/>
    <w:rsid w:val="007C6219"/>
    <w:rsid w:val="007C6B08"/>
    <w:rsid w:val="007D18B1"/>
    <w:rsid w:val="007D45BD"/>
    <w:rsid w:val="007E4C78"/>
    <w:rsid w:val="007E5A2D"/>
    <w:rsid w:val="00801008"/>
    <w:rsid w:val="008073F4"/>
    <w:rsid w:val="0081608E"/>
    <w:rsid w:val="00817E68"/>
    <w:rsid w:val="00817F4C"/>
    <w:rsid w:val="00821923"/>
    <w:rsid w:val="00822823"/>
    <w:rsid w:val="00823A96"/>
    <w:rsid w:val="0082558C"/>
    <w:rsid w:val="00830982"/>
    <w:rsid w:val="00845D4A"/>
    <w:rsid w:val="00850A9B"/>
    <w:rsid w:val="00856432"/>
    <w:rsid w:val="00865A7D"/>
    <w:rsid w:val="00866E6F"/>
    <w:rsid w:val="00870D48"/>
    <w:rsid w:val="0088098D"/>
    <w:rsid w:val="00884F0E"/>
    <w:rsid w:val="008943FC"/>
    <w:rsid w:val="008A77E8"/>
    <w:rsid w:val="008B07F6"/>
    <w:rsid w:val="008B68CD"/>
    <w:rsid w:val="008B7DB3"/>
    <w:rsid w:val="008D51B7"/>
    <w:rsid w:val="008E2A20"/>
    <w:rsid w:val="008E4478"/>
    <w:rsid w:val="008E68E8"/>
    <w:rsid w:val="008E7A75"/>
    <w:rsid w:val="0090775D"/>
    <w:rsid w:val="00923EB8"/>
    <w:rsid w:val="00931E42"/>
    <w:rsid w:val="00931F48"/>
    <w:rsid w:val="00942B4C"/>
    <w:rsid w:val="00943DBA"/>
    <w:rsid w:val="00951B74"/>
    <w:rsid w:val="00951D39"/>
    <w:rsid w:val="00960813"/>
    <w:rsid w:val="009618D3"/>
    <w:rsid w:val="0096786B"/>
    <w:rsid w:val="00970E23"/>
    <w:rsid w:val="00972069"/>
    <w:rsid w:val="009744DC"/>
    <w:rsid w:val="00977F28"/>
    <w:rsid w:val="009A1C28"/>
    <w:rsid w:val="009A37FF"/>
    <w:rsid w:val="009A6166"/>
    <w:rsid w:val="009B52E0"/>
    <w:rsid w:val="009C1BCC"/>
    <w:rsid w:val="009C2909"/>
    <w:rsid w:val="009C31B1"/>
    <w:rsid w:val="009F632B"/>
    <w:rsid w:val="00A03BE3"/>
    <w:rsid w:val="00A057DF"/>
    <w:rsid w:val="00A175B4"/>
    <w:rsid w:val="00A2030D"/>
    <w:rsid w:val="00A21A82"/>
    <w:rsid w:val="00A2545E"/>
    <w:rsid w:val="00A37E9F"/>
    <w:rsid w:val="00A46CF8"/>
    <w:rsid w:val="00A502E8"/>
    <w:rsid w:val="00A71BC0"/>
    <w:rsid w:val="00A724EA"/>
    <w:rsid w:val="00A7669F"/>
    <w:rsid w:val="00A76A58"/>
    <w:rsid w:val="00A81767"/>
    <w:rsid w:val="00A927AD"/>
    <w:rsid w:val="00A94595"/>
    <w:rsid w:val="00AA32E3"/>
    <w:rsid w:val="00AB0938"/>
    <w:rsid w:val="00AB31CF"/>
    <w:rsid w:val="00AC14C3"/>
    <w:rsid w:val="00AC7A02"/>
    <w:rsid w:val="00AE25DC"/>
    <w:rsid w:val="00AF42CD"/>
    <w:rsid w:val="00AF6677"/>
    <w:rsid w:val="00B00383"/>
    <w:rsid w:val="00B01C52"/>
    <w:rsid w:val="00B06073"/>
    <w:rsid w:val="00B0689B"/>
    <w:rsid w:val="00B07C1F"/>
    <w:rsid w:val="00B1668B"/>
    <w:rsid w:val="00B232C0"/>
    <w:rsid w:val="00B353D7"/>
    <w:rsid w:val="00B357C3"/>
    <w:rsid w:val="00B40153"/>
    <w:rsid w:val="00B43D19"/>
    <w:rsid w:val="00B70983"/>
    <w:rsid w:val="00B73202"/>
    <w:rsid w:val="00B7334C"/>
    <w:rsid w:val="00B76DE9"/>
    <w:rsid w:val="00B853CD"/>
    <w:rsid w:val="00BA0E35"/>
    <w:rsid w:val="00BA6727"/>
    <w:rsid w:val="00BB0874"/>
    <w:rsid w:val="00BB3DF8"/>
    <w:rsid w:val="00BC7E0F"/>
    <w:rsid w:val="00BF3190"/>
    <w:rsid w:val="00C20DC6"/>
    <w:rsid w:val="00C21EA4"/>
    <w:rsid w:val="00C22157"/>
    <w:rsid w:val="00C474FB"/>
    <w:rsid w:val="00C543B0"/>
    <w:rsid w:val="00C56C50"/>
    <w:rsid w:val="00C641CF"/>
    <w:rsid w:val="00C67806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CF64A0"/>
    <w:rsid w:val="00D02E89"/>
    <w:rsid w:val="00D07636"/>
    <w:rsid w:val="00D118EA"/>
    <w:rsid w:val="00D137F0"/>
    <w:rsid w:val="00D15021"/>
    <w:rsid w:val="00D170C1"/>
    <w:rsid w:val="00D174B9"/>
    <w:rsid w:val="00D2127C"/>
    <w:rsid w:val="00D35565"/>
    <w:rsid w:val="00D36D61"/>
    <w:rsid w:val="00D417B1"/>
    <w:rsid w:val="00D42DD7"/>
    <w:rsid w:val="00D43508"/>
    <w:rsid w:val="00D441AE"/>
    <w:rsid w:val="00D44556"/>
    <w:rsid w:val="00D5479C"/>
    <w:rsid w:val="00D54B45"/>
    <w:rsid w:val="00D63A98"/>
    <w:rsid w:val="00D76A4C"/>
    <w:rsid w:val="00D778E7"/>
    <w:rsid w:val="00D8044A"/>
    <w:rsid w:val="00D83FE8"/>
    <w:rsid w:val="00D844CF"/>
    <w:rsid w:val="00D87DF5"/>
    <w:rsid w:val="00D97B82"/>
    <w:rsid w:val="00DA730C"/>
    <w:rsid w:val="00DC41CB"/>
    <w:rsid w:val="00DD3B00"/>
    <w:rsid w:val="00DD3C67"/>
    <w:rsid w:val="00DE14CC"/>
    <w:rsid w:val="00DF50B1"/>
    <w:rsid w:val="00E00749"/>
    <w:rsid w:val="00E02E32"/>
    <w:rsid w:val="00E0393A"/>
    <w:rsid w:val="00E07A83"/>
    <w:rsid w:val="00E10833"/>
    <w:rsid w:val="00E13A6A"/>
    <w:rsid w:val="00E14A0A"/>
    <w:rsid w:val="00E33644"/>
    <w:rsid w:val="00E34EAE"/>
    <w:rsid w:val="00E42A93"/>
    <w:rsid w:val="00E47499"/>
    <w:rsid w:val="00E62C64"/>
    <w:rsid w:val="00E671BB"/>
    <w:rsid w:val="00E70FCC"/>
    <w:rsid w:val="00E75B60"/>
    <w:rsid w:val="00E76557"/>
    <w:rsid w:val="00E82256"/>
    <w:rsid w:val="00E96867"/>
    <w:rsid w:val="00EB7DCC"/>
    <w:rsid w:val="00EC4E41"/>
    <w:rsid w:val="00ED12D4"/>
    <w:rsid w:val="00EE0558"/>
    <w:rsid w:val="00EE5D07"/>
    <w:rsid w:val="00EE7689"/>
    <w:rsid w:val="00EF2D4C"/>
    <w:rsid w:val="00EF5A01"/>
    <w:rsid w:val="00F13994"/>
    <w:rsid w:val="00F1775F"/>
    <w:rsid w:val="00F26320"/>
    <w:rsid w:val="00F269CF"/>
    <w:rsid w:val="00F27429"/>
    <w:rsid w:val="00F2746C"/>
    <w:rsid w:val="00F33057"/>
    <w:rsid w:val="00F521EE"/>
    <w:rsid w:val="00F53390"/>
    <w:rsid w:val="00F53694"/>
    <w:rsid w:val="00F543F4"/>
    <w:rsid w:val="00F63343"/>
    <w:rsid w:val="00F656FC"/>
    <w:rsid w:val="00F67F03"/>
    <w:rsid w:val="00F70B0A"/>
    <w:rsid w:val="00F70E47"/>
    <w:rsid w:val="00F75E35"/>
    <w:rsid w:val="00F76924"/>
    <w:rsid w:val="00F8591E"/>
    <w:rsid w:val="00F922DD"/>
    <w:rsid w:val="00F93FE6"/>
    <w:rsid w:val="00F948EB"/>
    <w:rsid w:val="00F96A6D"/>
    <w:rsid w:val="00FA6DE8"/>
    <w:rsid w:val="00FA722E"/>
    <w:rsid w:val="00FB34BA"/>
    <w:rsid w:val="00FD333D"/>
    <w:rsid w:val="00FD4981"/>
    <w:rsid w:val="00FE04AE"/>
    <w:rsid w:val="00FE4FA6"/>
    <w:rsid w:val="00FE6B44"/>
    <w:rsid w:val="00FF1BFF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99BC-4282-496D-B3E9-FB39F0B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5</cp:revision>
  <cp:lastPrinted>2021-12-02T11:12:00Z</cp:lastPrinted>
  <dcterms:created xsi:type="dcterms:W3CDTF">2020-12-07T13:29:00Z</dcterms:created>
  <dcterms:modified xsi:type="dcterms:W3CDTF">2021-12-02T12:42:00Z</dcterms:modified>
</cp:coreProperties>
</file>