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9A" w:rsidRPr="00585A9A" w:rsidRDefault="00BD2E18" w:rsidP="00585A9A">
      <w:pPr>
        <w:pStyle w:val="a3"/>
        <w:ind w:firstLine="301"/>
        <w:contextualSpacing/>
        <w:jc w:val="both"/>
        <w:rPr>
          <w:color w:val="000000"/>
          <w:sz w:val="28"/>
          <w:szCs w:val="28"/>
        </w:rPr>
      </w:pPr>
      <w:r>
        <w:rPr>
          <w:color w:val="000000"/>
          <w:sz w:val="28"/>
          <w:szCs w:val="28"/>
        </w:rPr>
        <w:t>С 1 января 2021 года вступили</w:t>
      </w:r>
      <w:bookmarkStart w:id="0" w:name="_GoBack"/>
      <w:bookmarkEnd w:id="0"/>
      <w:r w:rsidR="00585A9A" w:rsidRPr="00585A9A">
        <w:rPr>
          <w:color w:val="000000"/>
          <w:sz w:val="28"/>
          <w:szCs w:val="28"/>
        </w:rPr>
        <w:t xml:space="preserve"> в силу новые </w:t>
      </w:r>
      <w:hyperlink r:id="rId5" w:history="1">
        <w:r w:rsidR="00585A9A" w:rsidRPr="00585A9A">
          <w:rPr>
            <w:rStyle w:val="a5"/>
            <w:color w:val="5367FD"/>
            <w:sz w:val="28"/>
            <w:szCs w:val="28"/>
            <w:u w:val="single"/>
          </w:rPr>
          <w:t>правила</w:t>
        </w:r>
      </w:hyperlink>
      <w:r w:rsidR="00585A9A" w:rsidRPr="00585A9A">
        <w:rPr>
          <w:color w:val="000000"/>
          <w:sz w:val="28"/>
          <w:szCs w:val="28"/>
        </w:rPr>
        <w:t> противопожарного режима в Российской Федерации.</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Нормативный правовой акт утверждён постановлением правительства Российской Федерации от 16 сентября 2020 года № 1479.</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Новые правила дополнены разделами:</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 применение и реализация пиротехнических изделий бытового назначения;</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В зданиях и сооружениях правилами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Порядок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должен согласовываться с соответствующим органом местного самоуправления не менее чем за 14 календарных дней до дня проведения мероприятия.</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Правилами предусмотрено, что при хранении пиротехнических изделий на объектах розничной торговли:</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Необходимо соблюдать требования инструкции (руководства) по эксплуатации изделий;</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Отбракованную пиротехническую продукцию необходимо хранить отдельно от годной для реализации;</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Запрещается совместное хранение пиротехнической продукции с иными товарами (изделиями) на складах и в кладовых помещениях, а также размещение кладовых помещений для пиротехнических изделий на объектах торговли общей площадью торгового зала менее 25 квадратных метров;</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Для объектов торговли площадью торгового зала менее 25 квадратных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В процессе реализации (продажи) пиротехнической продукции должны выполняться требования безопасности:</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 xml:space="preserve">а) витрины с образцами пиротехнических изделий в торговых помещениях </w:t>
      </w:r>
      <w:proofErr w:type="gramStart"/>
      <w:r w:rsidRPr="00585A9A">
        <w:rPr>
          <w:color w:val="000000"/>
          <w:sz w:val="28"/>
          <w:szCs w:val="28"/>
        </w:rPr>
        <w:t>обеспечивают возможность ознакомления покупателя с надписями на изделиях и исключают</w:t>
      </w:r>
      <w:proofErr w:type="gramEnd"/>
      <w:r w:rsidRPr="00585A9A">
        <w:rPr>
          <w:color w:val="000000"/>
          <w:sz w:val="28"/>
          <w:szCs w:val="28"/>
        </w:rPr>
        <w:t xml:space="preserve"> любые действия покупателей с изделиями, кроме визуального осмотра;</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lastRenderedPageBreak/>
        <w:t>б) пиротехнические изделия располагаются не ближе 0,5 метра к нагревательным приборам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На объектах торговли также запрещено:</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а)   размещать отделы, секции по продаже пиротехнических изделий, а также товары в аэрозольной упаковке в торговом зале ближе четырёх метров от выходов в лестничные клетки и другие эвакуационные выходы;</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 xml:space="preserve">б) хранить пиротехнические изделия в помещениях, не имеющих оконных проёмов или систем вытяжной </w:t>
      </w:r>
      <w:proofErr w:type="spellStart"/>
      <w:r w:rsidRPr="00585A9A">
        <w:rPr>
          <w:color w:val="000000"/>
          <w:sz w:val="28"/>
          <w:szCs w:val="28"/>
        </w:rPr>
        <w:t>противодымной</w:t>
      </w:r>
      <w:proofErr w:type="spellEnd"/>
      <w:r w:rsidRPr="00585A9A">
        <w:rPr>
          <w:color w:val="000000"/>
          <w:sz w:val="28"/>
          <w:szCs w:val="28"/>
        </w:rPr>
        <w:t xml:space="preserve"> вентиляции;</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в)   хранить пиротехнические изделия совместно с другими горючими веществами и материалами;</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д)   расфасовывать изделия в торговых залах и на путях эвакуации;</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е)   хранить пороховые изделия совместно с капсюлями или пиротехническими изделиями в одном шкафу;</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ж) размещать упаковку (тару) с изделиями и шкафы (сейфы) с изделиями в подвальных помещениях;</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з)   хранить пиротехнические изделия в подвальных помещениях.</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Реализация (продажа) пиротехнических изделий запрещается:</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б)   лицам, не достигшим 16-летнего возраста (если производителем не установлено другое возрастное ограничение);</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 xml:space="preserve">в)   при отсутствии (утрате) идентификационных признаков, инструкции (руководства) по эксплуатации, обязательного сертификата соответствия </w:t>
      </w:r>
      <w:r w:rsidRPr="00585A9A">
        <w:rPr>
          <w:color w:val="000000"/>
          <w:sz w:val="28"/>
          <w:szCs w:val="28"/>
        </w:rPr>
        <w:lastRenderedPageBreak/>
        <w:t>либо знака соответствия, при наличии следов порчи, истечении срока годности;</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г)   вне заводской потребительской упаковки.</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учётом площади опасной зоны).</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Кроме того, в соответствии с правилами на объектах организаций торговли запрещается:</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осуществлять продажу пиротехнических и других взрывоопасных изделий, если они размещены в зданиях, кроме зданий автозаправочных станций, не являющихся зданиями (частями зданий) класса функциональной пожарной опасности Ф3.1, определённого в соответствии с федеральным законом «Технический регламент о требованиях пожарной безопасности»;</w:t>
      </w:r>
    </w:p>
    <w:p w:rsidR="00585A9A" w:rsidRPr="00585A9A" w:rsidRDefault="00585A9A" w:rsidP="00585A9A">
      <w:pPr>
        <w:pStyle w:val="a3"/>
        <w:ind w:firstLine="301"/>
        <w:contextualSpacing/>
        <w:jc w:val="both"/>
        <w:rPr>
          <w:color w:val="000000"/>
          <w:sz w:val="28"/>
          <w:szCs w:val="28"/>
        </w:rPr>
      </w:pPr>
      <w:r w:rsidRPr="00585A9A">
        <w:rPr>
          <w:color w:val="000000"/>
          <w:sz w:val="28"/>
          <w:szCs w:val="28"/>
        </w:rPr>
        <w:t>размещать отделы, секции по продаже пиротехнических изделий на расстоянии менее четырёх метров от выходов, лестничных клеток и других путей эвакуации.</w:t>
      </w:r>
    </w:p>
    <w:p w:rsidR="00585A9A" w:rsidRDefault="00F4624C" w:rsidP="00585A9A">
      <w:pPr>
        <w:pStyle w:val="a3"/>
        <w:ind w:firstLine="301"/>
        <w:contextualSpacing/>
        <w:jc w:val="both"/>
        <w:rPr>
          <w:rStyle w:val="a6"/>
          <w:b/>
          <w:bCs/>
          <w:color w:val="000000"/>
          <w:sz w:val="28"/>
          <w:szCs w:val="28"/>
        </w:rPr>
      </w:pPr>
      <w:hyperlink r:id="rId6" w:history="1">
        <w:r w:rsidR="00585A9A" w:rsidRPr="00585A9A">
          <w:rPr>
            <w:rStyle w:val="a4"/>
            <w:b/>
            <w:bCs/>
            <w:i/>
            <w:iCs/>
            <w:color w:val="5367FD"/>
            <w:sz w:val="28"/>
            <w:szCs w:val="28"/>
          </w:rPr>
          <w:t>Постановление Правительства РФ от 16.09.2020 № 1479 «Об утверждении Правил противопожарного режима в Российской Федерации»</w:t>
        </w:r>
      </w:hyperlink>
    </w:p>
    <w:p w:rsidR="00863240" w:rsidRDefault="00863240" w:rsidP="00585A9A">
      <w:pPr>
        <w:pStyle w:val="a3"/>
        <w:ind w:firstLine="301"/>
        <w:contextualSpacing/>
        <w:jc w:val="both"/>
        <w:rPr>
          <w:rStyle w:val="a6"/>
          <w:b/>
          <w:bCs/>
          <w:color w:val="000000"/>
          <w:sz w:val="28"/>
          <w:szCs w:val="28"/>
        </w:rPr>
      </w:pPr>
    </w:p>
    <w:p w:rsidR="00863240" w:rsidRDefault="00863240" w:rsidP="00585A9A">
      <w:pPr>
        <w:pStyle w:val="a3"/>
        <w:ind w:firstLine="301"/>
        <w:contextualSpacing/>
        <w:jc w:val="both"/>
        <w:rPr>
          <w:rStyle w:val="a6"/>
          <w:b/>
          <w:bCs/>
          <w:color w:val="000000"/>
          <w:sz w:val="28"/>
          <w:szCs w:val="28"/>
        </w:rPr>
      </w:pPr>
    </w:p>
    <w:p w:rsidR="00097C25" w:rsidRDefault="00097C25" w:rsidP="00585A9A">
      <w:pPr>
        <w:pStyle w:val="a3"/>
        <w:ind w:firstLine="301"/>
        <w:contextualSpacing/>
        <w:jc w:val="both"/>
        <w:rPr>
          <w:rStyle w:val="a6"/>
          <w:b/>
          <w:bCs/>
          <w:color w:val="000000"/>
          <w:sz w:val="28"/>
          <w:szCs w:val="28"/>
        </w:rPr>
      </w:pPr>
    </w:p>
    <w:p w:rsidR="00097C25" w:rsidRDefault="00097C25" w:rsidP="00585A9A">
      <w:pPr>
        <w:pStyle w:val="a3"/>
        <w:ind w:firstLine="301"/>
        <w:contextualSpacing/>
        <w:jc w:val="both"/>
        <w:rPr>
          <w:rStyle w:val="a6"/>
          <w:b/>
          <w:bCs/>
          <w:color w:val="000000"/>
          <w:sz w:val="28"/>
          <w:szCs w:val="28"/>
        </w:rPr>
      </w:pPr>
    </w:p>
    <w:p w:rsidR="00863240" w:rsidRPr="007D674E" w:rsidRDefault="00863240" w:rsidP="00097C25">
      <w:pPr>
        <w:pStyle w:val="a3"/>
        <w:ind w:firstLine="301"/>
        <w:contextualSpacing/>
        <w:jc w:val="both"/>
        <w:rPr>
          <w:color w:val="548DD4" w:themeColor="text2" w:themeTint="99"/>
        </w:rPr>
      </w:pPr>
      <w:r w:rsidRPr="007D674E">
        <w:rPr>
          <w:rStyle w:val="a6"/>
          <w:b/>
          <w:bCs/>
          <w:color w:val="548DD4" w:themeColor="text2" w:themeTint="99"/>
        </w:rPr>
        <w:t>Информация вз</w:t>
      </w:r>
      <w:r w:rsidR="00097C25" w:rsidRPr="007D674E">
        <w:rPr>
          <w:rStyle w:val="a6"/>
          <w:b/>
          <w:bCs/>
          <w:color w:val="548DD4" w:themeColor="text2" w:themeTint="99"/>
        </w:rPr>
        <w:t>я</w:t>
      </w:r>
      <w:r w:rsidRPr="007D674E">
        <w:rPr>
          <w:rStyle w:val="a6"/>
          <w:b/>
          <w:bCs/>
          <w:color w:val="548DD4" w:themeColor="text2" w:themeTint="99"/>
        </w:rPr>
        <w:t>та из сайта МКУ «Управление по делам ГО и ЧС г. Чебоксары»</w:t>
      </w:r>
      <w:r w:rsidR="00181EFB">
        <w:rPr>
          <w:rStyle w:val="a6"/>
          <w:b/>
          <w:bCs/>
          <w:color w:val="548DD4" w:themeColor="text2" w:themeTint="99"/>
        </w:rPr>
        <w:t>.</w:t>
      </w:r>
    </w:p>
    <w:p w:rsidR="00063BA8" w:rsidRDefault="00063BA8" w:rsidP="00585A9A"/>
    <w:sectPr w:rsidR="00063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9A"/>
    <w:rsid w:val="00063BA8"/>
    <w:rsid w:val="00097C25"/>
    <w:rsid w:val="00181EFB"/>
    <w:rsid w:val="001F12B5"/>
    <w:rsid w:val="00585A9A"/>
    <w:rsid w:val="007D674E"/>
    <w:rsid w:val="00863240"/>
    <w:rsid w:val="00B859A1"/>
    <w:rsid w:val="00BD2E18"/>
    <w:rsid w:val="00F46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5A9A"/>
    <w:rPr>
      <w:color w:val="0000FF"/>
      <w:u w:val="single"/>
    </w:rPr>
  </w:style>
  <w:style w:type="character" w:styleId="a5">
    <w:name w:val="Strong"/>
    <w:basedOn w:val="a0"/>
    <w:uiPriority w:val="22"/>
    <w:qFormat/>
    <w:rsid w:val="00585A9A"/>
    <w:rPr>
      <w:b/>
      <w:bCs/>
    </w:rPr>
  </w:style>
  <w:style w:type="character" w:styleId="a6">
    <w:name w:val="Emphasis"/>
    <w:basedOn w:val="a0"/>
    <w:uiPriority w:val="20"/>
    <w:qFormat/>
    <w:rsid w:val="00585A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5A9A"/>
    <w:rPr>
      <w:color w:val="0000FF"/>
      <w:u w:val="single"/>
    </w:rPr>
  </w:style>
  <w:style w:type="character" w:styleId="a5">
    <w:name w:val="Strong"/>
    <w:basedOn w:val="a0"/>
    <w:uiPriority w:val="22"/>
    <w:qFormat/>
    <w:rsid w:val="00585A9A"/>
    <w:rPr>
      <w:b/>
      <w:bCs/>
    </w:rPr>
  </w:style>
  <w:style w:type="character" w:styleId="a6">
    <w:name w:val="Emphasis"/>
    <w:basedOn w:val="a0"/>
    <w:uiPriority w:val="20"/>
    <w:qFormat/>
    <w:rsid w:val="00585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v.cap.ru/content2020/news/202012/14/%D0%B3%D0%BE%D1%87%D1%81/postanovlenie_praviteljstva_rf_ot_16.09.2020_g._%E2%84%96_1479_ob_utverzhdenii_pravil_protivopozharnogo_rezhima_v_rossijskoj_federacii.pdf" TargetMode="External"/><Relationship Id="rId5" Type="http://schemas.openxmlformats.org/officeDocument/2006/relationships/hyperlink" Target="http://gov.cap.ru/content2020/news/202012/14/%D0%B3%D0%BE%D1%87%D1%81/postanovlenie_praviteljstva_rf_ot_16.09.2020_g._%E2%84%96_1479_ob_utverzhdenii_pravil_protivopozharnogo_rezhima_v_rossijskoj_federacii.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dc:creator>
  <cp:lastModifiedBy>ГО</cp:lastModifiedBy>
  <cp:revision>2</cp:revision>
  <dcterms:created xsi:type="dcterms:W3CDTF">2021-12-23T07:43:00Z</dcterms:created>
  <dcterms:modified xsi:type="dcterms:W3CDTF">2021-12-23T07:43:00Z</dcterms:modified>
</cp:coreProperties>
</file>