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4F" w:rsidRPr="00EE74CE" w:rsidRDefault="008A244F" w:rsidP="00E92777">
      <w:pPr>
        <w:spacing w:after="16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bookmarkStart w:id="0" w:name="_Hlk529808713"/>
      <w:r w:rsidRPr="00EE74CE">
        <w:rPr>
          <w:rFonts w:ascii="Times New Roman" w:hAnsi="Times New Roman" w:cs="Times New Roman"/>
          <w:bCs/>
          <w:sz w:val="26"/>
          <w:szCs w:val="26"/>
          <w:lang w:val="ru-RU"/>
        </w:rPr>
        <w:t>ТЕРРИТОРИАЛЬНАЯ СХЕМА В ОБЛАСТИ ОБРАЩЕНИЯ С ОТХОДАМИ ПРОИЗВОДСТВА И ПОТРЕБЛЕНИЯ, В ТОМ ЧИСЛЕ С ТВЕРДЫМИ КОММУНАЛЬНЫМИ ОТХОДАМИ</w:t>
      </w:r>
      <w:r w:rsidR="00CA01BC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ЧУВАШСКОЙ РЕСПУБЛИК</w:t>
      </w:r>
      <w:r w:rsidR="005A703C">
        <w:rPr>
          <w:rFonts w:ascii="Times New Roman" w:hAnsi="Times New Roman" w:cs="Times New Roman"/>
          <w:bCs/>
          <w:sz w:val="26"/>
          <w:szCs w:val="26"/>
          <w:lang w:val="ru-RU"/>
        </w:rPr>
        <w:t>И</w:t>
      </w:r>
    </w:p>
    <w:p w:rsidR="005C5299" w:rsidRPr="00EE74CE" w:rsidRDefault="005C5299" w:rsidP="00BE424F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5C5299" w:rsidRPr="00EE74CE" w:rsidRDefault="005C5299" w:rsidP="00BE424F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5C5299" w:rsidRPr="00EE74CE" w:rsidRDefault="005C5299" w:rsidP="00BE424F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5C5299" w:rsidRPr="00EE74CE" w:rsidRDefault="005C5299" w:rsidP="00BE424F">
      <w:pPr>
        <w:spacing w:after="160" w:line="259" w:lineRule="auto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BE424F" w:rsidRPr="00EE74CE" w:rsidRDefault="00BE424F" w:rsidP="00BE424F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/>
        </w:rPr>
      </w:pPr>
    </w:p>
    <w:p w:rsidR="001D4765" w:rsidRPr="00EE74CE" w:rsidRDefault="001D4765" w:rsidP="00BE424F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/>
        </w:rPr>
      </w:pPr>
    </w:p>
    <w:p w:rsidR="00BE424F" w:rsidRPr="00EE74CE" w:rsidRDefault="00BE424F" w:rsidP="00BE424F">
      <w:pPr>
        <w:tabs>
          <w:tab w:val="left" w:pos="9921"/>
        </w:tabs>
        <w:spacing w:after="160" w:line="259" w:lineRule="auto"/>
        <w:ind w:right="-2"/>
        <w:rPr>
          <w:rFonts w:ascii="Times New Roman" w:hAnsi="Times New Roman" w:cs="Times New Roman"/>
          <w:b/>
          <w:bCs/>
          <w:spacing w:val="30"/>
          <w:sz w:val="26"/>
          <w:szCs w:val="26"/>
          <w:u w:val="single"/>
          <w:lang w:val="ru-RU"/>
        </w:rPr>
      </w:pPr>
    </w:p>
    <w:p w:rsidR="00BE424F" w:rsidRPr="00EE74CE" w:rsidRDefault="00BE424F" w:rsidP="00BE42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BE424F" w:rsidRPr="00EE74CE" w:rsidRDefault="00BE424F" w:rsidP="00BE424F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E74CE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РАЗДЕЛ </w:t>
      </w:r>
      <w:r w:rsidR="00EE74CE">
        <w:rPr>
          <w:rFonts w:ascii="Times New Roman" w:hAnsi="Times New Roman" w:cs="Times New Roman"/>
          <w:b/>
          <w:bCs/>
          <w:sz w:val="26"/>
          <w:szCs w:val="26"/>
          <w:lang w:val="ru-RU"/>
        </w:rPr>
        <w:t>9</w:t>
      </w:r>
    </w:p>
    <w:p w:rsidR="00BE424F" w:rsidRPr="00EE74CE" w:rsidRDefault="00BE424F" w:rsidP="00BE424F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BE424F" w:rsidRPr="00EE74CE" w:rsidRDefault="00BE424F" w:rsidP="00BE424F">
      <w:pPr>
        <w:tabs>
          <w:tab w:val="left" w:pos="9921"/>
        </w:tabs>
        <w:spacing w:after="160" w:line="259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EE74CE">
        <w:rPr>
          <w:rFonts w:ascii="Times New Roman" w:hAnsi="Times New Roman" w:cs="Times New Roman"/>
          <w:b/>
          <w:bCs/>
          <w:sz w:val="26"/>
          <w:szCs w:val="26"/>
          <w:lang w:val="ru-RU"/>
        </w:rPr>
        <w:t>«</w:t>
      </w:r>
      <w:r w:rsidRPr="00EE74CE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Оценка объема соответствующих капитальных вложений в строительство, реконструкцию, выведение из эксплуатации объектов обработки, утилизации, обезвреживания, размещения отходов, выбор и обоснование предложений по созданию оптимальной перспективной территориальной схемы обращения с отходами, в том числе твердыми коммунальными отходами на территории </w:t>
      </w:r>
      <w:r w:rsidR="00A52EFD" w:rsidRPr="00EE74CE">
        <w:rPr>
          <w:rFonts w:ascii="Times New Roman" w:hAnsi="Times New Roman" w:cs="Times New Roman"/>
          <w:b/>
          <w:sz w:val="26"/>
          <w:szCs w:val="26"/>
          <w:lang w:val="ru-RU"/>
        </w:rPr>
        <w:t xml:space="preserve">Чувашской </w:t>
      </w:r>
      <w:r w:rsidRPr="00EE74CE">
        <w:rPr>
          <w:rFonts w:ascii="Times New Roman" w:hAnsi="Times New Roman" w:cs="Times New Roman"/>
          <w:b/>
          <w:sz w:val="26"/>
          <w:szCs w:val="26"/>
          <w:lang w:val="ru-RU"/>
        </w:rPr>
        <w:t>Республики</w:t>
      </w:r>
      <w:r w:rsidRPr="00EE74CE">
        <w:rPr>
          <w:rFonts w:ascii="Times New Roman" w:hAnsi="Times New Roman" w:cs="Times New Roman"/>
          <w:b/>
          <w:bCs/>
          <w:sz w:val="26"/>
          <w:szCs w:val="26"/>
          <w:lang w:val="ru-RU"/>
        </w:rPr>
        <w:t>»</w:t>
      </w:r>
    </w:p>
    <w:p w:rsidR="00BE424F" w:rsidRPr="00EE74CE" w:rsidRDefault="00BE424F" w:rsidP="00BE42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BE424F" w:rsidRPr="00EE74CE" w:rsidRDefault="00BE424F" w:rsidP="00BE42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1D4765" w:rsidRPr="00EE74CE" w:rsidRDefault="001D4765" w:rsidP="00BE42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  <w:bookmarkStart w:id="1" w:name="_GoBack"/>
      <w:bookmarkEnd w:id="1"/>
    </w:p>
    <w:p w:rsidR="003E2C76" w:rsidRPr="00EE74CE" w:rsidRDefault="003E2C76" w:rsidP="00BE42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5C5299" w:rsidRPr="00EE74CE" w:rsidRDefault="005C5299" w:rsidP="00BE42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3E2C76" w:rsidRPr="00EE74CE" w:rsidRDefault="003E2C76" w:rsidP="00BE42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3E2C76" w:rsidRPr="00EE74CE" w:rsidRDefault="003E2C76" w:rsidP="00BE42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3E2C76" w:rsidRPr="00EE74CE" w:rsidRDefault="003E2C76" w:rsidP="00BE42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3E2C76" w:rsidRPr="00EE74CE" w:rsidRDefault="003E2C76" w:rsidP="00BE42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5C5299" w:rsidRPr="00EE74CE" w:rsidRDefault="005C5299" w:rsidP="00BE42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BE424F" w:rsidRDefault="00BE424F" w:rsidP="00BE42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EE74CE" w:rsidRPr="00EE74CE" w:rsidRDefault="00EE74CE" w:rsidP="00BE424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6"/>
          <w:szCs w:val="26"/>
          <w:highlight w:val="red"/>
          <w:lang w:val="ru-RU"/>
        </w:rPr>
      </w:pPr>
    </w:p>
    <w:p w:rsidR="00BE424F" w:rsidRPr="00EE74CE" w:rsidRDefault="00467307" w:rsidP="00BE424F">
      <w:pPr>
        <w:spacing w:after="160" w:line="259" w:lineRule="auto"/>
        <w:jc w:val="center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EE74CE">
        <w:rPr>
          <w:rFonts w:ascii="Times New Roman" w:hAnsi="Times New Roman" w:cs="Times New Roman"/>
          <w:bCs/>
          <w:sz w:val="26"/>
          <w:szCs w:val="26"/>
          <w:lang w:val="ru-RU"/>
        </w:rPr>
        <w:t>Чувашская Республика</w:t>
      </w:r>
      <w:r w:rsidR="00F10900" w:rsidRPr="00EE74CE">
        <w:rPr>
          <w:rFonts w:ascii="Times New Roman" w:hAnsi="Times New Roman" w:cs="Times New Roman"/>
          <w:bCs/>
          <w:sz w:val="26"/>
          <w:szCs w:val="26"/>
        </w:rPr>
        <w:t>, 20</w:t>
      </w:r>
      <w:r w:rsidR="005C5299" w:rsidRPr="00EE74CE">
        <w:rPr>
          <w:rFonts w:ascii="Times New Roman" w:hAnsi="Times New Roman" w:cs="Times New Roman"/>
          <w:bCs/>
          <w:sz w:val="26"/>
          <w:szCs w:val="26"/>
          <w:lang w:val="ru-RU"/>
        </w:rPr>
        <w:t>2</w:t>
      </w:r>
      <w:r w:rsidR="00A6088F">
        <w:rPr>
          <w:rFonts w:ascii="Times New Roman" w:hAnsi="Times New Roman" w:cs="Times New Roman"/>
          <w:bCs/>
          <w:sz w:val="26"/>
          <w:szCs w:val="26"/>
          <w:lang w:val="ru-RU"/>
        </w:rPr>
        <w:t>1</w:t>
      </w:r>
    </w:p>
    <w:sdt>
      <w:sdtPr>
        <w:rPr>
          <w:rFonts w:asciiTheme="majorHAnsi" w:hAnsiTheme="majorHAnsi" w:cstheme="majorBidi"/>
          <w:b w:val="0"/>
          <w:sz w:val="26"/>
          <w:szCs w:val="26"/>
          <w:lang w:val="en-US"/>
        </w:rPr>
        <w:id w:val="-15862397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BE424F" w:rsidRPr="00EE74CE" w:rsidRDefault="00BE424F" w:rsidP="00BE424F">
          <w:pPr>
            <w:pStyle w:val="af2"/>
            <w:ind w:firstLine="0"/>
            <w:jc w:val="center"/>
            <w:rPr>
              <w:sz w:val="26"/>
              <w:szCs w:val="26"/>
            </w:rPr>
          </w:pPr>
          <w:r w:rsidRPr="00EE74CE">
            <w:rPr>
              <w:sz w:val="26"/>
              <w:szCs w:val="26"/>
            </w:rPr>
            <w:t>СОДЕРЖАНИЕ</w:t>
          </w:r>
        </w:p>
        <w:p w:rsidR="00467307" w:rsidRPr="00EE74CE" w:rsidRDefault="00565C5D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val="ru-RU" w:eastAsia="ru-RU" w:bidi="ar-SA"/>
            </w:rPr>
          </w:pPr>
          <w:r w:rsidRPr="00565C5D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BE424F" w:rsidRPr="00EE74CE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565C5D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21344936" w:history="1">
            <w:r w:rsidR="00EE74CE">
              <w:rPr>
                <w:rStyle w:val="af6"/>
                <w:rFonts w:ascii="Times New Roman" w:eastAsia="Times New Roman" w:hAnsi="Times New Roman" w:cs="Times New Roman"/>
                <w:noProof/>
                <w:color w:val="auto"/>
                <w:sz w:val="26"/>
                <w:szCs w:val="26"/>
                <w:lang w:val="ru-RU" w:eastAsia="ru-RU"/>
              </w:rPr>
              <w:t>9</w:t>
            </w:r>
            <w:r w:rsidR="00467307" w:rsidRPr="00EE74CE">
              <w:rPr>
                <w:rStyle w:val="af6"/>
                <w:rFonts w:ascii="Times New Roman" w:eastAsia="Times New Roman" w:hAnsi="Times New Roman" w:cs="Times New Roman"/>
                <w:noProof/>
                <w:color w:val="auto"/>
                <w:sz w:val="26"/>
                <w:szCs w:val="26"/>
                <w:lang w:eastAsia="ru-RU"/>
              </w:rPr>
              <w:t xml:space="preserve">.1. </w:t>
            </w:r>
            <w:r w:rsidR="00467307" w:rsidRPr="00EE74CE">
              <w:rPr>
                <w:rStyle w:val="af6"/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t>Капитальные вложения в строительство и реконструкцию объектов обработки, утилизации, обезвреживания, размещения отходов.</w:t>
            </w:r>
            <w:r w:rsidR="00467307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67307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_Toc21344936 \h </w:instrText>
            </w:r>
            <w:r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11662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67307" w:rsidRPr="00EE74CE" w:rsidRDefault="00565C5D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val="ru-RU" w:eastAsia="ru-RU" w:bidi="ar-SA"/>
            </w:rPr>
          </w:pPr>
          <w:hyperlink w:anchor="_Toc21344937" w:history="1">
            <w:r w:rsidR="00EE74CE">
              <w:rPr>
                <w:rStyle w:val="af6"/>
                <w:rFonts w:ascii="Times New Roman" w:eastAsia="Times New Roman" w:hAnsi="Times New Roman" w:cs="Times New Roman"/>
                <w:noProof/>
                <w:color w:val="auto"/>
                <w:sz w:val="26"/>
                <w:szCs w:val="26"/>
                <w:lang w:val="ru-RU" w:eastAsia="ru-RU"/>
              </w:rPr>
              <w:t>9</w:t>
            </w:r>
            <w:r w:rsidR="00467307" w:rsidRPr="00EE74CE">
              <w:rPr>
                <w:rStyle w:val="af6"/>
                <w:rFonts w:ascii="Times New Roman" w:eastAsia="Times New Roman" w:hAnsi="Times New Roman" w:cs="Times New Roman"/>
                <w:noProof/>
                <w:color w:val="auto"/>
                <w:sz w:val="26"/>
                <w:szCs w:val="26"/>
                <w:lang w:eastAsia="ru-RU"/>
              </w:rPr>
              <w:t xml:space="preserve">.2. </w:t>
            </w:r>
            <w:r w:rsidR="00467307" w:rsidRPr="00EE74CE">
              <w:rPr>
                <w:rStyle w:val="af6"/>
                <w:rFonts w:ascii="Times New Roman" w:hAnsi="Times New Roman" w:cs="Times New Roman"/>
                <w:noProof/>
                <w:color w:val="auto"/>
                <w:sz w:val="26"/>
                <w:szCs w:val="26"/>
              </w:rPr>
              <w:t>Капитальные вложения в выведение из эксплуатации объектов обработки, утилизации, обезвреживания, размещения  отходов.</w:t>
            </w:r>
            <w:r w:rsidR="00467307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67307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_Toc21344937 \h </w:instrText>
            </w:r>
            <w:r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11662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67307" w:rsidRPr="00EE74CE" w:rsidRDefault="00565C5D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val="ru-RU" w:eastAsia="ru-RU" w:bidi="ar-SA"/>
            </w:rPr>
          </w:pPr>
          <w:hyperlink w:anchor="_Toc21344938" w:history="1">
            <w:r w:rsidR="00EE74CE">
              <w:rPr>
                <w:rStyle w:val="af6"/>
                <w:rFonts w:ascii="Times New Roman" w:hAnsi="Times New Roman" w:cs="Times New Roman"/>
                <w:noProof/>
                <w:color w:val="auto"/>
                <w:sz w:val="26"/>
                <w:szCs w:val="26"/>
                <w:shd w:val="clear" w:color="auto" w:fill="FFFFFF"/>
                <w:lang w:val="ru-RU"/>
              </w:rPr>
              <w:t>9</w:t>
            </w:r>
            <w:r w:rsidR="00467307" w:rsidRPr="00EE74CE">
              <w:rPr>
                <w:rStyle w:val="af6"/>
                <w:rFonts w:ascii="Times New Roman" w:hAnsi="Times New Roman" w:cs="Times New Roman"/>
                <w:noProof/>
                <w:color w:val="auto"/>
                <w:sz w:val="26"/>
                <w:szCs w:val="26"/>
                <w:shd w:val="clear" w:color="auto" w:fill="FFFFFF"/>
              </w:rPr>
              <w:t xml:space="preserve">.3. </w:t>
            </w:r>
            <w:r w:rsidR="00467307" w:rsidRPr="00EE74CE">
              <w:rPr>
                <w:rStyle w:val="af6"/>
                <w:rFonts w:ascii="Times New Roman" w:hAnsi="Times New Roman" w:cs="Times New Roman"/>
                <w:noProof/>
                <w:color w:val="auto"/>
                <w:sz w:val="26"/>
                <w:szCs w:val="26"/>
                <w:lang w:eastAsia="ru-RU"/>
              </w:rPr>
              <w:t>Создание оптимальной перспективной территориальной системы обращения с отходами, на территории Чувашской Республики.</w:t>
            </w:r>
            <w:r w:rsidR="00467307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67307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_Toc21344938 \h </w:instrText>
            </w:r>
            <w:r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11662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467307" w:rsidRPr="00EE74CE" w:rsidRDefault="00565C5D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6"/>
              <w:szCs w:val="26"/>
              <w:lang w:val="ru-RU" w:eastAsia="ru-RU" w:bidi="ar-SA"/>
            </w:rPr>
          </w:pPr>
          <w:hyperlink w:anchor="_Toc21344939" w:history="1">
            <w:r w:rsidR="00EE74CE">
              <w:rPr>
                <w:rStyle w:val="af6"/>
                <w:rFonts w:ascii="Times New Roman" w:hAnsi="Times New Roman" w:cs="Times New Roman"/>
                <w:noProof/>
                <w:color w:val="auto"/>
                <w:sz w:val="26"/>
                <w:szCs w:val="26"/>
                <w:lang w:val="ru-RU" w:eastAsia="ru-RU"/>
              </w:rPr>
              <w:t>9</w:t>
            </w:r>
            <w:r w:rsidR="00467307" w:rsidRPr="00EE74CE">
              <w:rPr>
                <w:rStyle w:val="af6"/>
                <w:rFonts w:ascii="Times New Roman" w:hAnsi="Times New Roman" w:cs="Times New Roman"/>
                <w:noProof/>
                <w:color w:val="auto"/>
                <w:sz w:val="26"/>
                <w:szCs w:val="26"/>
                <w:lang w:eastAsia="ru-RU"/>
              </w:rPr>
              <w:t>.4 Оптимизация объектов размещения на территории Чувашской Республики.</w:t>
            </w:r>
            <w:r w:rsidR="00467307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467307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_Toc21344939 \h </w:instrText>
            </w:r>
            <w:r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011662"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10</w:t>
            </w:r>
            <w:r w:rsidRPr="00EE74C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E424F" w:rsidRPr="00EE74CE" w:rsidRDefault="00565C5D">
          <w:pPr>
            <w:rPr>
              <w:rFonts w:ascii="Times New Roman" w:hAnsi="Times New Roman" w:cs="Times New Roman"/>
              <w:sz w:val="26"/>
              <w:szCs w:val="26"/>
            </w:rPr>
          </w:pPr>
          <w:r w:rsidRPr="00EE74CE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BE424F" w:rsidRPr="00EE74CE" w:rsidRDefault="00BE424F">
      <w:pPr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E74CE">
        <w:rPr>
          <w:rFonts w:ascii="Times New Roman" w:hAnsi="Times New Roman" w:cs="Times New Roman"/>
          <w:b/>
          <w:sz w:val="26"/>
          <w:szCs w:val="26"/>
          <w:lang w:val="ru-RU"/>
        </w:rPr>
        <w:br w:type="page"/>
      </w:r>
    </w:p>
    <w:p w:rsidR="003648AE" w:rsidRPr="00EE74CE" w:rsidRDefault="00EE74CE" w:rsidP="009B5870">
      <w:pPr>
        <w:pStyle w:val="1"/>
        <w:spacing w:before="240" w:after="240" w:line="360" w:lineRule="auto"/>
        <w:ind w:firstLine="0"/>
        <w:jc w:val="center"/>
        <w:rPr>
          <w:sz w:val="26"/>
          <w:szCs w:val="26"/>
        </w:rPr>
      </w:pPr>
      <w:bookmarkStart w:id="2" w:name="_Toc21344936"/>
      <w:bookmarkEnd w:id="0"/>
      <w:r>
        <w:rPr>
          <w:rFonts w:eastAsia="Times New Roman"/>
          <w:sz w:val="26"/>
          <w:szCs w:val="26"/>
          <w:lang w:eastAsia="ru-RU" w:bidi="ar-SA"/>
        </w:rPr>
        <w:lastRenderedPageBreak/>
        <w:t>9</w:t>
      </w:r>
      <w:r w:rsidR="003648AE" w:rsidRPr="00EE74CE">
        <w:rPr>
          <w:rFonts w:eastAsia="Times New Roman"/>
          <w:sz w:val="26"/>
          <w:szCs w:val="26"/>
          <w:lang w:eastAsia="ru-RU" w:bidi="ar-SA"/>
        </w:rPr>
        <w:t xml:space="preserve">.1. </w:t>
      </w:r>
      <w:r w:rsidR="003648AE" w:rsidRPr="00EE74CE">
        <w:rPr>
          <w:sz w:val="26"/>
          <w:szCs w:val="26"/>
        </w:rPr>
        <w:t>Капитальные вложения в строительство и реконструкцию объектов обработки, утилизации, обезвреживания</w:t>
      </w:r>
      <w:r w:rsidR="00BE424F" w:rsidRPr="00EE74CE">
        <w:rPr>
          <w:sz w:val="26"/>
          <w:szCs w:val="26"/>
        </w:rPr>
        <w:t>, размещения</w:t>
      </w:r>
      <w:r w:rsidR="003648AE" w:rsidRPr="00EE74CE">
        <w:rPr>
          <w:sz w:val="26"/>
          <w:szCs w:val="26"/>
        </w:rPr>
        <w:t xml:space="preserve"> отходов.</w:t>
      </w:r>
      <w:bookmarkEnd w:id="2"/>
    </w:p>
    <w:p w:rsidR="009B5870" w:rsidRPr="009B5870" w:rsidRDefault="005B78B6" w:rsidP="009B5870">
      <w:pPr>
        <w:pStyle w:val="af7"/>
        <w:ind w:firstLine="851"/>
        <w:rPr>
          <w:sz w:val="26"/>
          <w:lang w:eastAsia="ru-RU"/>
        </w:rPr>
      </w:pPr>
      <w:r w:rsidRPr="009B5870">
        <w:rPr>
          <w:rFonts w:eastAsia="Times New Roman"/>
          <w:b/>
          <w:sz w:val="26"/>
          <w:lang w:eastAsia="ru-RU"/>
        </w:rPr>
        <w:t>М</w:t>
      </w:r>
      <w:r w:rsidR="005763C2" w:rsidRPr="009B5870">
        <w:rPr>
          <w:rFonts w:eastAsia="Times New Roman"/>
          <w:b/>
          <w:sz w:val="26"/>
          <w:lang w:eastAsia="ru-RU"/>
        </w:rPr>
        <w:t>ПС</w:t>
      </w:r>
      <w:r w:rsidR="009B5870">
        <w:rPr>
          <w:rFonts w:eastAsia="Times New Roman"/>
          <w:b/>
          <w:sz w:val="26"/>
          <w:lang w:eastAsia="ru-RU"/>
        </w:rPr>
        <w:t xml:space="preserve"> </w:t>
      </w:r>
      <w:proofErr w:type="spellStart"/>
      <w:r w:rsidR="009B5870">
        <w:rPr>
          <w:rFonts w:eastAsia="Times New Roman"/>
          <w:b/>
          <w:sz w:val="26"/>
          <w:lang w:eastAsia="ru-RU"/>
        </w:rPr>
        <w:t>Моргаушский</w:t>
      </w:r>
      <w:proofErr w:type="spellEnd"/>
      <w:r w:rsidR="009B5870">
        <w:rPr>
          <w:rFonts w:eastAsia="Times New Roman"/>
          <w:b/>
          <w:sz w:val="26"/>
          <w:lang w:eastAsia="ru-RU"/>
        </w:rPr>
        <w:t xml:space="preserve"> район</w:t>
      </w:r>
      <w:r w:rsidR="004038D0">
        <w:rPr>
          <w:rFonts w:eastAsia="Times New Roman"/>
          <w:b/>
          <w:sz w:val="26"/>
          <w:lang w:eastAsia="ru-RU"/>
        </w:rPr>
        <w:t xml:space="preserve"> </w:t>
      </w:r>
      <w:r w:rsidR="004038D0">
        <w:rPr>
          <w:rFonts w:eastAsia="Times New Roman"/>
          <w:sz w:val="26"/>
          <w:lang w:eastAsia="ru-RU"/>
        </w:rPr>
        <w:t>на участке</w:t>
      </w:r>
      <w:r w:rsidRPr="009B5870">
        <w:rPr>
          <w:rFonts w:eastAsia="Times New Roman"/>
          <w:sz w:val="26"/>
          <w:lang w:eastAsia="ru-RU"/>
        </w:rPr>
        <w:t xml:space="preserve"> – </w:t>
      </w:r>
      <w:r w:rsidR="00A52EFD" w:rsidRPr="009B5870">
        <w:rPr>
          <w:rFonts w:eastAsia="Times New Roman"/>
          <w:sz w:val="26"/>
          <w:lang w:eastAsia="ru-RU"/>
        </w:rPr>
        <w:t xml:space="preserve">Чувашская </w:t>
      </w:r>
      <w:r w:rsidRPr="009B5870">
        <w:rPr>
          <w:rFonts w:eastAsia="Times New Roman"/>
          <w:sz w:val="26"/>
          <w:lang w:eastAsia="ru-RU"/>
        </w:rPr>
        <w:t xml:space="preserve">Республика, </w:t>
      </w:r>
      <w:proofErr w:type="spellStart"/>
      <w:r w:rsidR="00AB04C1" w:rsidRPr="009B5870">
        <w:rPr>
          <w:rFonts w:eastAsia="Times New Roman"/>
          <w:sz w:val="26"/>
          <w:lang w:eastAsia="ru-RU"/>
        </w:rPr>
        <w:t>Моргаушский</w:t>
      </w:r>
      <w:proofErr w:type="spellEnd"/>
      <w:r w:rsidRPr="009B5870">
        <w:rPr>
          <w:rFonts w:eastAsia="Times New Roman"/>
          <w:sz w:val="26"/>
          <w:lang w:eastAsia="ru-RU"/>
        </w:rPr>
        <w:t xml:space="preserve"> район, </w:t>
      </w:r>
      <w:r w:rsidR="00AB04C1" w:rsidRPr="009B5870">
        <w:rPr>
          <w:sz w:val="26"/>
        </w:rPr>
        <w:t xml:space="preserve">мощностью </w:t>
      </w:r>
      <w:r w:rsidR="001B49E0">
        <w:rPr>
          <w:sz w:val="26"/>
        </w:rPr>
        <w:t>84</w:t>
      </w:r>
      <w:r w:rsidR="00EE74CE" w:rsidRPr="009B5870">
        <w:rPr>
          <w:sz w:val="26"/>
        </w:rPr>
        <w:t xml:space="preserve"> </w:t>
      </w:r>
      <w:r w:rsidR="00AB04C1" w:rsidRPr="009B5870">
        <w:rPr>
          <w:sz w:val="26"/>
        </w:rPr>
        <w:t xml:space="preserve">000 т/г. </w:t>
      </w:r>
      <w:r w:rsidR="009B5870" w:rsidRPr="009B5870">
        <w:rPr>
          <w:sz w:val="26"/>
          <w:lang w:eastAsia="ru-RU"/>
        </w:rPr>
        <w:t xml:space="preserve">Инвестиции по проекту составят </w:t>
      </w:r>
      <w:r w:rsidR="001B49E0">
        <w:rPr>
          <w:sz w:val="26"/>
          <w:lang w:eastAsia="ru-RU"/>
        </w:rPr>
        <w:t>300</w:t>
      </w:r>
      <w:r w:rsidR="009B5870" w:rsidRPr="009B5870">
        <w:rPr>
          <w:sz w:val="26"/>
          <w:lang w:eastAsia="ru-RU"/>
        </w:rPr>
        <w:t xml:space="preserve"> млн. руб., в том числе:</w:t>
      </w:r>
    </w:p>
    <w:p w:rsidR="009B5870" w:rsidRPr="009B5870" w:rsidRDefault="001B49E0" w:rsidP="009B5870">
      <w:pPr>
        <w:pStyle w:val="af7"/>
        <w:ind w:firstLine="851"/>
        <w:rPr>
          <w:sz w:val="26"/>
          <w:lang w:eastAsia="ru-RU"/>
        </w:rPr>
      </w:pPr>
      <w:r>
        <w:rPr>
          <w:sz w:val="26"/>
          <w:lang w:eastAsia="ru-RU"/>
        </w:rPr>
        <w:t>О</w:t>
      </w:r>
      <w:r w:rsidR="009B5870" w:rsidRPr="009B5870">
        <w:rPr>
          <w:sz w:val="26"/>
          <w:lang w:eastAsia="ru-RU"/>
        </w:rPr>
        <w:t>борудовани</w:t>
      </w:r>
      <w:r>
        <w:rPr>
          <w:sz w:val="26"/>
          <w:lang w:eastAsia="ru-RU"/>
        </w:rPr>
        <w:t xml:space="preserve">е </w:t>
      </w:r>
      <w:r w:rsidR="009B5870" w:rsidRPr="009B5870">
        <w:rPr>
          <w:sz w:val="26"/>
          <w:lang w:eastAsia="ru-RU"/>
        </w:rPr>
        <w:t xml:space="preserve">– </w:t>
      </w:r>
      <w:r>
        <w:rPr>
          <w:sz w:val="26"/>
          <w:lang w:eastAsia="ru-RU"/>
        </w:rPr>
        <w:t>200</w:t>
      </w:r>
      <w:r w:rsidR="009B5870" w:rsidRPr="009B5870">
        <w:rPr>
          <w:sz w:val="26"/>
          <w:lang w:eastAsia="ru-RU"/>
        </w:rPr>
        <w:t xml:space="preserve"> млн. руб.;</w:t>
      </w:r>
    </w:p>
    <w:p w:rsidR="009B5870" w:rsidRPr="009B5870" w:rsidRDefault="001B49E0" w:rsidP="009B5870">
      <w:pPr>
        <w:pStyle w:val="af7"/>
        <w:ind w:firstLine="851"/>
        <w:rPr>
          <w:sz w:val="26"/>
          <w:lang w:eastAsia="ru-RU"/>
        </w:rPr>
      </w:pPr>
      <w:r>
        <w:rPr>
          <w:sz w:val="26"/>
          <w:lang w:eastAsia="ru-RU"/>
        </w:rPr>
        <w:t>Разработка проектной документации - 60 млн. руб.</w:t>
      </w:r>
    </w:p>
    <w:p w:rsidR="009B5870" w:rsidRPr="00EE74CE" w:rsidRDefault="001B49E0" w:rsidP="009B5870">
      <w:pPr>
        <w:pStyle w:val="af7"/>
        <w:ind w:firstLine="851"/>
        <w:rPr>
          <w:sz w:val="26"/>
          <w:lang w:eastAsia="ru-RU"/>
        </w:rPr>
      </w:pPr>
      <w:r>
        <w:rPr>
          <w:sz w:val="26"/>
          <w:lang w:eastAsia="ru-RU"/>
        </w:rPr>
        <w:t>Обслуживание</w:t>
      </w:r>
      <w:r w:rsidR="009B5870" w:rsidRPr="009B5870">
        <w:rPr>
          <w:sz w:val="26"/>
          <w:lang w:eastAsia="ru-RU"/>
        </w:rPr>
        <w:t xml:space="preserve"> – </w:t>
      </w:r>
      <w:r>
        <w:rPr>
          <w:sz w:val="26"/>
          <w:lang w:eastAsia="ru-RU"/>
        </w:rPr>
        <w:t>4</w:t>
      </w:r>
      <w:r w:rsidR="009B5870" w:rsidRPr="009B5870">
        <w:rPr>
          <w:sz w:val="26"/>
          <w:lang w:eastAsia="ru-RU"/>
        </w:rPr>
        <w:t>0,0 млн. руб.</w:t>
      </w:r>
    </w:p>
    <w:p w:rsidR="00FA5156" w:rsidRPr="00EE74CE" w:rsidRDefault="00882222" w:rsidP="00FA5156">
      <w:pPr>
        <w:pStyle w:val="af7"/>
        <w:ind w:firstLine="851"/>
        <w:rPr>
          <w:sz w:val="26"/>
          <w:lang w:eastAsia="ru-RU"/>
        </w:rPr>
      </w:pPr>
      <w:r w:rsidRPr="00EE74CE">
        <w:rPr>
          <w:b/>
          <w:sz w:val="26"/>
          <w:lang w:eastAsia="ru-RU"/>
        </w:rPr>
        <w:t>М</w:t>
      </w:r>
      <w:r w:rsidR="009B5870">
        <w:rPr>
          <w:b/>
          <w:sz w:val="26"/>
          <w:lang w:eastAsia="ru-RU"/>
        </w:rPr>
        <w:t>ПС</w:t>
      </w:r>
      <w:r w:rsidRPr="00EE74CE">
        <w:rPr>
          <w:b/>
          <w:sz w:val="26"/>
          <w:lang w:eastAsia="ru-RU"/>
        </w:rPr>
        <w:t xml:space="preserve"> </w:t>
      </w:r>
      <w:proofErr w:type="spellStart"/>
      <w:r w:rsidR="00F34257">
        <w:rPr>
          <w:b/>
          <w:sz w:val="26"/>
          <w:lang w:eastAsia="ru-RU"/>
        </w:rPr>
        <w:t>Канашский</w:t>
      </w:r>
      <w:proofErr w:type="spellEnd"/>
      <w:r w:rsidR="00F34257">
        <w:rPr>
          <w:b/>
          <w:sz w:val="26"/>
          <w:lang w:eastAsia="ru-RU"/>
        </w:rPr>
        <w:t xml:space="preserve"> район,</w:t>
      </w:r>
      <w:r w:rsidR="00B5551F">
        <w:rPr>
          <w:b/>
          <w:sz w:val="26"/>
          <w:lang w:eastAsia="ru-RU"/>
        </w:rPr>
        <w:t xml:space="preserve"> </w:t>
      </w:r>
      <w:proofErr w:type="gramStart"/>
      <w:r w:rsidR="00B5551F">
        <w:rPr>
          <w:b/>
          <w:sz w:val="26"/>
          <w:lang w:eastAsia="ru-RU"/>
        </w:rPr>
        <w:t>г</w:t>
      </w:r>
      <w:proofErr w:type="gramEnd"/>
      <w:r w:rsidR="00B5551F">
        <w:rPr>
          <w:b/>
          <w:sz w:val="26"/>
          <w:lang w:eastAsia="ru-RU"/>
        </w:rPr>
        <w:t>. Канаш</w:t>
      </w:r>
      <w:r w:rsidR="004038D0">
        <w:rPr>
          <w:b/>
          <w:sz w:val="26"/>
          <w:lang w:eastAsia="ru-RU"/>
        </w:rPr>
        <w:t xml:space="preserve"> </w:t>
      </w:r>
      <w:r w:rsidR="004038D0" w:rsidRPr="004038D0">
        <w:rPr>
          <w:sz w:val="26"/>
          <w:lang w:eastAsia="ru-RU"/>
        </w:rPr>
        <w:t>на участке</w:t>
      </w:r>
      <w:r w:rsidR="00B5551F">
        <w:rPr>
          <w:b/>
          <w:sz w:val="26"/>
          <w:lang w:eastAsia="ru-RU"/>
        </w:rPr>
        <w:t xml:space="preserve"> </w:t>
      </w:r>
      <w:r w:rsidR="003161E0" w:rsidRPr="00EE74CE">
        <w:rPr>
          <w:sz w:val="26"/>
          <w:lang w:eastAsia="ru-RU"/>
        </w:rPr>
        <w:t xml:space="preserve">– Чувашская </w:t>
      </w:r>
      <w:r w:rsidR="003161E0" w:rsidRPr="00EE74CE">
        <w:rPr>
          <w:sz w:val="26"/>
        </w:rPr>
        <w:t xml:space="preserve">Республика, </w:t>
      </w:r>
      <w:proofErr w:type="spellStart"/>
      <w:r w:rsidR="003161E0" w:rsidRPr="00EE74CE">
        <w:rPr>
          <w:sz w:val="26"/>
        </w:rPr>
        <w:t>Канашский</w:t>
      </w:r>
      <w:proofErr w:type="spellEnd"/>
      <w:r w:rsidR="003161E0" w:rsidRPr="00EE74CE">
        <w:rPr>
          <w:sz w:val="26"/>
        </w:rPr>
        <w:t xml:space="preserve"> район, </w:t>
      </w:r>
      <w:r w:rsidR="00B5551F">
        <w:rPr>
          <w:sz w:val="26"/>
        </w:rPr>
        <w:t>г. Канаш,</w:t>
      </w:r>
      <w:r w:rsidR="003161E0" w:rsidRPr="00EE74CE">
        <w:rPr>
          <w:sz w:val="26"/>
          <w:lang w:eastAsia="ru-RU"/>
        </w:rPr>
        <w:t xml:space="preserve"> мощностью </w:t>
      </w:r>
      <w:r w:rsidR="001B49E0">
        <w:rPr>
          <w:sz w:val="26"/>
          <w:lang w:eastAsia="ru-RU"/>
        </w:rPr>
        <w:t xml:space="preserve">28 </w:t>
      </w:r>
      <w:r w:rsidR="003161E0" w:rsidRPr="00EE74CE">
        <w:rPr>
          <w:sz w:val="26"/>
          <w:lang w:eastAsia="ru-RU"/>
        </w:rPr>
        <w:t xml:space="preserve">000 т/г – </w:t>
      </w:r>
      <w:r w:rsidR="00FA5156" w:rsidRPr="00EE74CE">
        <w:rPr>
          <w:sz w:val="26"/>
          <w:lang w:eastAsia="ru-RU"/>
        </w:rPr>
        <w:t xml:space="preserve">инвестиции по проекту составят </w:t>
      </w:r>
      <w:r w:rsidR="00FA5156">
        <w:rPr>
          <w:sz w:val="26"/>
          <w:lang w:eastAsia="ru-RU"/>
        </w:rPr>
        <w:t>165</w:t>
      </w:r>
      <w:r w:rsidR="00FA5156" w:rsidRPr="00EE74CE">
        <w:rPr>
          <w:sz w:val="26"/>
          <w:lang w:eastAsia="ru-RU"/>
        </w:rPr>
        <w:t>млн. руб., в том числе:</w:t>
      </w:r>
    </w:p>
    <w:p w:rsidR="00FA5156" w:rsidRPr="009B5870" w:rsidRDefault="00FA5156" w:rsidP="00FA5156">
      <w:pPr>
        <w:pStyle w:val="af7"/>
        <w:ind w:firstLine="851"/>
        <w:rPr>
          <w:sz w:val="26"/>
          <w:lang w:eastAsia="ru-RU"/>
        </w:rPr>
      </w:pPr>
      <w:r>
        <w:rPr>
          <w:sz w:val="26"/>
          <w:lang w:eastAsia="ru-RU"/>
        </w:rPr>
        <w:t>О</w:t>
      </w:r>
      <w:r w:rsidRPr="009B5870">
        <w:rPr>
          <w:sz w:val="26"/>
          <w:lang w:eastAsia="ru-RU"/>
        </w:rPr>
        <w:t>борудовани</w:t>
      </w:r>
      <w:r>
        <w:rPr>
          <w:sz w:val="26"/>
          <w:lang w:eastAsia="ru-RU"/>
        </w:rPr>
        <w:t xml:space="preserve">е </w:t>
      </w:r>
      <w:r w:rsidRPr="009B5870">
        <w:rPr>
          <w:sz w:val="26"/>
          <w:lang w:eastAsia="ru-RU"/>
        </w:rPr>
        <w:t xml:space="preserve">– </w:t>
      </w:r>
      <w:r>
        <w:rPr>
          <w:sz w:val="26"/>
          <w:lang w:eastAsia="ru-RU"/>
        </w:rPr>
        <w:t>110</w:t>
      </w:r>
      <w:r w:rsidRPr="009B5870">
        <w:rPr>
          <w:sz w:val="26"/>
          <w:lang w:eastAsia="ru-RU"/>
        </w:rPr>
        <w:t xml:space="preserve"> млн. руб.;</w:t>
      </w:r>
    </w:p>
    <w:p w:rsidR="00FA5156" w:rsidRPr="009B5870" w:rsidRDefault="00FA5156" w:rsidP="00FA5156">
      <w:pPr>
        <w:pStyle w:val="af7"/>
        <w:ind w:firstLine="851"/>
        <w:rPr>
          <w:sz w:val="26"/>
          <w:lang w:eastAsia="ru-RU"/>
        </w:rPr>
      </w:pPr>
      <w:r>
        <w:rPr>
          <w:sz w:val="26"/>
          <w:lang w:eastAsia="ru-RU"/>
        </w:rPr>
        <w:t>Разработка проектной документации - 33 млн. руб.</w:t>
      </w:r>
    </w:p>
    <w:p w:rsidR="00FA5156" w:rsidRDefault="00FA5156" w:rsidP="00FA5156">
      <w:pPr>
        <w:pStyle w:val="af7"/>
        <w:ind w:firstLine="851"/>
        <w:rPr>
          <w:sz w:val="26"/>
          <w:lang w:eastAsia="ru-RU"/>
        </w:rPr>
      </w:pPr>
      <w:r>
        <w:rPr>
          <w:sz w:val="26"/>
          <w:lang w:eastAsia="ru-RU"/>
        </w:rPr>
        <w:t>Обслуживание</w:t>
      </w:r>
      <w:r w:rsidRPr="009B5870">
        <w:rPr>
          <w:sz w:val="26"/>
          <w:lang w:eastAsia="ru-RU"/>
        </w:rPr>
        <w:t xml:space="preserve"> – </w:t>
      </w:r>
      <w:r>
        <w:rPr>
          <w:sz w:val="26"/>
          <w:lang w:eastAsia="ru-RU"/>
        </w:rPr>
        <w:t>22</w:t>
      </w:r>
      <w:r w:rsidRPr="009B5870">
        <w:rPr>
          <w:sz w:val="26"/>
          <w:lang w:eastAsia="ru-RU"/>
        </w:rPr>
        <w:t>,0 млн. руб.</w:t>
      </w:r>
    </w:p>
    <w:p w:rsidR="00E92777" w:rsidRDefault="009B5870" w:rsidP="00E92777">
      <w:pPr>
        <w:pStyle w:val="af7"/>
        <w:ind w:firstLine="851"/>
        <w:rPr>
          <w:sz w:val="26"/>
          <w:lang w:eastAsia="ru-RU"/>
        </w:rPr>
      </w:pPr>
      <w:r w:rsidRPr="00E92777">
        <w:rPr>
          <w:b/>
          <w:sz w:val="26"/>
          <w:lang w:eastAsia="ru-RU"/>
        </w:rPr>
        <w:t xml:space="preserve">МСК в </w:t>
      </w:r>
      <w:proofErr w:type="spellStart"/>
      <w:r w:rsidRPr="00E92777">
        <w:rPr>
          <w:b/>
          <w:sz w:val="26"/>
          <w:lang w:eastAsia="ru-RU"/>
        </w:rPr>
        <w:t>Вурнарском</w:t>
      </w:r>
      <w:proofErr w:type="spellEnd"/>
      <w:r w:rsidRPr="00E92777">
        <w:rPr>
          <w:b/>
          <w:sz w:val="26"/>
          <w:lang w:eastAsia="ru-RU"/>
        </w:rPr>
        <w:t xml:space="preserve"> районе </w:t>
      </w:r>
      <w:r w:rsidRPr="00E92777">
        <w:rPr>
          <w:sz w:val="26"/>
          <w:lang w:eastAsia="ru-RU"/>
        </w:rPr>
        <w:t xml:space="preserve">на участке – Чувашская </w:t>
      </w:r>
      <w:r w:rsidRPr="00E92777">
        <w:rPr>
          <w:sz w:val="26"/>
        </w:rPr>
        <w:t xml:space="preserve">Республика, </w:t>
      </w:r>
      <w:proofErr w:type="spellStart"/>
      <w:r w:rsidRPr="00E92777">
        <w:rPr>
          <w:sz w:val="26"/>
        </w:rPr>
        <w:t>Вурнарский</w:t>
      </w:r>
      <w:proofErr w:type="spellEnd"/>
      <w:r w:rsidRPr="00E92777">
        <w:rPr>
          <w:sz w:val="26"/>
        </w:rPr>
        <w:t xml:space="preserve"> район,</w:t>
      </w:r>
      <w:r w:rsidR="001B49E0">
        <w:rPr>
          <w:sz w:val="26"/>
          <w:lang w:eastAsia="ru-RU"/>
        </w:rPr>
        <w:t xml:space="preserve"> мощностью до 10 000 т/г, </w:t>
      </w:r>
      <w:r w:rsidR="001B49E0" w:rsidRPr="00EE74CE">
        <w:rPr>
          <w:sz w:val="26"/>
          <w:lang w:eastAsia="ru-RU"/>
        </w:rPr>
        <w:t xml:space="preserve">инвестиции по проекту составят </w:t>
      </w:r>
      <w:r w:rsidR="001B49E0">
        <w:rPr>
          <w:sz w:val="26"/>
          <w:lang w:eastAsia="ru-RU"/>
        </w:rPr>
        <w:t>105</w:t>
      </w:r>
      <w:r w:rsidR="001B49E0" w:rsidRPr="00EE74CE">
        <w:rPr>
          <w:sz w:val="26"/>
          <w:lang w:eastAsia="ru-RU"/>
        </w:rPr>
        <w:t xml:space="preserve"> млн. руб., в том числе:</w:t>
      </w:r>
    </w:p>
    <w:p w:rsidR="001B49E0" w:rsidRPr="009B5870" w:rsidRDefault="001B49E0" w:rsidP="001B49E0">
      <w:pPr>
        <w:pStyle w:val="af7"/>
        <w:ind w:firstLine="851"/>
        <w:rPr>
          <w:sz w:val="26"/>
          <w:lang w:eastAsia="ru-RU"/>
        </w:rPr>
      </w:pPr>
      <w:r>
        <w:rPr>
          <w:sz w:val="26"/>
          <w:lang w:eastAsia="ru-RU"/>
        </w:rPr>
        <w:t>О</w:t>
      </w:r>
      <w:r w:rsidRPr="009B5870">
        <w:rPr>
          <w:sz w:val="26"/>
          <w:lang w:eastAsia="ru-RU"/>
        </w:rPr>
        <w:t>борудовани</w:t>
      </w:r>
      <w:r>
        <w:rPr>
          <w:sz w:val="26"/>
          <w:lang w:eastAsia="ru-RU"/>
        </w:rPr>
        <w:t xml:space="preserve">е </w:t>
      </w:r>
      <w:r w:rsidRPr="009B5870">
        <w:rPr>
          <w:sz w:val="26"/>
          <w:lang w:eastAsia="ru-RU"/>
        </w:rPr>
        <w:t xml:space="preserve">– </w:t>
      </w:r>
      <w:r>
        <w:rPr>
          <w:sz w:val="26"/>
          <w:lang w:eastAsia="ru-RU"/>
        </w:rPr>
        <w:t>70</w:t>
      </w:r>
      <w:r w:rsidRPr="009B5870">
        <w:rPr>
          <w:sz w:val="26"/>
          <w:lang w:eastAsia="ru-RU"/>
        </w:rPr>
        <w:t xml:space="preserve"> млн. руб.;</w:t>
      </w:r>
    </w:p>
    <w:p w:rsidR="001B49E0" w:rsidRPr="009B5870" w:rsidRDefault="001B49E0" w:rsidP="001B49E0">
      <w:pPr>
        <w:pStyle w:val="af7"/>
        <w:ind w:firstLine="851"/>
        <w:rPr>
          <w:sz w:val="26"/>
          <w:lang w:eastAsia="ru-RU"/>
        </w:rPr>
      </w:pPr>
      <w:r>
        <w:rPr>
          <w:sz w:val="26"/>
          <w:lang w:eastAsia="ru-RU"/>
        </w:rPr>
        <w:t>Разработка проектной документации - 21 млн. руб.</w:t>
      </w:r>
    </w:p>
    <w:p w:rsidR="001B49E0" w:rsidRDefault="001B49E0" w:rsidP="00E92777">
      <w:pPr>
        <w:pStyle w:val="af7"/>
        <w:ind w:firstLine="851"/>
        <w:rPr>
          <w:sz w:val="26"/>
          <w:lang w:eastAsia="ru-RU"/>
        </w:rPr>
      </w:pPr>
      <w:r>
        <w:rPr>
          <w:sz w:val="26"/>
          <w:lang w:eastAsia="ru-RU"/>
        </w:rPr>
        <w:t>Обслуживание</w:t>
      </w:r>
      <w:r w:rsidRPr="009B5870">
        <w:rPr>
          <w:sz w:val="26"/>
          <w:lang w:eastAsia="ru-RU"/>
        </w:rPr>
        <w:t xml:space="preserve"> – </w:t>
      </w:r>
      <w:r>
        <w:rPr>
          <w:sz w:val="26"/>
          <w:lang w:eastAsia="ru-RU"/>
        </w:rPr>
        <w:t>14</w:t>
      </w:r>
      <w:r w:rsidRPr="009B5870">
        <w:rPr>
          <w:sz w:val="26"/>
          <w:lang w:eastAsia="ru-RU"/>
        </w:rPr>
        <w:t>,0 млн. руб.</w:t>
      </w:r>
    </w:p>
    <w:p w:rsidR="00B54DF4" w:rsidRPr="00EE74CE" w:rsidRDefault="00B54DF4" w:rsidP="00367112">
      <w:pPr>
        <w:pStyle w:val="af7"/>
        <w:ind w:firstLine="851"/>
        <w:rPr>
          <w:sz w:val="26"/>
          <w:lang w:eastAsia="ru-RU"/>
        </w:rPr>
      </w:pPr>
      <w:r w:rsidRPr="00EE74CE">
        <w:rPr>
          <w:b/>
          <w:sz w:val="26"/>
          <w:lang w:eastAsia="ru-RU"/>
        </w:rPr>
        <w:t xml:space="preserve">МПС </w:t>
      </w:r>
      <w:proofErr w:type="gramStart"/>
      <w:r w:rsidRPr="00EE74CE">
        <w:rPr>
          <w:b/>
          <w:sz w:val="26"/>
          <w:lang w:eastAsia="ru-RU"/>
        </w:rPr>
        <w:t>г</w:t>
      </w:r>
      <w:proofErr w:type="gramEnd"/>
      <w:r w:rsidRPr="00EE74CE">
        <w:rPr>
          <w:b/>
          <w:sz w:val="26"/>
          <w:lang w:eastAsia="ru-RU"/>
        </w:rPr>
        <w:t xml:space="preserve">. Шумерля </w:t>
      </w:r>
      <w:r w:rsidRPr="00EE74CE">
        <w:rPr>
          <w:sz w:val="26"/>
          <w:lang w:eastAsia="ru-RU"/>
        </w:rPr>
        <w:t xml:space="preserve">на участке – Чувашская </w:t>
      </w:r>
      <w:r w:rsidRPr="00EE74CE">
        <w:rPr>
          <w:sz w:val="26"/>
        </w:rPr>
        <w:t xml:space="preserve">Республика, </w:t>
      </w:r>
      <w:proofErr w:type="spellStart"/>
      <w:r w:rsidRPr="00EE74CE">
        <w:rPr>
          <w:sz w:val="26"/>
        </w:rPr>
        <w:t>Шумерлинский</w:t>
      </w:r>
      <w:proofErr w:type="spellEnd"/>
      <w:r w:rsidRPr="00EE74CE">
        <w:rPr>
          <w:sz w:val="26"/>
        </w:rPr>
        <w:t xml:space="preserve"> район,</w:t>
      </w:r>
      <w:r w:rsidR="004038D0">
        <w:rPr>
          <w:sz w:val="26"/>
        </w:rPr>
        <w:t xml:space="preserve"> г. Шумерля</w:t>
      </w:r>
      <w:r w:rsidRPr="00EE74CE">
        <w:rPr>
          <w:sz w:val="26"/>
          <w:lang w:eastAsia="ru-RU"/>
        </w:rPr>
        <w:t xml:space="preserve"> мощностью </w:t>
      </w:r>
      <w:r w:rsidR="00584A60">
        <w:rPr>
          <w:sz w:val="26"/>
          <w:lang w:eastAsia="ru-RU"/>
        </w:rPr>
        <w:t xml:space="preserve">до </w:t>
      </w:r>
      <w:r w:rsidR="001B49E0">
        <w:rPr>
          <w:sz w:val="26"/>
          <w:lang w:eastAsia="ru-RU"/>
        </w:rPr>
        <w:t>1</w:t>
      </w:r>
      <w:r w:rsidRPr="00EE74CE">
        <w:rPr>
          <w:sz w:val="26"/>
          <w:lang w:eastAsia="ru-RU"/>
        </w:rPr>
        <w:t>0</w:t>
      </w:r>
      <w:r w:rsidR="00367112">
        <w:rPr>
          <w:sz w:val="26"/>
          <w:lang w:eastAsia="ru-RU"/>
        </w:rPr>
        <w:t xml:space="preserve"> </w:t>
      </w:r>
      <w:r w:rsidRPr="00EE74CE">
        <w:rPr>
          <w:sz w:val="26"/>
          <w:lang w:eastAsia="ru-RU"/>
        </w:rPr>
        <w:t xml:space="preserve">000 т/г – инвестиции по проекту составят </w:t>
      </w:r>
      <w:r w:rsidR="001B49E0">
        <w:rPr>
          <w:sz w:val="26"/>
          <w:lang w:eastAsia="ru-RU"/>
        </w:rPr>
        <w:t>105</w:t>
      </w:r>
      <w:r w:rsidRPr="00EE74CE">
        <w:rPr>
          <w:sz w:val="26"/>
          <w:lang w:eastAsia="ru-RU"/>
        </w:rPr>
        <w:t xml:space="preserve"> млн.</w:t>
      </w:r>
      <w:r w:rsidR="002D08C2" w:rsidRPr="00EE74CE">
        <w:rPr>
          <w:sz w:val="26"/>
          <w:lang w:eastAsia="ru-RU"/>
        </w:rPr>
        <w:t xml:space="preserve"> </w:t>
      </w:r>
      <w:r w:rsidRPr="00EE74CE">
        <w:rPr>
          <w:sz w:val="26"/>
          <w:lang w:eastAsia="ru-RU"/>
        </w:rPr>
        <w:t>руб., в том числе:</w:t>
      </w:r>
    </w:p>
    <w:p w:rsidR="001B49E0" w:rsidRPr="009B5870" w:rsidRDefault="001B49E0" w:rsidP="001B49E0">
      <w:pPr>
        <w:pStyle w:val="af7"/>
        <w:ind w:firstLine="851"/>
        <w:rPr>
          <w:sz w:val="26"/>
          <w:lang w:eastAsia="ru-RU"/>
        </w:rPr>
      </w:pPr>
      <w:r>
        <w:rPr>
          <w:sz w:val="26"/>
          <w:lang w:eastAsia="ru-RU"/>
        </w:rPr>
        <w:t>О</w:t>
      </w:r>
      <w:r w:rsidRPr="009B5870">
        <w:rPr>
          <w:sz w:val="26"/>
          <w:lang w:eastAsia="ru-RU"/>
        </w:rPr>
        <w:t>борудовани</w:t>
      </w:r>
      <w:r>
        <w:rPr>
          <w:sz w:val="26"/>
          <w:lang w:eastAsia="ru-RU"/>
        </w:rPr>
        <w:t xml:space="preserve">е </w:t>
      </w:r>
      <w:r w:rsidRPr="009B5870">
        <w:rPr>
          <w:sz w:val="26"/>
          <w:lang w:eastAsia="ru-RU"/>
        </w:rPr>
        <w:t xml:space="preserve">– </w:t>
      </w:r>
      <w:r>
        <w:rPr>
          <w:sz w:val="26"/>
          <w:lang w:eastAsia="ru-RU"/>
        </w:rPr>
        <w:t>70</w:t>
      </w:r>
      <w:r w:rsidRPr="009B5870">
        <w:rPr>
          <w:sz w:val="26"/>
          <w:lang w:eastAsia="ru-RU"/>
        </w:rPr>
        <w:t xml:space="preserve"> млн. руб.;</w:t>
      </w:r>
    </w:p>
    <w:p w:rsidR="001B49E0" w:rsidRPr="009B5870" w:rsidRDefault="001B49E0" w:rsidP="001B49E0">
      <w:pPr>
        <w:pStyle w:val="af7"/>
        <w:ind w:firstLine="851"/>
        <w:rPr>
          <w:sz w:val="26"/>
          <w:lang w:eastAsia="ru-RU"/>
        </w:rPr>
      </w:pPr>
      <w:r>
        <w:rPr>
          <w:sz w:val="26"/>
          <w:lang w:eastAsia="ru-RU"/>
        </w:rPr>
        <w:t>Разработка проектной документации - 21 млн. руб.</w:t>
      </w:r>
    </w:p>
    <w:p w:rsidR="001B49E0" w:rsidRDefault="001B49E0" w:rsidP="001B49E0">
      <w:pPr>
        <w:pStyle w:val="af7"/>
        <w:ind w:firstLine="851"/>
        <w:rPr>
          <w:sz w:val="26"/>
          <w:lang w:eastAsia="ru-RU"/>
        </w:rPr>
      </w:pPr>
      <w:r>
        <w:rPr>
          <w:sz w:val="26"/>
          <w:lang w:eastAsia="ru-RU"/>
        </w:rPr>
        <w:t>Обслуживание</w:t>
      </w:r>
      <w:r w:rsidRPr="009B5870">
        <w:rPr>
          <w:sz w:val="26"/>
          <w:lang w:eastAsia="ru-RU"/>
        </w:rPr>
        <w:t xml:space="preserve"> – </w:t>
      </w:r>
      <w:r>
        <w:rPr>
          <w:sz w:val="26"/>
          <w:lang w:eastAsia="ru-RU"/>
        </w:rPr>
        <w:t>14</w:t>
      </w:r>
      <w:r w:rsidRPr="009B5870">
        <w:rPr>
          <w:sz w:val="26"/>
          <w:lang w:eastAsia="ru-RU"/>
        </w:rPr>
        <w:t>,0 млн. руб.</w:t>
      </w:r>
    </w:p>
    <w:p w:rsidR="00AB04C1" w:rsidRPr="00EE74CE" w:rsidRDefault="00AB04C1" w:rsidP="00367112">
      <w:pPr>
        <w:pStyle w:val="af7"/>
        <w:ind w:firstLine="851"/>
        <w:rPr>
          <w:sz w:val="26"/>
          <w:lang w:eastAsia="ru-RU"/>
        </w:rPr>
      </w:pPr>
      <w:r w:rsidRPr="00EE74CE">
        <w:rPr>
          <w:b/>
          <w:sz w:val="26"/>
          <w:lang w:eastAsia="ru-RU"/>
        </w:rPr>
        <w:t>М</w:t>
      </w:r>
      <w:r w:rsidR="003161E0" w:rsidRPr="00EE74CE">
        <w:rPr>
          <w:b/>
          <w:sz w:val="26"/>
          <w:lang w:eastAsia="ru-RU"/>
        </w:rPr>
        <w:t>СК</w:t>
      </w:r>
      <w:r w:rsidRPr="00EE74CE">
        <w:rPr>
          <w:b/>
          <w:sz w:val="26"/>
          <w:lang w:eastAsia="ru-RU"/>
        </w:rPr>
        <w:t xml:space="preserve"> с</w:t>
      </w:r>
      <w:r w:rsidR="00B253B6" w:rsidRPr="00EE74CE">
        <w:rPr>
          <w:b/>
          <w:sz w:val="26"/>
          <w:lang w:eastAsia="ru-RU"/>
        </w:rPr>
        <w:t xml:space="preserve">. Батырево </w:t>
      </w:r>
      <w:r w:rsidRPr="00EE74CE">
        <w:rPr>
          <w:sz w:val="26"/>
          <w:lang w:eastAsia="ru-RU"/>
        </w:rPr>
        <w:t xml:space="preserve">на участке – Чувашская </w:t>
      </w:r>
      <w:r w:rsidRPr="00EE74CE">
        <w:rPr>
          <w:sz w:val="26"/>
        </w:rPr>
        <w:t xml:space="preserve">Республика, </w:t>
      </w:r>
      <w:proofErr w:type="spellStart"/>
      <w:r w:rsidR="00BD08AA" w:rsidRPr="00EE74CE">
        <w:rPr>
          <w:sz w:val="26"/>
        </w:rPr>
        <w:t>Батыревский</w:t>
      </w:r>
      <w:proofErr w:type="spellEnd"/>
      <w:r w:rsidR="00BD08AA" w:rsidRPr="00EE74CE">
        <w:rPr>
          <w:sz w:val="26"/>
        </w:rPr>
        <w:t xml:space="preserve"> район,</w:t>
      </w:r>
      <w:r w:rsidR="00BD08AA" w:rsidRPr="00EE74CE">
        <w:rPr>
          <w:sz w:val="26"/>
          <w:lang w:eastAsia="ru-RU"/>
        </w:rPr>
        <w:t xml:space="preserve"> мощностью </w:t>
      </w:r>
      <w:r w:rsidR="00584A60">
        <w:rPr>
          <w:sz w:val="26"/>
          <w:lang w:eastAsia="ru-RU"/>
        </w:rPr>
        <w:t xml:space="preserve">до </w:t>
      </w:r>
      <w:r w:rsidR="001B49E0">
        <w:rPr>
          <w:sz w:val="26"/>
          <w:lang w:eastAsia="ru-RU"/>
        </w:rPr>
        <w:t>17</w:t>
      </w:r>
      <w:r w:rsidR="00584A60">
        <w:rPr>
          <w:sz w:val="26"/>
          <w:lang w:eastAsia="ru-RU"/>
        </w:rPr>
        <w:t xml:space="preserve"> </w:t>
      </w:r>
      <w:r w:rsidRPr="00EE74CE">
        <w:rPr>
          <w:sz w:val="26"/>
          <w:lang w:eastAsia="ru-RU"/>
        </w:rPr>
        <w:t xml:space="preserve">000 т/г – инвестиции по проекту составят </w:t>
      </w:r>
      <w:r w:rsidR="001B49E0">
        <w:rPr>
          <w:sz w:val="26"/>
          <w:lang w:eastAsia="ru-RU"/>
        </w:rPr>
        <w:t>135</w:t>
      </w:r>
      <w:r w:rsidR="00B54DF4" w:rsidRPr="00EE74CE">
        <w:rPr>
          <w:sz w:val="26"/>
          <w:lang w:eastAsia="ru-RU"/>
        </w:rPr>
        <w:t xml:space="preserve"> </w:t>
      </w:r>
      <w:r w:rsidRPr="00EE74CE">
        <w:rPr>
          <w:sz w:val="26"/>
          <w:lang w:eastAsia="ru-RU"/>
        </w:rPr>
        <w:t>млн.</w:t>
      </w:r>
      <w:r w:rsidR="00B54DF4" w:rsidRPr="00EE74CE">
        <w:rPr>
          <w:sz w:val="26"/>
          <w:lang w:eastAsia="ru-RU"/>
        </w:rPr>
        <w:t xml:space="preserve"> </w:t>
      </w:r>
      <w:r w:rsidRPr="00EE74CE">
        <w:rPr>
          <w:sz w:val="26"/>
          <w:lang w:eastAsia="ru-RU"/>
        </w:rPr>
        <w:t>руб</w:t>
      </w:r>
      <w:r w:rsidR="00B54DF4" w:rsidRPr="00EE74CE">
        <w:rPr>
          <w:sz w:val="26"/>
          <w:lang w:eastAsia="ru-RU"/>
        </w:rPr>
        <w:t>.</w:t>
      </w:r>
      <w:r w:rsidRPr="00EE74CE">
        <w:rPr>
          <w:sz w:val="26"/>
          <w:lang w:eastAsia="ru-RU"/>
        </w:rPr>
        <w:t>, в том числе:</w:t>
      </w:r>
    </w:p>
    <w:p w:rsidR="001B49E0" w:rsidRPr="009B5870" w:rsidRDefault="001B49E0" w:rsidP="001B49E0">
      <w:pPr>
        <w:pStyle w:val="af7"/>
        <w:ind w:firstLine="851"/>
        <w:rPr>
          <w:sz w:val="26"/>
          <w:lang w:eastAsia="ru-RU"/>
        </w:rPr>
      </w:pPr>
      <w:r>
        <w:rPr>
          <w:sz w:val="26"/>
          <w:lang w:eastAsia="ru-RU"/>
        </w:rPr>
        <w:t>О</w:t>
      </w:r>
      <w:r w:rsidRPr="009B5870">
        <w:rPr>
          <w:sz w:val="26"/>
          <w:lang w:eastAsia="ru-RU"/>
        </w:rPr>
        <w:t>борудовани</w:t>
      </w:r>
      <w:r>
        <w:rPr>
          <w:sz w:val="26"/>
          <w:lang w:eastAsia="ru-RU"/>
        </w:rPr>
        <w:t xml:space="preserve">е </w:t>
      </w:r>
      <w:r w:rsidRPr="009B5870">
        <w:rPr>
          <w:sz w:val="26"/>
          <w:lang w:eastAsia="ru-RU"/>
        </w:rPr>
        <w:t xml:space="preserve">– </w:t>
      </w:r>
      <w:r>
        <w:rPr>
          <w:sz w:val="26"/>
          <w:lang w:eastAsia="ru-RU"/>
        </w:rPr>
        <w:t>90</w:t>
      </w:r>
      <w:r w:rsidRPr="009B5870">
        <w:rPr>
          <w:sz w:val="26"/>
          <w:lang w:eastAsia="ru-RU"/>
        </w:rPr>
        <w:t xml:space="preserve"> млн. руб.;</w:t>
      </w:r>
    </w:p>
    <w:p w:rsidR="001B49E0" w:rsidRPr="009B5870" w:rsidRDefault="001B49E0" w:rsidP="001B49E0">
      <w:pPr>
        <w:pStyle w:val="af7"/>
        <w:ind w:firstLine="851"/>
        <w:rPr>
          <w:sz w:val="26"/>
          <w:lang w:eastAsia="ru-RU"/>
        </w:rPr>
      </w:pPr>
      <w:r>
        <w:rPr>
          <w:sz w:val="26"/>
          <w:lang w:eastAsia="ru-RU"/>
        </w:rPr>
        <w:t>Разработка проектной документации - 27 млн. руб.</w:t>
      </w:r>
    </w:p>
    <w:p w:rsidR="001B49E0" w:rsidRDefault="001B49E0" w:rsidP="001B49E0">
      <w:pPr>
        <w:pStyle w:val="af7"/>
        <w:ind w:firstLine="851"/>
        <w:rPr>
          <w:b/>
          <w:sz w:val="26"/>
          <w:lang w:eastAsia="ru-RU"/>
        </w:rPr>
      </w:pPr>
      <w:r>
        <w:rPr>
          <w:sz w:val="26"/>
          <w:lang w:eastAsia="ru-RU"/>
        </w:rPr>
        <w:t>Обслуживание</w:t>
      </w:r>
      <w:r w:rsidRPr="009B5870">
        <w:rPr>
          <w:sz w:val="26"/>
          <w:lang w:eastAsia="ru-RU"/>
        </w:rPr>
        <w:t xml:space="preserve"> – </w:t>
      </w:r>
      <w:r>
        <w:rPr>
          <w:sz w:val="26"/>
          <w:lang w:eastAsia="ru-RU"/>
        </w:rPr>
        <w:t>18</w:t>
      </w:r>
      <w:r w:rsidRPr="009B5870">
        <w:rPr>
          <w:sz w:val="26"/>
          <w:lang w:eastAsia="ru-RU"/>
        </w:rPr>
        <w:t>,0 млн. руб</w:t>
      </w:r>
      <w:r>
        <w:rPr>
          <w:b/>
          <w:sz w:val="26"/>
          <w:lang w:eastAsia="ru-RU"/>
        </w:rPr>
        <w:t xml:space="preserve">. </w:t>
      </w:r>
    </w:p>
    <w:p w:rsidR="00B253B6" w:rsidRPr="00EE74CE" w:rsidRDefault="005763C2" w:rsidP="00367112">
      <w:pPr>
        <w:pStyle w:val="af7"/>
        <w:ind w:firstLine="851"/>
        <w:rPr>
          <w:sz w:val="26"/>
          <w:lang w:eastAsia="ru-RU"/>
        </w:rPr>
      </w:pPr>
      <w:r>
        <w:rPr>
          <w:b/>
          <w:sz w:val="26"/>
          <w:lang w:eastAsia="ru-RU"/>
        </w:rPr>
        <w:lastRenderedPageBreak/>
        <w:t>МПС</w:t>
      </w:r>
      <w:r w:rsidR="00B253B6" w:rsidRPr="00EE74CE">
        <w:rPr>
          <w:b/>
          <w:sz w:val="26"/>
          <w:lang w:eastAsia="ru-RU"/>
        </w:rPr>
        <w:t xml:space="preserve"> </w:t>
      </w:r>
      <w:proofErr w:type="gramStart"/>
      <w:r w:rsidR="00B253B6" w:rsidRPr="00EE74CE">
        <w:rPr>
          <w:b/>
          <w:sz w:val="26"/>
          <w:lang w:eastAsia="ru-RU"/>
        </w:rPr>
        <w:t>в</w:t>
      </w:r>
      <w:proofErr w:type="gramEnd"/>
      <w:r w:rsidR="00B253B6" w:rsidRPr="00EE74CE">
        <w:rPr>
          <w:b/>
          <w:sz w:val="26"/>
          <w:lang w:eastAsia="ru-RU"/>
        </w:rPr>
        <w:t xml:space="preserve"> </w:t>
      </w:r>
      <w:proofErr w:type="gramStart"/>
      <w:r w:rsidR="00B253B6" w:rsidRPr="00EE74CE">
        <w:rPr>
          <w:b/>
          <w:sz w:val="26"/>
          <w:lang w:eastAsia="ru-RU"/>
        </w:rPr>
        <w:t>Цивильском</w:t>
      </w:r>
      <w:proofErr w:type="gramEnd"/>
      <w:r w:rsidR="00B253B6" w:rsidRPr="00EE74CE">
        <w:rPr>
          <w:b/>
          <w:sz w:val="26"/>
          <w:lang w:eastAsia="ru-RU"/>
        </w:rPr>
        <w:t xml:space="preserve"> районе </w:t>
      </w:r>
      <w:r w:rsidR="00B253B6" w:rsidRPr="00EE74CE">
        <w:rPr>
          <w:sz w:val="26"/>
          <w:lang w:eastAsia="ru-RU"/>
        </w:rPr>
        <w:t xml:space="preserve">на участке – Чувашская </w:t>
      </w:r>
      <w:r w:rsidR="00B253B6" w:rsidRPr="00EE74CE">
        <w:rPr>
          <w:sz w:val="26"/>
        </w:rPr>
        <w:t xml:space="preserve">Республика, </w:t>
      </w:r>
      <w:proofErr w:type="spellStart"/>
      <w:r w:rsidR="00B253B6" w:rsidRPr="00EE74CE">
        <w:rPr>
          <w:sz w:val="26"/>
        </w:rPr>
        <w:t>Цивильский</w:t>
      </w:r>
      <w:proofErr w:type="spellEnd"/>
      <w:r w:rsidR="00B253B6" w:rsidRPr="00EE74CE">
        <w:rPr>
          <w:sz w:val="26"/>
        </w:rPr>
        <w:t xml:space="preserve"> район,</w:t>
      </w:r>
      <w:r w:rsidR="00B253B6" w:rsidRPr="00EE74CE">
        <w:rPr>
          <w:sz w:val="26"/>
          <w:lang w:eastAsia="ru-RU"/>
        </w:rPr>
        <w:t xml:space="preserve"> мощностью</w:t>
      </w:r>
      <w:r w:rsidR="00584A60">
        <w:rPr>
          <w:sz w:val="26"/>
          <w:lang w:eastAsia="ru-RU"/>
        </w:rPr>
        <w:t xml:space="preserve"> до</w:t>
      </w:r>
      <w:r w:rsidR="00B253B6" w:rsidRPr="00EE74CE">
        <w:rPr>
          <w:sz w:val="26"/>
          <w:lang w:eastAsia="ru-RU"/>
        </w:rPr>
        <w:t xml:space="preserve"> 30</w:t>
      </w:r>
      <w:r w:rsidR="00367112">
        <w:rPr>
          <w:sz w:val="26"/>
          <w:lang w:eastAsia="ru-RU"/>
        </w:rPr>
        <w:t xml:space="preserve"> </w:t>
      </w:r>
      <w:r w:rsidR="00B253B6" w:rsidRPr="00EE74CE">
        <w:rPr>
          <w:sz w:val="26"/>
          <w:lang w:eastAsia="ru-RU"/>
        </w:rPr>
        <w:t xml:space="preserve">000 т/г – </w:t>
      </w:r>
      <w:r w:rsidR="001B49E0">
        <w:rPr>
          <w:sz w:val="26"/>
          <w:lang w:eastAsia="ru-RU"/>
        </w:rPr>
        <w:t>необходимы уточнения.</w:t>
      </w:r>
    </w:p>
    <w:p w:rsidR="00B253B6" w:rsidRPr="00EE74CE" w:rsidRDefault="00B253B6" w:rsidP="00367112">
      <w:pPr>
        <w:pStyle w:val="af7"/>
        <w:ind w:firstLine="851"/>
        <w:rPr>
          <w:sz w:val="26"/>
          <w:lang w:eastAsia="ru-RU"/>
        </w:rPr>
      </w:pPr>
      <w:r w:rsidRPr="00EE74CE">
        <w:rPr>
          <w:b/>
          <w:sz w:val="26"/>
          <w:lang w:eastAsia="ru-RU"/>
        </w:rPr>
        <w:t xml:space="preserve">МПС в д. </w:t>
      </w:r>
      <w:proofErr w:type="spellStart"/>
      <w:proofErr w:type="gramStart"/>
      <w:r w:rsidRPr="00EE74CE">
        <w:rPr>
          <w:b/>
          <w:sz w:val="26"/>
          <w:lang w:eastAsia="ru-RU"/>
        </w:rPr>
        <w:t>Андреево-Базары</w:t>
      </w:r>
      <w:proofErr w:type="spellEnd"/>
      <w:proofErr w:type="gramEnd"/>
      <w:r w:rsidRPr="00EE74CE">
        <w:rPr>
          <w:b/>
          <w:sz w:val="26"/>
          <w:lang w:eastAsia="ru-RU"/>
        </w:rPr>
        <w:t xml:space="preserve"> </w:t>
      </w:r>
      <w:r w:rsidRPr="00EE74CE">
        <w:rPr>
          <w:sz w:val="26"/>
          <w:lang w:eastAsia="ru-RU"/>
        </w:rPr>
        <w:t xml:space="preserve">на участке – Чувашская </w:t>
      </w:r>
      <w:r w:rsidRPr="00EE74CE">
        <w:rPr>
          <w:sz w:val="26"/>
        </w:rPr>
        <w:t>Республика, Козловский район,</w:t>
      </w:r>
      <w:r w:rsidRPr="00EE74CE">
        <w:rPr>
          <w:sz w:val="26"/>
          <w:lang w:eastAsia="ru-RU"/>
        </w:rPr>
        <w:t xml:space="preserve"> мощностью </w:t>
      </w:r>
      <w:r w:rsidR="00584A60">
        <w:rPr>
          <w:sz w:val="26"/>
          <w:lang w:eastAsia="ru-RU"/>
        </w:rPr>
        <w:t xml:space="preserve">до </w:t>
      </w:r>
      <w:r w:rsidR="001B49E0">
        <w:rPr>
          <w:sz w:val="26"/>
          <w:lang w:eastAsia="ru-RU"/>
        </w:rPr>
        <w:t>1</w:t>
      </w:r>
      <w:r w:rsidRPr="00EE74CE">
        <w:rPr>
          <w:sz w:val="26"/>
          <w:lang w:eastAsia="ru-RU"/>
        </w:rPr>
        <w:t>0</w:t>
      </w:r>
      <w:r w:rsidR="00367112">
        <w:rPr>
          <w:sz w:val="26"/>
          <w:lang w:eastAsia="ru-RU"/>
        </w:rPr>
        <w:t xml:space="preserve"> </w:t>
      </w:r>
      <w:r w:rsidRPr="00EE74CE">
        <w:rPr>
          <w:sz w:val="26"/>
          <w:lang w:eastAsia="ru-RU"/>
        </w:rPr>
        <w:t xml:space="preserve">000 т/г – инвестиции по проекту составят </w:t>
      </w:r>
      <w:r w:rsidR="001B49E0">
        <w:rPr>
          <w:sz w:val="26"/>
          <w:lang w:eastAsia="ru-RU"/>
        </w:rPr>
        <w:t>105</w:t>
      </w:r>
      <w:r w:rsidRPr="00EE74CE">
        <w:rPr>
          <w:sz w:val="26"/>
          <w:lang w:eastAsia="ru-RU"/>
        </w:rPr>
        <w:t xml:space="preserve"> млн. руб., в том числе:</w:t>
      </w:r>
    </w:p>
    <w:p w:rsidR="001B49E0" w:rsidRPr="009B5870" w:rsidRDefault="001B49E0" w:rsidP="001B49E0">
      <w:pPr>
        <w:pStyle w:val="af7"/>
        <w:ind w:firstLine="851"/>
        <w:rPr>
          <w:sz w:val="26"/>
          <w:lang w:eastAsia="ru-RU"/>
        </w:rPr>
      </w:pPr>
      <w:r>
        <w:rPr>
          <w:sz w:val="26"/>
          <w:lang w:eastAsia="ru-RU"/>
        </w:rPr>
        <w:t>О</w:t>
      </w:r>
      <w:r w:rsidRPr="009B5870">
        <w:rPr>
          <w:sz w:val="26"/>
          <w:lang w:eastAsia="ru-RU"/>
        </w:rPr>
        <w:t>борудовани</w:t>
      </w:r>
      <w:r>
        <w:rPr>
          <w:sz w:val="26"/>
          <w:lang w:eastAsia="ru-RU"/>
        </w:rPr>
        <w:t xml:space="preserve">е </w:t>
      </w:r>
      <w:r w:rsidRPr="009B5870">
        <w:rPr>
          <w:sz w:val="26"/>
          <w:lang w:eastAsia="ru-RU"/>
        </w:rPr>
        <w:t xml:space="preserve">– </w:t>
      </w:r>
      <w:r>
        <w:rPr>
          <w:sz w:val="26"/>
          <w:lang w:eastAsia="ru-RU"/>
        </w:rPr>
        <w:t>70</w:t>
      </w:r>
      <w:r w:rsidRPr="009B5870">
        <w:rPr>
          <w:sz w:val="26"/>
          <w:lang w:eastAsia="ru-RU"/>
        </w:rPr>
        <w:t xml:space="preserve"> млн. руб.;</w:t>
      </w:r>
    </w:p>
    <w:p w:rsidR="001B49E0" w:rsidRPr="009B5870" w:rsidRDefault="001B49E0" w:rsidP="001B49E0">
      <w:pPr>
        <w:pStyle w:val="af7"/>
        <w:ind w:firstLine="851"/>
        <w:rPr>
          <w:sz w:val="26"/>
          <w:lang w:eastAsia="ru-RU"/>
        </w:rPr>
      </w:pPr>
      <w:r>
        <w:rPr>
          <w:sz w:val="26"/>
          <w:lang w:eastAsia="ru-RU"/>
        </w:rPr>
        <w:t>Разработка проектной документации - 21 млн. руб.</w:t>
      </w:r>
    </w:p>
    <w:p w:rsidR="001B49E0" w:rsidRDefault="001B49E0" w:rsidP="001B49E0">
      <w:pPr>
        <w:pStyle w:val="af7"/>
        <w:ind w:firstLine="851"/>
        <w:rPr>
          <w:sz w:val="26"/>
          <w:lang w:eastAsia="ru-RU"/>
        </w:rPr>
      </w:pPr>
      <w:r>
        <w:rPr>
          <w:sz w:val="26"/>
          <w:lang w:eastAsia="ru-RU"/>
        </w:rPr>
        <w:t>Обслуживание</w:t>
      </w:r>
      <w:r w:rsidRPr="009B5870">
        <w:rPr>
          <w:sz w:val="26"/>
          <w:lang w:eastAsia="ru-RU"/>
        </w:rPr>
        <w:t xml:space="preserve"> – </w:t>
      </w:r>
      <w:r>
        <w:rPr>
          <w:sz w:val="26"/>
          <w:lang w:eastAsia="ru-RU"/>
        </w:rPr>
        <w:t>14</w:t>
      </w:r>
      <w:r w:rsidRPr="009B5870">
        <w:rPr>
          <w:sz w:val="26"/>
          <w:lang w:eastAsia="ru-RU"/>
        </w:rPr>
        <w:t>,0 млн. руб.</w:t>
      </w:r>
    </w:p>
    <w:p w:rsidR="001B49E0" w:rsidRPr="00EE74CE" w:rsidRDefault="00B253B6" w:rsidP="001B49E0">
      <w:pPr>
        <w:pStyle w:val="af7"/>
        <w:ind w:firstLine="851"/>
        <w:rPr>
          <w:sz w:val="26"/>
          <w:lang w:eastAsia="ru-RU"/>
        </w:rPr>
      </w:pPr>
      <w:r w:rsidRPr="00EE74CE">
        <w:rPr>
          <w:b/>
          <w:sz w:val="26"/>
          <w:lang w:eastAsia="ru-RU"/>
        </w:rPr>
        <w:t xml:space="preserve">МПС </w:t>
      </w:r>
      <w:proofErr w:type="gramStart"/>
      <w:r w:rsidRPr="00EE74CE">
        <w:rPr>
          <w:b/>
          <w:sz w:val="26"/>
          <w:lang w:eastAsia="ru-RU"/>
        </w:rPr>
        <w:t>г</w:t>
      </w:r>
      <w:proofErr w:type="gramEnd"/>
      <w:r w:rsidRPr="00EE74CE">
        <w:rPr>
          <w:b/>
          <w:sz w:val="26"/>
          <w:lang w:eastAsia="ru-RU"/>
        </w:rPr>
        <w:t xml:space="preserve">. Алатырь </w:t>
      </w:r>
      <w:r w:rsidRPr="00EE74CE">
        <w:rPr>
          <w:sz w:val="26"/>
          <w:lang w:eastAsia="ru-RU"/>
        </w:rPr>
        <w:t xml:space="preserve">на участке – Чувашская </w:t>
      </w:r>
      <w:r w:rsidRPr="00EE74CE">
        <w:rPr>
          <w:sz w:val="26"/>
        </w:rPr>
        <w:t xml:space="preserve">Республика, </w:t>
      </w:r>
      <w:proofErr w:type="spellStart"/>
      <w:r w:rsidR="00815750" w:rsidRPr="00EE74CE">
        <w:rPr>
          <w:sz w:val="26"/>
        </w:rPr>
        <w:t>Алатыр</w:t>
      </w:r>
      <w:r w:rsidRPr="00EE74CE">
        <w:rPr>
          <w:sz w:val="26"/>
        </w:rPr>
        <w:t>ский</w:t>
      </w:r>
      <w:proofErr w:type="spellEnd"/>
      <w:r w:rsidRPr="00EE74CE">
        <w:rPr>
          <w:sz w:val="26"/>
        </w:rPr>
        <w:t xml:space="preserve"> район,</w:t>
      </w:r>
      <w:r w:rsidRPr="00EE74CE">
        <w:rPr>
          <w:sz w:val="26"/>
          <w:lang w:eastAsia="ru-RU"/>
        </w:rPr>
        <w:t xml:space="preserve"> </w:t>
      </w:r>
      <w:r w:rsidR="004038D0">
        <w:rPr>
          <w:sz w:val="26"/>
          <w:lang w:eastAsia="ru-RU"/>
        </w:rPr>
        <w:t xml:space="preserve">г. Алатырь </w:t>
      </w:r>
      <w:r w:rsidRPr="00EE74CE">
        <w:rPr>
          <w:sz w:val="26"/>
          <w:lang w:eastAsia="ru-RU"/>
        </w:rPr>
        <w:t xml:space="preserve">мощностью </w:t>
      </w:r>
      <w:r w:rsidR="00FC1DC4">
        <w:rPr>
          <w:sz w:val="26"/>
          <w:lang w:eastAsia="ru-RU"/>
        </w:rPr>
        <w:t xml:space="preserve">до </w:t>
      </w:r>
      <w:r w:rsidR="001B49E0">
        <w:rPr>
          <w:sz w:val="26"/>
          <w:lang w:eastAsia="ru-RU"/>
        </w:rPr>
        <w:t>1</w:t>
      </w:r>
      <w:r w:rsidRPr="00EE74CE">
        <w:rPr>
          <w:sz w:val="26"/>
          <w:lang w:eastAsia="ru-RU"/>
        </w:rPr>
        <w:t>0</w:t>
      </w:r>
      <w:r w:rsidR="00367112">
        <w:rPr>
          <w:sz w:val="26"/>
          <w:lang w:eastAsia="ru-RU"/>
        </w:rPr>
        <w:t xml:space="preserve"> </w:t>
      </w:r>
      <w:r w:rsidRPr="00EE74CE">
        <w:rPr>
          <w:sz w:val="26"/>
          <w:lang w:eastAsia="ru-RU"/>
        </w:rPr>
        <w:t xml:space="preserve">000 т/г – </w:t>
      </w:r>
      <w:bookmarkStart w:id="3" w:name="_Toc21344937"/>
      <w:r w:rsidR="001B49E0" w:rsidRPr="00EE74CE">
        <w:rPr>
          <w:sz w:val="26"/>
          <w:lang w:eastAsia="ru-RU"/>
        </w:rPr>
        <w:t xml:space="preserve">инвестиции по проекту составят </w:t>
      </w:r>
      <w:r w:rsidR="001B49E0">
        <w:rPr>
          <w:sz w:val="26"/>
          <w:lang w:eastAsia="ru-RU"/>
        </w:rPr>
        <w:t>105</w:t>
      </w:r>
      <w:r w:rsidR="001B49E0" w:rsidRPr="00EE74CE">
        <w:rPr>
          <w:sz w:val="26"/>
          <w:lang w:eastAsia="ru-RU"/>
        </w:rPr>
        <w:t xml:space="preserve"> млн. руб., в том числе:</w:t>
      </w:r>
    </w:p>
    <w:p w:rsidR="001B49E0" w:rsidRPr="009B5870" w:rsidRDefault="001B49E0" w:rsidP="001B49E0">
      <w:pPr>
        <w:pStyle w:val="af7"/>
        <w:ind w:firstLine="851"/>
        <w:rPr>
          <w:sz w:val="26"/>
          <w:lang w:eastAsia="ru-RU"/>
        </w:rPr>
      </w:pPr>
      <w:r>
        <w:rPr>
          <w:sz w:val="26"/>
          <w:lang w:eastAsia="ru-RU"/>
        </w:rPr>
        <w:t>О</w:t>
      </w:r>
      <w:r w:rsidRPr="009B5870">
        <w:rPr>
          <w:sz w:val="26"/>
          <w:lang w:eastAsia="ru-RU"/>
        </w:rPr>
        <w:t>борудовани</w:t>
      </w:r>
      <w:r>
        <w:rPr>
          <w:sz w:val="26"/>
          <w:lang w:eastAsia="ru-RU"/>
        </w:rPr>
        <w:t xml:space="preserve">е </w:t>
      </w:r>
      <w:r w:rsidRPr="009B5870">
        <w:rPr>
          <w:sz w:val="26"/>
          <w:lang w:eastAsia="ru-RU"/>
        </w:rPr>
        <w:t xml:space="preserve">– </w:t>
      </w:r>
      <w:r>
        <w:rPr>
          <w:sz w:val="26"/>
          <w:lang w:eastAsia="ru-RU"/>
        </w:rPr>
        <w:t>70</w:t>
      </w:r>
      <w:r w:rsidRPr="009B5870">
        <w:rPr>
          <w:sz w:val="26"/>
          <w:lang w:eastAsia="ru-RU"/>
        </w:rPr>
        <w:t xml:space="preserve"> млн. руб.;</w:t>
      </w:r>
    </w:p>
    <w:p w:rsidR="001B49E0" w:rsidRPr="009B5870" w:rsidRDefault="001B49E0" w:rsidP="001B49E0">
      <w:pPr>
        <w:pStyle w:val="af7"/>
        <w:ind w:firstLine="851"/>
        <w:rPr>
          <w:sz w:val="26"/>
          <w:lang w:eastAsia="ru-RU"/>
        </w:rPr>
      </w:pPr>
      <w:r>
        <w:rPr>
          <w:sz w:val="26"/>
          <w:lang w:eastAsia="ru-RU"/>
        </w:rPr>
        <w:t>Разработка проектной документации - 21 млн. руб.</w:t>
      </w:r>
    </w:p>
    <w:p w:rsidR="001B49E0" w:rsidRDefault="001B49E0" w:rsidP="001B49E0">
      <w:pPr>
        <w:pStyle w:val="af7"/>
        <w:ind w:firstLine="851"/>
        <w:rPr>
          <w:sz w:val="26"/>
          <w:lang w:eastAsia="ru-RU"/>
        </w:rPr>
      </w:pPr>
      <w:r>
        <w:rPr>
          <w:sz w:val="26"/>
          <w:lang w:eastAsia="ru-RU"/>
        </w:rPr>
        <w:t>Обслуживание</w:t>
      </w:r>
      <w:r w:rsidRPr="009B5870">
        <w:rPr>
          <w:sz w:val="26"/>
          <w:lang w:eastAsia="ru-RU"/>
        </w:rPr>
        <w:t xml:space="preserve"> – </w:t>
      </w:r>
      <w:r>
        <w:rPr>
          <w:sz w:val="26"/>
          <w:lang w:eastAsia="ru-RU"/>
        </w:rPr>
        <w:t>14</w:t>
      </w:r>
      <w:r w:rsidRPr="009B5870">
        <w:rPr>
          <w:sz w:val="26"/>
          <w:lang w:eastAsia="ru-RU"/>
        </w:rPr>
        <w:t>,0 млн. руб.</w:t>
      </w:r>
    </w:p>
    <w:p w:rsidR="003648AE" w:rsidRPr="00EE74CE" w:rsidRDefault="00367112" w:rsidP="001B49E0">
      <w:pPr>
        <w:pStyle w:val="af7"/>
        <w:ind w:firstLine="851"/>
        <w:rPr>
          <w:sz w:val="26"/>
        </w:rPr>
      </w:pPr>
      <w:r>
        <w:rPr>
          <w:rFonts w:eastAsia="Times New Roman"/>
          <w:sz w:val="26"/>
          <w:lang w:eastAsia="ru-RU"/>
        </w:rPr>
        <w:t>9</w:t>
      </w:r>
      <w:r w:rsidR="003648AE" w:rsidRPr="00EE74CE">
        <w:rPr>
          <w:rFonts w:eastAsia="Times New Roman"/>
          <w:sz w:val="26"/>
          <w:lang w:eastAsia="ru-RU"/>
        </w:rPr>
        <w:t xml:space="preserve">.2. </w:t>
      </w:r>
      <w:r w:rsidR="003648AE" w:rsidRPr="00EE74CE">
        <w:rPr>
          <w:sz w:val="26"/>
        </w:rPr>
        <w:t>Капитальные вложения в выведение из эксплуатации объектов обработки, утилизации, обезвреживания, размещения  отходов.</w:t>
      </w:r>
      <w:bookmarkEnd w:id="3"/>
    </w:p>
    <w:p w:rsidR="00936C97" w:rsidRPr="00EE74CE" w:rsidRDefault="00936C97" w:rsidP="0036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Стоимость рекультивации полигона ТКО составляет ориентировочно 15-19</w:t>
      </w:r>
      <w:r w:rsidR="00815750" w:rsidRPr="00EE74C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="00815750"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 рублей за 1</w:t>
      </w:r>
      <w:r w:rsid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="00815750"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га, то есть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стоимость рекультивации полигона площадью 30 га составит</w:t>
      </w:r>
      <w:r w:rsidR="00815750" w:rsidRPr="00EE74C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приблизительно 450 - 570 млн. рублей. Уточненные данные рассчитываются под каждый объект.</w:t>
      </w:r>
    </w:p>
    <w:p w:rsidR="00936C97" w:rsidRPr="00EE74CE" w:rsidRDefault="00936C97" w:rsidP="0036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Процесс рекультивации полигонов ТБО начинается непосредственно после</w:t>
      </w:r>
      <w:r w:rsidR="00815750" w:rsidRPr="00EE74C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окончания складирования на нем мусора. Данная процедура выполняется в</w:t>
      </w:r>
      <w:r w:rsidR="00815750" w:rsidRPr="00EE74C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два раздельных этапа: технический и биологический.</w:t>
      </w:r>
    </w:p>
    <w:p w:rsidR="00936C97" w:rsidRPr="00EE74CE" w:rsidRDefault="00936C97" w:rsidP="0036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Перед началом проведения </w:t>
      </w:r>
      <w:proofErr w:type="spellStart"/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рекультивационных</w:t>
      </w:r>
      <w:proofErr w:type="spellEnd"/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работ должны быть</w:t>
      </w:r>
      <w:r w:rsidR="00815750"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произведены исследований:</w:t>
      </w:r>
    </w:p>
    <w:p w:rsidR="00936C97" w:rsidRPr="00EE74CE" w:rsidRDefault="00936C97" w:rsidP="00367112">
      <w:pPr>
        <w:pStyle w:val="a0"/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радиационные;</w:t>
      </w:r>
    </w:p>
    <w:p w:rsidR="00936C97" w:rsidRPr="00EE74CE" w:rsidRDefault="00936C97" w:rsidP="00367112">
      <w:pPr>
        <w:pStyle w:val="a0"/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исследования почв прилегающей территории;</w:t>
      </w:r>
    </w:p>
    <w:p w:rsidR="00936C97" w:rsidRPr="00EE74CE" w:rsidRDefault="00936C97" w:rsidP="00367112">
      <w:pPr>
        <w:pStyle w:val="a0"/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исследования отходов;</w:t>
      </w:r>
    </w:p>
    <w:p w:rsidR="00936C97" w:rsidRPr="00EE74CE" w:rsidRDefault="00936C97" w:rsidP="00367112">
      <w:pPr>
        <w:pStyle w:val="a0"/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исследования поверхностных и подземных вод;</w:t>
      </w:r>
    </w:p>
    <w:p w:rsidR="00936C97" w:rsidRPr="00EE74CE" w:rsidRDefault="00936C97" w:rsidP="00367112">
      <w:pPr>
        <w:pStyle w:val="a0"/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исследования фильтрата свалки;</w:t>
      </w:r>
    </w:p>
    <w:p w:rsidR="00936C97" w:rsidRPr="00EE74CE" w:rsidRDefault="00936C97" w:rsidP="00367112">
      <w:pPr>
        <w:pStyle w:val="a0"/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исследования донных отложений;</w:t>
      </w:r>
    </w:p>
    <w:p w:rsidR="00936C97" w:rsidRPr="00EE74CE" w:rsidRDefault="00936C97" w:rsidP="00367112">
      <w:pPr>
        <w:pStyle w:val="a0"/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proofErr w:type="spellStart"/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газогеохимические</w:t>
      </w:r>
      <w:proofErr w:type="spellEnd"/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исследования в теле полигона;</w:t>
      </w:r>
    </w:p>
    <w:p w:rsidR="00936C97" w:rsidRPr="00EE74CE" w:rsidRDefault="00936C97" w:rsidP="00367112">
      <w:pPr>
        <w:pStyle w:val="a0"/>
        <w:numPr>
          <w:ilvl w:val="0"/>
          <w:numId w:val="21"/>
        </w:numPr>
        <w:spacing w:after="0" w:line="360" w:lineRule="auto"/>
        <w:ind w:left="0" w:firstLine="851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lastRenderedPageBreak/>
        <w:t>исследования атмосферного воздуха.</w:t>
      </w:r>
    </w:p>
    <w:p w:rsidR="00936C97" w:rsidRPr="00EE74CE" w:rsidRDefault="00936C97" w:rsidP="0036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На техническом этапе осуществляется разработка технологических и</w:t>
      </w:r>
      <w:r w:rsidR="00815750" w:rsidRPr="00EE74C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строительных мероприятий, конструкционных решений по устройству защитных</w:t>
      </w:r>
      <w:r w:rsidR="00815750" w:rsidRPr="00EE74C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экранов для основания и поверхности полигона, сбора, очистки и</w:t>
      </w:r>
      <w:r w:rsidR="00815750" w:rsidRPr="00EE74C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утилизации </w:t>
      </w:r>
      <w:proofErr w:type="spellStart"/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биогаза</w:t>
      </w:r>
      <w:proofErr w:type="spellEnd"/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, сбора и обработки фильтрата и поверхностных сточных</w:t>
      </w:r>
      <w:r w:rsidR="00815750" w:rsidRPr="00EE74C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вод:</w:t>
      </w:r>
    </w:p>
    <w:p w:rsidR="00936C97" w:rsidRPr="00EE74CE" w:rsidRDefault="00936C97" w:rsidP="00367112">
      <w:pPr>
        <w:pStyle w:val="a0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Стабилизация тела полигона (завоз грунта для засыпки провалов и</w:t>
      </w:r>
      <w:r w:rsidR="00815750" w:rsidRPr="00EE74C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трещин, его планировка и создание откосов с необходимым углом наклона и</w:t>
      </w:r>
      <w:r w:rsidR="00815750" w:rsidRPr="00EE74C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т.д.).</w:t>
      </w:r>
    </w:p>
    <w:p w:rsidR="00936C97" w:rsidRPr="00EE74CE" w:rsidRDefault="00936C97" w:rsidP="00367112">
      <w:pPr>
        <w:pStyle w:val="a0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Сооружение системы дегазации для сбора свалочного газа.</w:t>
      </w:r>
    </w:p>
    <w:p w:rsidR="00936C97" w:rsidRPr="00EE74CE" w:rsidRDefault="00936C97" w:rsidP="00367112">
      <w:pPr>
        <w:pStyle w:val="a0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Создание системы сбора и удаления фильтрата и поверхностного стока.</w:t>
      </w:r>
    </w:p>
    <w:p w:rsidR="00936C97" w:rsidRPr="00EE74CE" w:rsidRDefault="00936C97" w:rsidP="00367112">
      <w:pPr>
        <w:pStyle w:val="a0"/>
        <w:numPr>
          <w:ilvl w:val="0"/>
          <w:numId w:val="23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Создание многофункционального </w:t>
      </w:r>
      <w:proofErr w:type="spellStart"/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рекультивационного</w:t>
      </w:r>
      <w:proofErr w:type="spellEnd"/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защитного экрана.</w:t>
      </w:r>
    </w:p>
    <w:p w:rsidR="00936C97" w:rsidRPr="00EE74CE" w:rsidRDefault="00936C97" w:rsidP="0036711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Биологический этап рекультивации предусматривает комплекс</w:t>
      </w:r>
      <w:r w:rsidR="00815750" w:rsidRPr="00EE74C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агротехнических и фитомелиоративных мероприятий, направленных на</w:t>
      </w:r>
      <w:r w:rsidR="00815750" w:rsidRPr="00EE74C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восстановление нарушенных земель. Данный этап осуществляется после</w:t>
      </w:r>
      <w:r w:rsidR="00815750" w:rsidRPr="00EE74C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инженерно-технического этапа рекультивации.</w:t>
      </w:r>
    </w:p>
    <w:p w:rsidR="00936C97" w:rsidRPr="00EE74CE" w:rsidRDefault="00936C97" w:rsidP="00367112">
      <w:pPr>
        <w:pStyle w:val="a0"/>
        <w:numPr>
          <w:ilvl w:val="0"/>
          <w:numId w:val="24"/>
        </w:numPr>
        <w:spacing w:after="0" w:line="360" w:lineRule="auto"/>
        <w:ind w:left="0" w:firstLine="851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Подготовка почвы.</w:t>
      </w:r>
    </w:p>
    <w:p w:rsidR="00936C97" w:rsidRPr="00EE74CE" w:rsidRDefault="00936C97" w:rsidP="00367112">
      <w:pPr>
        <w:pStyle w:val="a0"/>
        <w:numPr>
          <w:ilvl w:val="0"/>
          <w:numId w:val="24"/>
        </w:numPr>
        <w:spacing w:after="0" w:line="360" w:lineRule="auto"/>
        <w:ind w:left="0" w:firstLine="851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Подбор посадочного материала.</w:t>
      </w:r>
    </w:p>
    <w:p w:rsidR="00936C97" w:rsidRPr="00EE74CE" w:rsidRDefault="00936C97" w:rsidP="00367112">
      <w:pPr>
        <w:pStyle w:val="a0"/>
        <w:numPr>
          <w:ilvl w:val="0"/>
          <w:numId w:val="24"/>
        </w:numPr>
        <w:spacing w:after="0" w:line="360" w:lineRule="auto"/>
        <w:ind w:left="0" w:firstLine="851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Посев растений.</w:t>
      </w:r>
    </w:p>
    <w:p w:rsidR="00936C97" w:rsidRPr="00EE74CE" w:rsidRDefault="00936C97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В каждом конкретном случае выбор проектных решений по рекультивации</w:t>
      </w:r>
      <w:r w:rsidR="00815750" w:rsidRPr="00EE74C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закрытого полигона проводится на основании предварительно выполненных</w:t>
      </w:r>
      <w:r w:rsidR="00815750" w:rsidRPr="00EE74C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инженерных изысканий, от этого, соответственно, зависит окончательная</w:t>
      </w:r>
      <w:r w:rsidR="00815750" w:rsidRPr="00EE74CE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стоимость.</w:t>
      </w:r>
    </w:p>
    <w:p w:rsidR="00936C97" w:rsidRPr="00367112" w:rsidRDefault="00936C97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Стоимость инженерных изысканий (ориентировочно) - от 7 млн. рублей.</w:t>
      </w:r>
    </w:p>
    <w:p w:rsidR="000B50F3" w:rsidRPr="00367112" w:rsidRDefault="000B50F3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В </w:t>
      </w:r>
      <w:proofErr w:type="spellStart"/>
      <w:r w:rsidR="007F05D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Чебоксарском</w:t>
      </w:r>
      <w:proofErr w:type="spellEnd"/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районе подлеж</w:t>
      </w:r>
      <w:r w:rsidR="007F05D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и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т рекультивации – </w:t>
      </w:r>
      <w:r w:rsidR="007F05D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1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объект</w:t>
      </w:r>
      <w:r w:rsidR="007F05D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, площадью 4,0 га. Стоимость рекультивации 68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="007F05D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="007F05D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:rsidR="007F05D0" w:rsidRPr="00367112" w:rsidRDefault="007F05D0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В </w:t>
      </w:r>
      <w:proofErr w:type="spellStart"/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Канашском</w:t>
      </w:r>
      <w:proofErr w:type="spellEnd"/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районе подлежит рекультивации – 1 объект, площадью 8,6 га. Стоимость рекультивации 146,2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:rsidR="007F05D0" w:rsidRPr="00367112" w:rsidRDefault="007F05D0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В </w:t>
      </w:r>
      <w:proofErr w:type="spellStart"/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Аликовском</w:t>
      </w:r>
      <w:proofErr w:type="spellEnd"/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районе подлежит рекультивации – 1 объект, площадью 7,9 га. Стоимость рекультивации 134,3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:rsidR="007F05D0" w:rsidRPr="00367112" w:rsidRDefault="007F05D0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В </w:t>
      </w:r>
      <w:proofErr w:type="spellStart"/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Яльчикском</w:t>
      </w:r>
      <w:proofErr w:type="spellEnd"/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районе подлежит рекультивации – 1 объект, площадью 0,8 га. Стоимость рекультивации 13,6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:rsidR="009E486B" w:rsidRPr="00367112" w:rsidRDefault="009E486B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lastRenderedPageBreak/>
        <w:t xml:space="preserve">В </w:t>
      </w:r>
      <w:proofErr w:type="spellStart"/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Ядринском</w:t>
      </w:r>
      <w:proofErr w:type="spellEnd"/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районе подлежит рекультивации – 1 объект, площадью 1,83 га. Стоимость рекультивации 31,11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:rsidR="007F05D0" w:rsidRPr="00367112" w:rsidRDefault="007F05D0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В Комсомольском районе подлежит рекультивации – 1 объект, площадью 1,96 га. Стоимость рекультивации 33,32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:rsidR="007F05D0" w:rsidRPr="00367112" w:rsidRDefault="007F05D0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В </w:t>
      </w:r>
      <w:proofErr w:type="spellStart"/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Мариинско-Посадском</w:t>
      </w:r>
      <w:proofErr w:type="spellEnd"/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районе подлежит рекультивации – 1 объект, площадью 3,8 га. Стоимость рекультивации 64,6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:rsidR="007F05D0" w:rsidRPr="00367112" w:rsidRDefault="007F05D0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В </w:t>
      </w:r>
      <w:proofErr w:type="spellStart"/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Шемуршинском</w:t>
      </w:r>
      <w:proofErr w:type="spellEnd"/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районе подлежит рекультивации – 1 объект, площадью 1,0 га. Стоимость рекультивации </w:t>
      </w:r>
      <w:r w:rsidR="009E486B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17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:rsidR="007F05D0" w:rsidRPr="00367112" w:rsidRDefault="007F05D0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В </w:t>
      </w:r>
      <w:proofErr w:type="spellStart"/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Моргаушском</w:t>
      </w:r>
      <w:proofErr w:type="spellEnd"/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районе подлежит рекультивации – 1 объект, площадью 1,0 га. Стоимость рекультивации </w:t>
      </w:r>
      <w:r w:rsidR="009E486B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17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:rsidR="007F05D0" w:rsidRPr="00367112" w:rsidRDefault="00747F4C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Рекультивация объектов размещения отходов после 2023 года:</w:t>
      </w:r>
    </w:p>
    <w:p w:rsidR="00747F4C" w:rsidRPr="00367112" w:rsidRDefault="00747F4C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В </w:t>
      </w:r>
      <w:proofErr w:type="spellStart"/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Алатырск</w:t>
      </w:r>
      <w:r w:rsidR="002D08C2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ом</w:t>
      </w:r>
      <w:proofErr w:type="spellEnd"/>
      <w:r w:rsidR="002D08C2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ГО подлежит рекультивации – 1 объект, площадью 6,74 га. Стоимость рекультивации 114,58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:rsidR="00747F4C" w:rsidRPr="00367112" w:rsidRDefault="00747F4C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В </w:t>
      </w:r>
      <w:proofErr w:type="spellStart"/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Янтиковском</w:t>
      </w:r>
      <w:proofErr w:type="spellEnd"/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районе подлежит рекультивации – 1 объект, площадью 1,11 га. Стоимость рекультивации 18,87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:rsidR="00747F4C" w:rsidRPr="00367112" w:rsidRDefault="00747F4C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В </w:t>
      </w:r>
      <w:proofErr w:type="spellStart"/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Шумерлинском</w:t>
      </w:r>
      <w:proofErr w:type="spellEnd"/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районе подлежит рекультивации – 1 объект, площадью 5,67 га. Стоимость рекультивации 96,39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:rsidR="00747F4C" w:rsidRPr="00367112" w:rsidRDefault="00747F4C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В </w:t>
      </w:r>
      <w:proofErr w:type="spellStart"/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Вурнарском</w:t>
      </w:r>
      <w:proofErr w:type="spellEnd"/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районе подлежит рекультивации – 1 объект, площадью 2,1 га. Стоимость рекультивации 35,7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:rsidR="00747F4C" w:rsidRPr="00367112" w:rsidRDefault="00747F4C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В </w:t>
      </w:r>
      <w:proofErr w:type="spellStart"/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Батыревском</w:t>
      </w:r>
      <w:proofErr w:type="spellEnd"/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районе подлежит рекультивации – 1 объект, площадью 3,9 га. Стоимость рекультивации 66,3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:rsidR="00747F4C" w:rsidRPr="00367112" w:rsidRDefault="00747F4C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В </w:t>
      </w:r>
      <w:proofErr w:type="spellStart"/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Ибресинском</w:t>
      </w:r>
      <w:proofErr w:type="spellEnd"/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районе подлежит рекультивации – 1 объект, площадью 4,3 га. Стоимость рекультивации 73,1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:rsidR="00747F4C" w:rsidRPr="00367112" w:rsidRDefault="00747F4C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В Козловском районе подлежит рекультивации – 1 объект, площадью 2,2 га. Стоимость рекультивации 37,4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:rsidR="00747F4C" w:rsidRPr="00367112" w:rsidRDefault="00747F4C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В Красноармейском районе подлежит рекультивации – 1 объект, площадью 4,6 га. Стоимость рекультивации 78,2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:rsidR="00747F4C" w:rsidRPr="00367112" w:rsidRDefault="00747F4C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В Порецком районе подлежит рекультивации – 1 объект, площадью 1,4 га. Стоимость рекультивации </w:t>
      </w:r>
      <w:r w:rsidR="00011662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23,8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:rsidR="00011662" w:rsidRPr="00367112" w:rsidRDefault="00011662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В </w:t>
      </w:r>
      <w:proofErr w:type="spellStart"/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Урмарском</w:t>
      </w:r>
      <w:proofErr w:type="spellEnd"/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районе подлежит рекультивации – 1 объект, площадью 3,32 га. Стоимость рекультивации 56,44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:rsidR="00011662" w:rsidRPr="00367112" w:rsidRDefault="00011662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proofErr w:type="gramStart"/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lastRenderedPageBreak/>
        <w:t>В</w:t>
      </w:r>
      <w:proofErr w:type="gramEnd"/>
      <w:r w:rsidR="002D08C2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proofErr w:type="gramStart"/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Цивильском</w:t>
      </w:r>
      <w:proofErr w:type="gramEnd"/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районе подлежит рекультивации – 1 объект, площадью 1,49 га. Стоимость рекультивации 25,33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млн.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руб</w:t>
      </w:r>
      <w:r w:rsidR="00815750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.</w:t>
      </w:r>
    </w:p>
    <w:p w:rsidR="00CE3687" w:rsidRPr="00367112" w:rsidRDefault="00A53133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Итого в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="00517953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Чувашской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Республике </w:t>
      </w:r>
      <w:r w:rsidR="00CE3687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подлежат рекультивации – </w:t>
      </w:r>
      <w:r w:rsidR="009E486B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9</w:t>
      </w:r>
      <w:r w:rsidR="00CE3687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объект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ов</w:t>
      </w:r>
    </w:p>
    <w:p w:rsidR="00CE3687" w:rsidRPr="00367112" w:rsidRDefault="00CE3687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Общая площадь, подлежащая рекультивации – </w:t>
      </w:r>
      <w:r w:rsidR="009E486B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30,89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га. Средняя стоимость рекультивации – </w:t>
      </w:r>
      <w:r w:rsidR="009E486B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525</w:t>
      </w:r>
      <w:r w:rsidR="00A53133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,</w:t>
      </w:r>
      <w:r w:rsidR="009E486B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13</w:t>
      </w:r>
      <w:r w:rsidR="002D5468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млн. рублей. </w:t>
      </w:r>
    </w:p>
    <w:p w:rsidR="00242EBF" w:rsidRPr="00367112" w:rsidRDefault="00242EBF" w:rsidP="00C87CA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Рекультивация объектов размещения отходов, выведенных из эксплуат</w:t>
      </w:r>
      <w:r w:rsidR="009E486B"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>ации в 2023 году в количестве 11</w:t>
      </w:r>
      <w:r w:rsidRPr="00367112">
        <w:rPr>
          <w:rFonts w:ascii="Times New Roman" w:hAnsi="Times New Roman" w:cs="Times New Roman"/>
          <w:sz w:val="26"/>
          <w:szCs w:val="26"/>
          <w:shd w:val="clear" w:color="auto" w:fill="FFFFFF"/>
          <w:lang w:val="ru-RU"/>
        </w:rPr>
        <w:t xml:space="preserve"> объектов общей площадью </w:t>
      </w:r>
      <w:r w:rsidR="009E486B" w:rsidRPr="00367112">
        <w:rPr>
          <w:rFonts w:ascii="Times New Roman" w:hAnsi="Times New Roman" w:cs="Times New Roman"/>
          <w:sz w:val="26"/>
          <w:szCs w:val="26"/>
          <w:lang w:val="ru-RU"/>
        </w:rPr>
        <w:t>36,83</w:t>
      </w:r>
      <w:r w:rsidRPr="00367112">
        <w:rPr>
          <w:rFonts w:ascii="Times New Roman" w:hAnsi="Times New Roman" w:cs="Times New Roman"/>
          <w:sz w:val="26"/>
          <w:szCs w:val="26"/>
          <w:lang w:val="ru-RU"/>
        </w:rPr>
        <w:t xml:space="preserve"> Га. Средняя стоимость рекультивации </w:t>
      </w:r>
      <w:r w:rsidR="009E486B" w:rsidRPr="00367112">
        <w:rPr>
          <w:rFonts w:ascii="Times New Roman" w:hAnsi="Times New Roman" w:cs="Times New Roman"/>
          <w:sz w:val="26"/>
          <w:szCs w:val="26"/>
          <w:lang w:val="ru-RU"/>
        </w:rPr>
        <w:t>626,11</w:t>
      </w:r>
      <w:r w:rsidR="002D5468" w:rsidRPr="0036711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lang w:val="ru-RU"/>
        </w:rPr>
        <w:t>млн.</w:t>
      </w:r>
      <w:r w:rsidR="002D5468" w:rsidRPr="0036711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367112">
        <w:rPr>
          <w:rFonts w:ascii="Times New Roman" w:hAnsi="Times New Roman" w:cs="Times New Roman"/>
          <w:sz w:val="26"/>
          <w:szCs w:val="26"/>
          <w:lang w:val="ru-RU"/>
        </w:rPr>
        <w:t>руб.</w:t>
      </w:r>
    </w:p>
    <w:p w:rsidR="00B803C8" w:rsidRPr="00EE74CE" w:rsidRDefault="00367112" w:rsidP="00C87CA0">
      <w:pPr>
        <w:pStyle w:val="1"/>
        <w:spacing w:before="240"/>
        <w:ind w:firstLine="0"/>
        <w:jc w:val="center"/>
        <w:rPr>
          <w:sz w:val="26"/>
          <w:szCs w:val="26"/>
          <w:lang w:eastAsia="ru-RU" w:bidi="ar-SA"/>
        </w:rPr>
      </w:pPr>
      <w:bookmarkStart w:id="4" w:name="_Toc21344938"/>
      <w:r>
        <w:rPr>
          <w:sz w:val="26"/>
          <w:szCs w:val="26"/>
          <w:shd w:val="clear" w:color="auto" w:fill="FFFFFF"/>
        </w:rPr>
        <w:t>9</w:t>
      </w:r>
      <w:r w:rsidR="00B803C8" w:rsidRPr="00EE74CE">
        <w:rPr>
          <w:sz w:val="26"/>
          <w:szCs w:val="26"/>
          <w:shd w:val="clear" w:color="auto" w:fill="FFFFFF"/>
        </w:rPr>
        <w:t xml:space="preserve">.3. </w:t>
      </w:r>
      <w:r w:rsidR="00B803C8" w:rsidRPr="00EE74CE">
        <w:rPr>
          <w:sz w:val="26"/>
          <w:szCs w:val="26"/>
          <w:lang w:eastAsia="ru-RU" w:bidi="ar-SA"/>
        </w:rPr>
        <w:t xml:space="preserve">Создание оптимальной перспективной территориальной системы обращения с отходами, на территории </w:t>
      </w:r>
      <w:r w:rsidR="009E486B" w:rsidRPr="00EE74CE">
        <w:rPr>
          <w:sz w:val="26"/>
          <w:szCs w:val="26"/>
          <w:lang w:eastAsia="ru-RU" w:bidi="ar-SA"/>
        </w:rPr>
        <w:t xml:space="preserve">Чувашской </w:t>
      </w:r>
      <w:r w:rsidR="00B803C8" w:rsidRPr="00EE74CE">
        <w:rPr>
          <w:sz w:val="26"/>
          <w:szCs w:val="26"/>
          <w:lang w:eastAsia="ru-RU" w:bidi="ar-SA"/>
        </w:rPr>
        <w:t>Республики</w:t>
      </w:r>
      <w:r w:rsidR="009E486B" w:rsidRPr="00EE74CE">
        <w:rPr>
          <w:sz w:val="26"/>
          <w:szCs w:val="26"/>
          <w:lang w:eastAsia="ru-RU" w:bidi="ar-SA"/>
        </w:rPr>
        <w:t>.</w:t>
      </w:r>
      <w:bookmarkEnd w:id="4"/>
    </w:p>
    <w:p w:rsidR="00B803C8" w:rsidRPr="00EE74CE" w:rsidRDefault="00B803C8" w:rsidP="00C87CA0">
      <w:pPr>
        <w:shd w:val="clear" w:color="auto" w:fill="FFFFFF"/>
        <w:spacing w:before="240"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При корректировке Территориальной схемы обращения с отходами, в том числе с твердыми коммунальными отходами на территории </w:t>
      </w:r>
      <w:r w:rsidR="004B792F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Чувашской Республики</w:t>
      </w: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, рассматривался вопрос оптимизации действующего зонирования на территории данного субъекта РФ.</w:t>
      </w:r>
    </w:p>
    <w:p w:rsidR="00B803C8" w:rsidRPr="00EE74CE" w:rsidRDefault="00B803C8" w:rsidP="00C87CA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По действующей Территориальной схеме </w:t>
      </w:r>
      <w:r w:rsidR="009E486B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Чувашская Республика</w:t>
      </w:r>
      <w:r w:rsidR="002D5468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</w:t>
      </w: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имеет одну зону деятельности регионального оператора.</w:t>
      </w:r>
    </w:p>
    <w:p w:rsidR="00B803C8" w:rsidRPr="00EE74CE" w:rsidRDefault="00B803C8" w:rsidP="00C87CA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Рассматривался вариант увеличения количества зон, с целью уменьшения нагрузки на регионального оператора, т.е. приближения его к конкретной территории деятельности. Анализ рассматриваемых вариантов позволил сделать следующий вывод: действующее предложение по зонированию </w:t>
      </w:r>
      <w:r w:rsidR="009E486B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Чувашской Республики</w:t>
      </w:r>
      <w:r w:rsidR="002D5468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</w:t>
      </w: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считать оптимальным, особенно на этапе становления реформы отрасли обращения с отходами производства и потребления.</w:t>
      </w:r>
    </w:p>
    <w:p w:rsidR="00B803C8" w:rsidRPr="00EE74CE" w:rsidRDefault="00B803C8" w:rsidP="00C87CA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Во-первых, в сфере ЖКХ существует сложившаяся практика, на примере управляющих компаний, которые набирают долги и уходят в банкротство. В сфере обращения с отходами недопустимо повторение подобного опыта превалирования интересов бизнеса над интересами жителей.</w:t>
      </w:r>
    </w:p>
    <w:p w:rsidR="00B803C8" w:rsidRPr="00EE74CE" w:rsidRDefault="00B803C8" w:rsidP="00C87CA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Во-вторых, региональные операторы должны быть географически близко расположены к обслуживаемой территории, это позволит приблизить зональные тарифы к реальным значениям. </w:t>
      </w:r>
    </w:p>
    <w:p w:rsidR="00B803C8" w:rsidRPr="00EE74CE" w:rsidRDefault="00B803C8" w:rsidP="00C87CA0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В-третьих, увеличение количества зон, а соответственно количества региональных операторов, уменьшает количество рисков, связанных с неквалифицированным выполнением своих обязанностей, со стороны </w:t>
      </w: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lastRenderedPageBreak/>
        <w:t>регионального оператора. Разбивка на большее количество рег</w:t>
      </w:r>
      <w:r w:rsidR="00A97ED5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иональных </w:t>
      </w: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операторов снижает последствия ошибок и недоработок периода становления реформы. </w:t>
      </w:r>
    </w:p>
    <w:p w:rsidR="00B803C8" w:rsidRPr="00EE74CE" w:rsidRDefault="002D08C2" w:rsidP="00A97ED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Однако</w:t>
      </w:r>
      <w:r w:rsidR="00B803C8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необходимо отметить, что </w:t>
      </w:r>
      <w:r w:rsidR="009E486B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Чувашская Республика</w:t>
      </w:r>
      <w:r w:rsidR="002D5468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</w:t>
      </w:r>
      <w:r w:rsidR="00B803C8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имеет большую неравномерность по плотности населения, </w:t>
      </w:r>
      <w:r w:rsidR="00A97ED5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следовательно,</w:t>
      </w:r>
      <w:r w:rsidR="00B803C8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зоны будут сильно отличаться по своей прибыльности, что в конечном итоге негативно скажется на тарифе населения, т.е. приведет к его катастрофическому увеличению для некоторых малонаселенных районов республики. В данном случае укрупнение зон экономически выгоднее субъекту, т.к. перекрестное субсидирование в рамках работы одного рег</w:t>
      </w:r>
      <w:r w:rsidR="00A97ED5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ионального </w:t>
      </w:r>
      <w:r w:rsidR="00B803C8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оператора минимизирует нагрузку на бюджет. В данном конкретном случае оптимизация тарифной составляющей дает положительный социальный аспект.</w:t>
      </w:r>
    </w:p>
    <w:p w:rsidR="00B803C8" w:rsidRPr="00EE74CE" w:rsidRDefault="00B803C8" w:rsidP="00A97ED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Положительным моментом является тот факт, что перед региональными операторами стоит достаточно сложная,</w:t>
      </w:r>
      <w:r w:rsidR="002D5468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</w:t>
      </w: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учитывая настоящее положение по предприятиям-утилизаторам ВМР в </w:t>
      </w:r>
      <w:r w:rsidR="004B792F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Чувашской Республике</w:t>
      </w: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, задача – не только сбор, транспортирование, обработка и захоронение, а и решение вопросов определения полученных при сортировке ВМР на дальнейшую переработку. Данное обстоятельство будет стимулировать заинтересованность регионального оператора в решении вопроса создания предприятий </w:t>
      </w:r>
      <w:proofErr w:type="spellStart"/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рециклинга</w:t>
      </w:r>
      <w:proofErr w:type="spellEnd"/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.</w:t>
      </w:r>
    </w:p>
    <w:p w:rsidR="00B803C8" w:rsidRPr="00EE74CE" w:rsidRDefault="00B803C8" w:rsidP="00A97ED5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Необходимо отметить, что при условии сохранения </w:t>
      </w:r>
      <w:proofErr w:type="spellStart"/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бесконтейнерной</w:t>
      </w:r>
      <w:proofErr w:type="spellEnd"/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системы сбора в обязательном порядке необходимо использовать двухэтапную систему транспортирования, т.е. иметь мусороперегрузочные площадки (МПП), что приведет к оптимизации предельных тарифов на транспортирование смешанных ТКО. Расчет экономики двухэтапной системы транспортирования представлен в </w:t>
      </w:r>
      <w:r w:rsidR="003160E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Р</w:t>
      </w: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азделе </w:t>
      </w:r>
      <w:r w:rsidR="003160EB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8.</w:t>
      </w:r>
    </w:p>
    <w:p w:rsidR="00F62557" w:rsidRPr="00EE74CE" w:rsidRDefault="00B803C8" w:rsidP="003160E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Однако, есть проблема с включением затрат, связанных с использованием МПП, в единый тариф регионального оператора. В настоящий момент на законодательном уровне рассматривается вопрос об идентификации перегрузки (при условии определенных действий со </w:t>
      </w:r>
      <w:proofErr w:type="gramStart"/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смешанными</w:t>
      </w:r>
      <w:proofErr w:type="gramEnd"/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ТКО, например</w:t>
      </w:r>
      <w:r w:rsidR="00BE424F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,</w:t>
      </w:r>
      <w:r w:rsidR="0030371E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</w:t>
      </w:r>
      <w:proofErr w:type="spellStart"/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шредирование</w:t>
      </w:r>
      <w:proofErr w:type="spellEnd"/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КГО) с обработкой, что позволит решить вопрос с тарификацией мусороперегрузочных площадок. </w:t>
      </w:r>
    </w:p>
    <w:p w:rsidR="009C442C" w:rsidRPr="00EE74CE" w:rsidRDefault="00B803C8" w:rsidP="003160E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lastRenderedPageBreak/>
        <w:t xml:space="preserve">В процессе корректировки Территориальной схемы обращения с отходами, в том числе с твердыми коммунальными отходами на территории </w:t>
      </w:r>
      <w:r w:rsidR="009E486B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Чувашской Республики</w:t>
      </w:r>
      <w:r w:rsidR="0030371E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</w:t>
      </w: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выявлен</w:t>
      </w:r>
      <w:r w:rsidR="00D56881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о, что имеющиеся в регионе </w:t>
      </w:r>
      <w:r w:rsidR="009C442C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объект</w:t>
      </w:r>
      <w:r w:rsidR="00D56881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ы</w:t>
      </w:r>
      <w:r w:rsidR="0030371E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</w:t>
      </w: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обработки (сортировки) </w:t>
      </w:r>
      <w:proofErr w:type="gramStart"/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смешанных</w:t>
      </w:r>
      <w:proofErr w:type="gramEnd"/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ТКО</w:t>
      </w:r>
      <w:r w:rsidR="00D56881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, обеспечивают 79,55% обработки образующихся ТКО.</w:t>
      </w:r>
    </w:p>
    <w:p w:rsidR="00B803C8" w:rsidRPr="00EE74CE" w:rsidRDefault="00B803C8" w:rsidP="003160E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В разделе «Данные </w:t>
      </w:r>
      <w:proofErr w:type="gramStart"/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о</w:t>
      </w:r>
      <w:proofErr w:type="gramEnd"/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</w:t>
      </w:r>
      <w:proofErr w:type="gramStart"/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планируемых</w:t>
      </w:r>
      <w:proofErr w:type="gramEnd"/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строительстве, реконструкции, выведении из эксплуатации объектов обработки, утилизации, обезвреживания, размещения отходов» представлена информация об объектах обработки, предполагаемых к строительству на территории </w:t>
      </w:r>
      <w:r w:rsidR="00D56881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Чувашской </w:t>
      </w:r>
      <w:r w:rsidR="009C442C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Республики</w:t>
      </w:r>
      <w:r w:rsidR="00D56881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.</w:t>
      </w:r>
      <w:r w:rsidR="0030371E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Они представляют собой </w:t>
      </w: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Мусоросортировочны</w:t>
      </w:r>
      <w:r w:rsidR="00D56881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й</w:t>
      </w: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комплекс</w:t>
      </w:r>
      <w:r w:rsidR="0030371E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(МСК) и </w:t>
      </w: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Мусороперегрузочные площадки (МПП) с предварительной сортировкой. </w:t>
      </w:r>
    </w:p>
    <w:p w:rsidR="00B803C8" w:rsidRPr="00EE74CE" w:rsidRDefault="003160EB" w:rsidP="003160EB">
      <w:pPr>
        <w:pStyle w:val="1"/>
        <w:spacing w:before="240" w:after="240" w:line="360" w:lineRule="auto"/>
        <w:ind w:firstLine="0"/>
        <w:jc w:val="center"/>
        <w:rPr>
          <w:sz w:val="26"/>
          <w:szCs w:val="26"/>
          <w:lang w:eastAsia="ru-RU" w:bidi="ar-SA"/>
        </w:rPr>
      </w:pPr>
      <w:bookmarkStart w:id="5" w:name="_Toc21344939"/>
      <w:r>
        <w:rPr>
          <w:sz w:val="26"/>
          <w:szCs w:val="26"/>
          <w:lang w:eastAsia="ru-RU" w:bidi="ar-SA"/>
        </w:rPr>
        <w:t>9</w:t>
      </w:r>
      <w:r w:rsidR="00BE424F" w:rsidRPr="00EE74CE">
        <w:rPr>
          <w:sz w:val="26"/>
          <w:szCs w:val="26"/>
          <w:lang w:eastAsia="ru-RU" w:bidi="ar-SA"/>
        </w:rPr>
        <w:t xml:space="preserve">.4 </w:t>
      </w:r>
      <w:r w:rsidR="00B803C8" w:rsidRPr="00EE74CE">
        <w:rPr>
          <w:sz w:val="26"/>
          <w:szCs w:val="26"/>
          <w:lang w:eastAsia="ru-RU" w:bidi="ar-SA"/>
        </w:rPr>
        <w:t>Оптимизация объ</w:t>
      </w:r>
      <w:r w:rsidR="00D24612" w:rsidRPr="00EE74CE">
        <w:rPr>
          <w:sz w:val="26"/>
          <w:szCs w:val="26"/>
          <w:lang w:eastAsia="ru-RU" w:bidi="ar-SA"/>
        </w:rPr>
        <w:t xml:space="preserve">ектов размещения на территории </w:t>
      </w:r>
      <w:r w:rsidR="00F86092" w:rsidRPr="00EE74CE">
        <w:rPr>
          <w:sz w:val="26"/>
          <w:szCs w:val="26"/>
          <w:lang w:eastAsia="ru-RU" w:bidi="ar-SA"/>
        </w:rPr>
        <w:t xml:space="preserve">Чувашской </w:t>
      </w:r>
      <w:r w:rsidR="00D24612" w:rsidRPr="00EE74CE">
        <w:rPr>
          <w:sz w:val="26"/>
          <w:szCs w:val="26"/>
          <w:lang w:eastAsia="ru-RU" w:bidi="ar-SA"/>
        </w:rPr>
        <w:t>Республики.</w:t>
      </w:r>
      <w:bookmarkEnd w:id="5"/>
    </w:p>
    <w:p w:rsidR="00B803C8" w:rsidRPr="00EE74CE" w:rsidRDefault="00B803C8" w:rsidP="003160EB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</w:pPr>
      <w:r w:rsidRPr="00EE74C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В процессе корректировки </w:t>
      </w: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Территориальной схемы обращения с отходами, в том числе с твердыми коммунальными отходами на территории </w:t>
      </w:r>
      <w:r w:rsidR="009E486B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Чувашской Республики</w:t>
      </w:r>
      <w:r w:rsidR="0030371E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 </w:t>
      </w: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проведена ревизия реестра объектов размещения ТКО на территории </w:t>
      </w:r>
      <w:r w:rsidR="00F86092"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>Чувашской Республики</w:t>
      </w:r>
      <w:r w:rsidRPr="00EE74CE">
        <w:rPr>
          <w:rFonts w:ascii="Times New Roman" w:eastAsia="Times New Roman" w:hAnsi="Times New Roman" w:cs="Times New Roman"/>
          <w:bCs/>
          <w:sz w:val="26"/>
          <w:szCs w:val="26"/>
          <w:lang w:val="ru-RU" w:eastAsia="ru-RU" w:bidi="ar-SA"/>
        </w:rPr>
        <w:t xml:space="preserve">. </w:t>
      </w:r>
    </w:p>
    <w:p w:rsidR="00B803C8" w:rsidRPr="00EE74CE" w:rsidRDefault="00B803C8" w:rsidP="003160EB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ru-RU" w:eastAsia="ar-SA"/>
        </w:rPr>
      </w:pPr>
      <w:r w:rsidRPr="00EE74CE">
        <w:rPr>
          <w:rFonts w:ascii="Times New Roman" w:hAnsi="Times New Roman" w:cs="Times New Roman"/>
          <w:sz w:val="26"/>
          <w:szCs w:val="26"/>
          <w:lang w:val="ru-RU" w:eastAsia="ar-SA"/>
        </w:rPr>
        <w:t>По данным Государственного реестра размещения отходов (ГРОРО)</w:t>
      </w:r>
      <w:r w:rsidR="0030371E" w:rsidRPr="00EE74CE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на территории </w:t>
      </w:r>
      <w:r w:rsidR="009E486B" w:rsidRPr="00EE74CE">
        <w:rPr>
          <w:rFonts w:ascii="Times New Roman" w:hAnsi="Times New Roman" w:cs="Times New Roman"/>
          <w:sz w:val="26"/>
          <w:szCs w:val="26"/>
          <w:lang w:val="ru-RU" w:eastAsia="ar-SA"/>
        </w:rPr>
        <w:t>Чувашской Республики</w:t>
      </w:r>
      <w:r w:rsidR="004B792F" w:rsidRPr="00EE74CE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и</w:t>
      </w:r>
      <w:r w:rsidRPr="00EE74CE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меются </w:t>
      </w:r>
      <w:r w:rsidR="004B792F" w:rsidRPr="00EE74CE">
        <w:rPr>
          <w:rFonts w:ascii="Times New Roman" w:hAnsi="Times New Roman" w:cs="Times New Roman"/>
          <w:sz w:val="26"/>
          <w:szCs w:val="26"/>
          <w:lang w:val="ru-RU" w:eastAsia="ar-SA"/>
        </w:rPr>
        <w:t>3</w:t>
      </w:r>
      <w:r w:rsidR="0030371E" w:rsidRPr="00EE74CE">
        <w:rPr>
          <w:rFonts w:ascii="Times New Roman" w:hAnsi="Times New Roman" w:cs="Times New Roman"/>
          <w:sz w:val="26"/>
          <w:szCs w:val="26"/>
          <w:lang w:val="ru-RU" w:eastAsia="ar-SA"/>
        </w:rPr>
        <w:t>2</w:t>
      </w:r>
      <w:r w:rsidRPr="00EE74CE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объект</w:t>
      </w:r>
      <w:r w:rsidR="004B792F" w:rsidRPr="00EE74CE">
        <w:rPr>
          <w:rFonts w:ascii="Times New Roman" w:hAnsi="Times New Roman" w:cs="Times New Roman"/>
          <w:sz w:val="26"/>
          <w:szCs w:val="26"/>
          <w:lang w:val="ru-RU" w:eastAsia="ar-SA"/>
        </w:rPr>
        <w:t>а размещения отходов</w:t>
      </w:r>
      <w:r w:rsidRPr="00EE74CE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 включенных в ГРОРО. </w:t>
      </w:r>
    </w:p>
    <w:p w:rsidR="00B803C8" w:rsidRPr="00EE74CE" w:rsidRDefault="00B803C8" w:rsidP="003160EB">
      <w:pPr>
        <w:pStyle w:val="a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val="ru-RU" w:eastAsia="ar-SA"/>
        </w:rPr>
      </w:pPr>
      <w:r w:rsidRPr="00EE74CE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На территории </w:t>
      </w:r>
      <w:r w:rsidR="009E486B" w:rsidRPr="00EE74CE">
        <w:rPr>
          <w:rFonts w:ascii="Times New Roman" w:hAnsi="Times New Roman" w:cs="Times New Roman"/>
          <w:sz w:val="26"/>
          <w:szCs w:val="26"/>
          <w:lang w:val="ru-RU" w:eastAsia="ar-SA"/>
        </w:rPr>
        <w:t>Чувашской Республики</w:t>
      </w:r>
      <w:r w:rsidR="0030371E" w:rsidRPr="00EE74CE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зарегистрированы </w:t>
      </w:r>
      <w:r w:rsidR="00F86092" w:rsidRPr="00EE74CE">
        <w:rPr>
          <w:rFonts w:ascii="Times New Roman" w:hAnsi="Times New Roman" w:cs="Times New Roman"/>
          <w:sz w:val="26"/>
          <w:szCs w:val="26"/>
          <w:lang w:val="ru-RU" w:eastAsia="ar-SA"/>
        </w:rPr>
        <w:t>1</w:t>
      </w:r>
      <w:r w:rsidR="00684F79" w:rsidRPr="00EE74CE">
        <w:rPr>
          <w:rFonts w:ascii="Times New Roman" w:hAnsi="Times New Roman" w:cs="Times New Roman"/>
          <w:sz w:val="26"/>
          <w:szCs w:val="26"/>
          <w:lang w:val="ru-RU" w:eastAsia="ar-SA"/>
        </w:rPr>
        <w:t>1</w:t>
      </w:r>
      <w:r w:rsidR="0030371E" w:rsidRPr="00EE74CE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="00D24612" w:rsidRPr="00EE74CE">
        <w:rPr>
          <w:rFonts w:ascii="Times New Roman" w:hAnsi="Times New Roman" w:cs="Times New Roman"/>
          <w:sz w:val="26"/>
          <w:szCs w:val="26"/>
          <w:lang w:val="ru-RU" w:eastAsia="ar-SA"/>
        </w:rPr>
        <w:t>санкционированны</w:t>
      </w:r>
      <w:r w:rsidR="00684332" w:rsidRPr="00EE74CE">
        <w:rPr>
          <w:rFonts w:ascii="Times New Roman" w:hAnsi="Times New Roman" w:cs="Times New Roman"/>
          <w:sz w:val="26"/>
          <w:szCs w:val="26"/>
          <w:lang w:val="ru-RU" w:eastAsia="ar-SA"/>
        </w:rPr>
        <w:t>х</w:t>
      </w:r>
      <w:r w:rsidR="0030371E" w:rsidRPr="00EE74CE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</w:t>
      </w:r>
      <w:r w:rsidRPr="00EE74CE">
        <w:rPr>
          <w:rFonts w:ascii="Times New Roman" w:hAnsi="Times New Roman" w:cs="Times New Roman"/>
          <w:sz w:val="26"/>
          <w:szCs w:val="26"/>
          <w:lang w:val="ru-RU" w:eastAsia="ar-SA"/>
        </w:rPr>
        <w:t>объект</w:t>
      </w:r>
      <w:r w:rsidR="00684332" w:rsidRPr="00EE74CE">
        <w:rPr>
          <w:rFonts w:ascii="Times New Roman" w:hAnsi="Times New Roman" w:cs="Times New Roman"/>
          <w:sz w:val="26"/>
          <w:szCs w:val="26"/>
          <w:lang w:val="ru-RU" w:eastAsia="ar-SA"/>
        </w:rPr>
        <w:t>ов</w:t>
      </w:r>
      <w:r w:rsidRPr="00EE74CE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размещения </w:t>
      </w:r>
      <w:r w:rsidR="00F86092" w:rsidRPr="00EE74CE">
        <w:rPr>
          <w:rFonts w:ascii="Times New Roman" w:hAnsi="Times New Roman" w:cs="Times New Roman"/>
          <w:sz w:val="26"/>
          <w:szCs w:val="26"/>
          <w:lang w:val="ru-RU" w:eastAsia="ar-SA"/>
        </w:rPr>
        <w:t>отходов, имеющих статус «закрытые» и подлежащи</w:t>
      </w:r>
      <w:r w:rsidR="00684332" w:rsidRPr="00EE74CE">
        <w:rPr>
          <w:rFonts w:ascii="Times New Roman" w:hAnsi="Times New Roman" w:cs="Times New Roman"/>
          <w:sz w:val="26"/>
          <w:szCs w:val="26"/>
          <w:lang w:val="ru-RU" w:eastAsia="ar-SA"/>
        </w:rPr>
        <w:t>х</w:t>
      </w:r>
      <w:r w:rsidR="00F86092" w:rsidRPr="00EE74CE">
        <w:rPr>
          <w:rFonts w:ascii="Times New Roman" w:hAnsi="Times New Roman" w:cs="Times New Roman"/>
          <w:sz w:val="26"/>
          <w:szCs w:val="26"/>
          <w:lang w:val="ru-RU" w:eastAsia="ar-SA"/>
        </w:rPr>
        <w:t xml:space="preserve"> плановой рекульт</w:t>
      </w:r>
      <w:r w:rsidR="00467307" w:rsidRPr="00EE74CE">
        <w:rPr>
          <w:rFonts w:ascii="Times New Roman" w:hAnsi="Times New Roman" w:cs="Times New Roman"/>
          <w:sz w:val="26"/>
          <w:szCs w:val="26"/>
          <w:lang w:val="ru-RU" w:eastAsia="ar-SA"/>
        </w:rPr>
        <w:t>и</w:t>
      </w:r>
      <w:r w:rsidR="00F86092" w:rsidRPr="00EE74CE">
        <w:rPr>
          <w:rFonts w:ascii="Times New Roman" w:hAnsi="Times New Roman" w:cs="Times New Roman"/>
          <w:sz w:val="26"/>
          <w:szCs w:val="26"/>
          <w:lang w:val="ru-RU" w:eastAsia="ar-SA"/>
        </w:rPr>
        <w:t>вации.</w:t>
      </w:r>
    </w:p>
    <w:sectPr w:rsidR="00B803C8" w:rsidRPr="00EE74CE" w:rsidSect="0046730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9E0" w:rsidRDefault="001B49E0" w:rsidP="008856F9">
      <w:pPr>
        <w:spacing w:after="0" w:line="240" w:lineRule="auto"/>
      </w:pPr>
      <w:r>
        <w:separator/>
      </w:r>
    </w:p>
  </w:endnote>
  <w:endnote w:type="continuationSeparator" w:id="1">
    <w:p w:rsidR="001B49E0" w:rsidRDefault="001B49E0" w:rsidP="0088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889768"/>
      <w:docPartObj>
        <w:docPartGallery w:val="Page Numbers (Bottom of Page)"/>
        <w:docPartUnique/>
      </w:docPartObj>
    </w:sdtPr>
    <w:sdtContent>
      <w:p w:rsidR="001B49E0" w:rsidRDefault="00565C5D">
        <w:pPr>
          <w:pStyle w:val="afb"/>
          <w:jc w:val="center"/>
        </w:pPr>
        <w:fldSimple w:instr=" PAGE   \* MERGEFORMAT ">
          <w:r w:rsidR="00A6088F">
            <w:rPr>
              <w:noProof/>
            </w:rPr>
            <w:t>4</w:t>
          </w:r>
        </w:fldSimple>
      </w:p>
    </w:sdtContent>
  </w:sdt>
  <w:p w:rsidR="001B49E0" w:rsidRDefault="001B49E0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9E0" w:rsidRDefault="001B49E0" w:rsidP="008856F9">
      <w:pPr>
        <w:spacing w:after="0" w:line="240" w:lineRule="auto"/>
      </w:pPr>
      <w:r>
        <w:separator/>
      </w:r>
    </w:p>
  </w:footnote>
  <w:footnote w:type="continuationSeparator" w:id="1">
    <w:p w:rsidR="001B49E0" w:rsidRDefault="001B49E0" w:rsidP="00885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182"/>
    <w:multiLevelType w:val="hybridMultilevel"/>
    <w:tmpl w:val="2AE027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C347C"/>
    <w:multiLevelType w:val="hybridMultilevel"/>
    <w:tmpl w:val="8FF0551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7476B"/>
    <w:multiLevelType w:val="multilevel"/>
    <w:tmpl w:val="9F18F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92B6852"/>
    <w:multiLevelType w:val="hybridMultilevel"/>
    <w:tmpl w:val="D7E6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E7872"/>
    <w:multiLevelType w:val="hybridMultilevel"/>
    <w:tmpl w:val="1D40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A1AB0"/>
    <w:multiLevelType w:val="hybridMultilevel"/>
    <w:tmpl w:val="FD88D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32CDF"/>
    <w:multiLevelType w:val="multilevel"/>
    <w:tmpl w:val="5ECE979E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7CA4DB3"/>
    <w:multiLevelType w:val="hybridMultilevel"/>
    <w:tmpl w:val="019C29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775166"/>
    <w:multiLevelType w:val="hybridMultilevel"/>
    <w:tmpl w:val="089454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19D71243"/>
    <w:multiLevelType w:val="hybridMultilevel"/>
    <w:tmpl w:val="88161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C0A5B"/>
    <w:multiLevelType w:val="multilevel"/>
    <w:tmpl w:val="0042579E"/>
    <w:lvl w:ilvl="0">
      <w:start w:val="9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1">
    <w:nsid w:val="1B3C1421"/>
    <w:multiLevelType w:val="hybridMultilevel"/>
    <w:tmpl w:val="871CD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10B92"/>
    <w:multiLevelType w:val="hybridMultilevel"/>
    <w:tmpl w:val="39E2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CB4793"/>
    <w:multiLevelType w:val="hybridMultilevel"/>
    <w:tmpl w:val="46B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71ED3"/>
    <w:multiLevelType w:val="multilevel"/>
    <w:tmpl w:val="AD287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7678D8"/>
    <w:multiLevelType w:val="hybridMultilevel"/>
    <w:tmpl w:val="9EA2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D12AAB"/>
    <w:multiLevelType w:val="hybridMultilevel"/>
    <w:tmpl w:val="659C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76455"/>
    <w:multiLevelType w:val="hybridMultilevel"/>
    <w:tmpl w:val="A308EDC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63F56FB"/>
    <w:multiLevelType w:val="hybridMultilevel"/>
    <w:tmpl w:val="1F7C1A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9C45A7F"/>
    <w:multiLevelType w:val="hybridMultilevel"/>
    <w:tmpl w:val="39B4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459E8"/>
    <w:multiLevelType w:val="hybridMultilevel"/>
    <w:tmpl w:val="BEFC4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FD086F"/>
    <w:multiLevelType w:val="hybridMultilevel"/>
    <w:tmpl w:val="90AC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224187"/>
    <w:multiLevelType w:val="hybridMultilevel"/>
    <w:tmpl w:val="40008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D2A82"/>
    <w:multiLevelType w:val="hybridMultilevel"/>
    <w:tmpl w:val="7732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F1399"/>
    <w:multiLevelType w:val="hybridMultilevel"/>
    <w:tmpl w:val="F0BE66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70117A0E"/>
    <w:multiLevelType w:val="hybridMultilevel"/>
    <w:tmpl w:val="66E623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9020AC1"/>
    <w:multiLevelType w:val="hybridMultilevel"/>
    <w:tmpl w:val="7CDEC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CB6E2E"/>
    <w:multiLevelType w:val="hybridMultilevel"/>
    <w:tmpl w:val="6D8AE0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18"/>
  </w:num>
  <w:num w:numId="7">
    <w:abstractNumId w:val="15"/>
  </w:num>
  <w:num w:numId="8">
    <w:abstractNumId w:val="20"/>
  </w:num>
  <w:num w:numId="9">
    <w:abstractNumId w:val="27"/>
  </w:num>
  <w:num w:numId="10">
    <w:abstractNumId w:val="23"/>
  </w:num>
  <w:num w:numId="11">
    <w:abstractNumId w:val="17"/>
  </w:num>
  <w:num w:numId="12">
    <w:abstractNumId w:val="22"/>
  </w:num>
  <w:num w:numId="13">
    <w:abstractNumId w:val="4"/>
  </w:num>
  <w:num w:numId="14">
    <w:abstractNumId w:val="12"/>
  </w:num>
  <w:num w:numId="15">
    <w:abstractNumId w:val="13"/>
  </w:num>
  <w:num w:numId="16">
    <w:abstractNumId w:val="19"/>
  </w:num>
  <w:num w:numId="17">
    <w:abstractNumId w:val="9"/>
  </w:num>
  <w:num w:numId="18">
    <w:abstractNumId w:val="24"/>
  </w:num>
  <w:num w:numId="19">
    <w:abstractNumId w:val="26"/>
  </w:num>
  <w:num w:numId="20">
    <w:abstractNumId w:val="5"/>
  </w:num>
  <w:num w:numId="21">
    <w:abstractNumId w:val="16"/>
  </w:num>
  <w:num w:numId="22">
    <w:abstractNumId w:val="25"/>
  </w:num>
  <w:num w:numId="23">
    <w:abstractNumId w:val="21"/>
  </w:num>
  <w:num w:numId="24">
    <w:abstractNumId w:val="8"/>
  </w:num>
  <w:num w:numId="25">
    <w:abstractNumId w:val="2"/>
  </w:num>
  <w:num w:numId="26">
    <w:abstractNumId w:val="7"/>
  </w:num>
  <w:num w:numId="27">
    <w:abstractNumId w:val="6"/>
  </w:num>
  <w:num w:numId="28">
    <w:abstractNumId w:val="14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3C5"/>
    <w:rsid w:val="00011662"/>
    <w:rsid w:val="00027340"/>
    <w:rsid w:val="00072506"/>
    <w:rsid w:val="0008078C"/>
    <w:rsid w:val="00081184"/>
    <w:rsid w:val="000A2832"/>
    <w:rsid w:val="000A5E83"/>
    <w:rsid w:val="000B50F3"/>
    <w:rsid w:val="000D1F48"/>
    <w:rsid w:val="000E149C"/>
    <w:rsid w:val="000E52B4"/>
    <w:rsid w:val="00107C84"/>
    <w:rsid w:val="00123747"/>
    <w:rsid w:val="00124872"/>
    <w:rsid w:val="00147E1B"/>
    <w:rsid w:val="00163939"/>
    <w:rsid w:val="001B3C05"/>
    <w:rsid w:val="001B49E0"/>
    <w:rsid w:val="001D4765"/>
    <w:rsid w:val="001E1597"/>
    <w:rsid w:val="001E2A91"/>
    <w:rsid w:val="001F05AC"/>
    <w:rsid w:val="002153C5"/>
    <w:rsid w:val="002210AE"/>
    <w:rsid w:val="00223D3F"/>
    <w:rsid w:val="00242EBF"/>
    <w:rsid w:val="00255396"/>
    <w:rsid w:val="002575AB"/>
    <w:rsid w:val="00261997"/>
    <w:rsid w:val="002714FE"/>
    <w:rsid w:val="002870AB"/>
    <w:rsid w:val="002A195D"/>
    <w:rsid w:val="002D08C2"/>
    <w:rsid w:val="002D5468"/>
    <w:rsid w:val="0030371E"/>
    <w:rsid w:val="00311B4A"/>
    <w:rsid w:val="00313C37"/>
    <w:rsid w:val="003160EB"/>
    <w:rsid w:val="003161E0"/>
    <w:rsid w:val="003223EF"/>
    <w:rsid w:val="00363323"/>
    <w:rsid w:val="00364708"/>
    <w:rsid w:val="003648AE"/>
    <w:rsid w:val="00367112"/>
    <w:rsid w:val="0037351B"/>
    <w:rsid w:val="00385435"/>
    <w:rsid w:val="003A5722"/>
    <w:rsid w:val="003E2C76"/>
    <w:rsid w:val="004038D0"/>
    <w:rsid w:val="00410F06"/>
    <w:rsid w:val="00440A5B"/>
    <w:rsid w:val="004640D7"/>
    <w:rsid w:val="00467307"/>
    <w:rsid w:val="00481015"/>
    <w:rsid w:val="004A0828"/>
    <w:rsid w:val="004B792F"/>
    <w:rsid w:val="004E3CDC"/>
    <w:rsid w:val="004F084E"/>
    <w:rsid w:val="005021DE"/>
    <w:rsid w:val="00517953"/>
    <w:rsid w:val="0052646F"/>
    <w:rsid w:val="0055125D"/>
    <w:rsid w:val="005552CD"/>
    <w:rsid w:val="00565C5D"/>
    <w:rsid w:val="005763C2"/>
    <w:rsid w:val="00584A60"/>
    <w:rsid w:val="005921CB"/>
    <w:rsid w:val="005931D3"/>
    <w:rsid w:val="005A703C"/>
    <w:rsid w:val="005B4259"/>
    <w:rsid w:val="005B78B6"/>
    <w:rsid w:val="005C5299"/>
    <w:rsid w:val="005D4C53"/>
    <w:rsid w:val="005E273B"/>
    <w:rsid w:val="00650BC2"/>
    <w:rsid w:val="0065782E"/>
    <w:rsid w:val="00684192"/>
    <w:rsid w:val="00684332"/>
    <w:rsid w:val="00684F79"/>
    <w:rsid w:val="00687932"/>
    <w:rsid w:val="00687C11"/>
    <w:rsid w:val="006F3D09"/>
    <w:rsid w:val="00747F4C"/>
    <w:rsid w:val="00773080"/>
    <w:rsid w:val="00776732"/>
    <w:rsid w:val="007A3F12"/>
    <w:rsid w:val="007B5529"/>
    <w:rsid w:val="007D5F5D"/>
    <w:rsid w:val="007F05D0"/>
    <w:rsid w:val="00810839"/>
    <w:rsid w:val="00813B49"/>
    <w:rsid w:val="00815750"/>
    <w:rsid w:val="00821961"/>
    <w:rsid w:val="0082734D"/>
    <w:rsid w:val="00833774"/>
    <w:rsid w:val="00842F2D"/>
    <w:rsid w:val="00882222"/>
    <w:rsid w:val="008856F9"/>
    <w:rsid w:val="00892236"/>
    <w:rsid w:val="00892B7D"/>
    <w:rsid w:val="008A244F"/>
    <w:rsid w:val="008A77A8"/>
    <w:rsid w:val="008C3B46"/>
    <w:rsid w:val="008D7C86"/>
    <w:rsid w:val="008E09A4"/>
    <w:rsid w:val="00915371"/>
    <w:rsid w:val="00924D9D"/>
    <w:rsid w:val="00936C97"/>
    <w:rsid w:val="00950781"/>
    <w:rsid w:val="00960746"/>
    <w:rsid w:val="00976E90"/>
    <w:rsid w:val="009B5870"/>
    <w:rsid w:val="009C3A3B"/>
    <w:rsid w:val="009C442C"/>
    <w:rsid w:val="009E486B"/>
    <w:rsid w:val="00A03B22"/>
    <w:rsid w:val="00A07DE8"/>
    <w:rsid w:val="00A43ADF"/>
    <w:rsid w:val="00A52EFD"/>
    <w:rsid w:val="00A53133"/>
    <w:rsid w:val="00A6088F"/>
    <w:rsid w:val="00A73A20"/>
    <w:rsid w:val="00A82D40"/>
    <w:rsid w:val="00A96188"/>
    <w:rsid w:val="00A97ED5"/>
    <w:rsid w:val="00AA17AF"/>
    <w:rsid w:val="00AA3330"/>
    <w:rsid w:val="00AB04C1"/>
    <w:rsid w:val="00AC2DB6"/>
    <w:rsid w:val="00AE74E9"/>
    <w:rsid w:val="00B05303"/>
    <w:rsid w:val="00B1679B"/>
    <w:rsid w:val="00B253B6"/>
    <w:rsid w:val="00B54DF4"/>
    <w:rsid w:val="00B5551F"/>
    <w:rsid w:val="00B803C8"/>
    <w:rsid w:val="00BD08AA"/>
    <w:rsid w:val="00BE424F"/>
    <w:rsid w:val="00BE474C"/>
    <w:rsid w:val="00BF6558"/>
    <w:rsid w:val="00C87CA0"/>
    <w:rsid w:val="00CA01BC"/>
    <w:rsid w:val="00CE3687"/>
    <w:rsid w:val="00D22D5B"/>
    <w:rsid w:val="00D24612"/>
    <w:rsid w:val="00D44467"/>
    <w:rsid w:val="00D56881"/>
    <w:rsid w:val="00DA6CDC"/>
    <w:rsid w:val="00DF5575"/>
    <w:rsid w:val="00E01767"/>
    <w:rsid w:val="00E04351"/>
    <w:rsid w:val="00E102C0"/>
    <w:rsid w:val="00E13D27"/>
    <w:rsid w:val="00E15D72"/>
    <w:rsid w:val="00E408BA"/>
    <w:rsid w:val="00E42A6D"/>
    <w:rsid w:val="00E443F6"/>
    <w:rsid w:val="00E5335E"/>
    <w:rsid w:val="00E56D4B"/>
    <w:rsid w:val="00E70CE3"/>
    <w:rsid w:val="00E8129E"/>
    <w:rsid w:val="00E81A14"/>
    <w:rsid w:val="00E92777"/>
    <w:rsid w:val="00EA20A4"/>
    <w:rsid w:val="00EE328A"/>
    <w:rsid w:val="00EE5CF4"/>
    <w:rsid w:val="00EE74CE"/>
    <w:rsid w:val="00F10900"/>
    <w:rsid w:val="00F34257"/>
    <w:rsid w:val="00F62557"/>
    <w:rsid w:val="00F7686A"/>
    <w:rsid w:val="00F86092"/>
    <w:rsid w:val="00FA5156"/>
    <w:rsid w:val="00FB2089"/>
    <w:rsid w:val="00FB583D"/>
    <w:rsid w:val="00FC1DC4"/>
    <w:rsid w:val="00FE7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C5"/>
  </w:style>
  <w:style w:type="paragraph" w:styleId="1">
    <w:name w:val="heading 1"/>
    <w:basedOn w:val="a0"/>
    <w:next w:val="a"/>
    <w:link w:val="10"/>
    <w:uiPriority w:val="9"/>
    <w:qFormat/>
    <w:rsid w:val="00BE424F"/>
    <w:pPr>
      <w:spacing w:after="0"/>
      <w:ind w:left="0" w:firstLine="709"/>
      <w:jc w:val="both"/>
      <w:outlineLvl w:val="0"/>
    </w:pPr>
    <w:rPr>
      <w:rFonts w:ascii="Times New Roman" w:hAnsi="Times New Roman" w:cs="Times New Roman"/>
      <w:b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73A2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73A2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A2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A2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A2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A2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A2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A2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E424F"/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20">
    <w:name w:val="Заголовок 2 Знак"/>
    <w:basedOn w:val="a1"/>
    <w:link w:val="2"/>
    <w:uiPriority w:val="9"/>
    <w:rsid w:val="00A73A20"/>
    <w:rPr>
      <w:smallCap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A73A2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A73A2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1"/>
    <w:link w:val="5"/>
    <w:uiPriority w:val="9"/>
    <w:semiHidden/>
    <w:rsid w:val="00A73A20"/>
    <w:rPr>
      <w:i/>
      <w:i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A73A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1"/>
    <w:link w:val="7"/>
    <w:uiPriority w:val="9"/>
    <w:semiHidden/>
    <w:rsid w:val="00A73A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A73A2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A73A20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3A2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1"/>
    <w:link w:val="a4"/>
    <w:uiPriority w:val="10"/>
    <w:rsid w:val="00A73A20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73A20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1"/>
    <w:link w:val="a6"/>
    <w:uiPriority w:val="11"/>
    <w:rsid w:val="00A73A20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A73A20"/>
    <w:rPr>
      <w:b/>
      <w:bCs/>
    </w:rPr>
  </w:style>
  <w:style w:type="character" w:styleId="a9">
    <w:name w:val="Emphasis"/>
    <w:uiPriority w:val="20"/>
    <w:qFormat/>
    <w:rsid w:val="00A73A20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A73A20"/>
    <w:pPr>
      <w:spacing w:after="0" w:line="240" w:lineRule="auto"/>
    </w:pPr>
  </w:style>
  <w:style w:type="paragraph" w:styleId="a0">
    <w:name w:val="List Paragraph"/>
    <w:basedOn w:val="a"/>
    <w:uiPriority w:val="34"/>
    <w:qFormat/>
    <w:rsid w:val="00A73A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73A20"/>
    <w:rPr>
      <w:i/>
      <w:iCs/>
    </w:rPr>
  </w:style>
  <w:style w:type="character" w:customStyle="1" w:styleId="22">
    <w:name w:val="Цитата 2 Знак"/>
    <w:basedOn w:val="a1"/>
    <w:link w:val="21"/>
    <w:uiPriority w:val="29"/>
    <w:rsid w:val="00A73A2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73A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1"/>
    <w:link w:val="ab"/>
    <w:uiPriority w:val="30"/>
    <w:rsid w:val="00A73A20"/>
    <w:rPr>
      <w:i/>
      <w:iCs/>
    </w:rPr>
  </w:style>
  <w:style w:type="character" w:styleId="ad">
    <w:name w:val="Subtle Emphasis"/>
    <w:uiPriority w:val="19"/>
    <w:qFormat/>
    <w:rsid w:val="00A73A20"/>
    <w:rPr>
      <w:i/>
      <w:iCs/>
    </w:rPr>
  </w:style>
  <w:style w:type="character" w:styleId="ae">
    <w:name w:val="Intense Emphasis"/>
    <w:uiPriority w:val="21"/>
    <w:qFormat/>
    <w:rsid w:val="00A73A20"/>
    <w:rPr>
      <w:b/>
      <w:bCs/>
      <w:i/>
      <w:iCs/>
    </w:rPr>
  </w:style>
  <w:style w:type="character" w:styleId="af">
    <w:name w:val="Subtle Reference"/>
    <w:basedOn w:val="a1"/>
    <w:uiPriority w:val="31"/>
    <w:qFormat/>
    <w:rsid w:val="00A73A20"/>
    <w:rPr>
      <w:smallCaps/>
    </w:rPr>
  </w:style>
  <w:style w:type="character" w:styleId="af0">
    <w:name w:val="Intense Reference"/>
    <w:uiPriority w:val="32"/>
    <w:qFormat/>
    <w:rsid w:val="00A73A20"/>
    <w:rPr>
      <w:b/>
      <w:bCs/>
      <w:smallCaps/>
    </w:rPr>
  </w:style>
  <w:style w:type="character" w:styleId="af1">
    <w:name w:val="Book Title"/>
    <w:basedOn w:val="a1"/>
    <w:uiPriority w:val="33"/>
    <w:qFormat/>
    <w:rsid w:val="00A73A2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unhideWhenUsed/>
    <w:qFormat/>
    <w:rsid w:val="00A73A20"/>
    <w:pPr>
      <w:outlineLvl w:val="9"/>
    </w:pPr>
  </w:style>
  <w:style w:type="paragraph" w:customStyle="1" w:styleId="11">
    <w:name w:val="Абзац списка1"/>
    <w:basedOn w:val="a"/>
    <w:rsid w:val="002153C5"/>
    <w:pPr>
      <w:ind w:left="720"/>
      <w:contextualSpacing/>
    </w:pPr>
    <w:rPr>
      <w:rFonts w:ascii="Calibri" w:eastAsia="Times New Roman" w:hAnsi="Calibri" w:cs="Times New Roman"/>
      <w:lang w:val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8D7C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8D7C86"/>
    <w:rPr>
      <w:rFonts w:ascii="Segoe UI" w:hAnsi="Segoe UI" w:cs="Segoe UI"/>
      <w:sz w:val="18"/>
      <w:szCs w:val="18"/>
    </w:rPr>
  </w:style>
  <w:style w:type="table" w:styleId="af5">
    <w:name w:val="Table Grid"/>
    <w:basedOn w:val="a2"/>
    <w:uiPriority w:val="59"/>
    <w:rsid w:val="00842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36C97"/>
  </w:style>
  <w:style w:type="paragraph" w:styleId="12">
    <w:name w:val="toc 1"/>
    <w:basedOn w:val="a"/>
    <w:next w:val="a"/>
    <w:autoRedefine/>
    <w:uiPriority w:val="39"/>
    <w:unhideWhenUsed/>
    <w:rsid w:val="00BE424F"/>
    <w:pPr>
      <w:spacing w:after="100"/>
    </w:pPr>
  </w:style>
  <w:style w:type="character" w:styleId="af6">
    <w:name w:val="Hyperlink"/>
    <w:basedOn w:val="a1"/>
    <w:uiPriority w:val="99"/>
    <w:unhideWhenUsed/>
    <w:rsid w:val="00BE424F"/>
    <w:rPr>
      <w:color w:val="0000FF" w:themeColor="hyperlink"/>
      <w:u w:val="single"/>
    </w:rPr>
  </w:style>
  <w:style w:type="paragraph" w:customStyle="1" w:styleId="af7">
    <w:name w:val="_Абзац"/>
    <w:basedOn w:val="a"/>
    <w:link w:val="af8"/>
    <w:qFormat/>
    <w:rsid w:val="008E09A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6"/>
      <w:lang w:val="ru-RU" w:bidi="ar-SA"/>
    </w:rPr>
  </w:style>
  <w:style w:type="character" w:customStyle="1" w:styleId="af8">
    <w:name w:val="_Абзац Знак"/>
    <w:basedOn w:val="a1"/>
    <w:link w:val="af7"/>
    <w:rsid w:val="008E09A4"/>
    <w:rPr>
      <w:rFonts w:ascii="Times New Roman" w:hAnsi="Times New Roman" w:cs="Times New Roman"/>
      <w:sz w:val="28"/>
      <w:szCs w:val="26"/>
      <w:lang w:val="ru-RU" w:bidi="ar-SA"/>
    </w:rPr>
  </w:style>
  <w:style w:type="paragraph" w:styleId="af9">
    <w:name w:val="header"/>
    <w:basedOn w:val="a"/>
    <w:link w:val="afa"/>
    <w:uiPriority w:val="99"/>
    <w:unhideWhenUsed/>
    <w:rsid w:val="00885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1"/>
    <w:link w:val="af9"/>
    <w:uiPriority w:val="99"/>
    <w:rsid w:val="008856F9"/>
  </w:style>
  <w:style w:type="paragraph" w:styleId="afb">
    <w:name w:val="footer"/>
    <w:basedOn w:val="a"/>
    <w:link w:val="afc"/>
    <w:uiPriority w:val="99"/>
    <w:unhideWhenUsed/>
    <w:rsid w:val="00885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1"/>
    <w:link w:val="afb"/>
    <w:uiPriority w:val="99"/>
    <w:rsid w:val="008856F9"/>
  </w:style>
  <w:style w:type="paragraph" w:styleId="afd">
    <w:name w:val="Document Map"/>
    <w:basedOn w:val="a"/>
    <w:link w:val="afe"/>
    <w:uiPriority w:val="99"/>
    <w:semiHidden/>
    <w:unhideWhenUsed/>
    <w:rsid w:val="005C5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5C5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74F54-B6A0-42E3-9C43-63C222E0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11</cp:revision>
  <cp:lastPrinted>2019-11-26T11:05:00Z</cp:lastPrinted>
  <dcterms:created xsi:type="dcterms:W3CDTF">2020-12-28T09:18:00Z</dcterms:created>
  <dcterms:modified xsi:type="dcterms:W3CDTF">2021-11-25T11:09:00Z</dcterms:modified>
</cp:coreProperties>
</file>