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7C" w:rsidRDefault="0006557C" w:rsidP="0006557C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Объекты регионального государственного контроля (надзора) (далее - объект контроля):</w:t>
      </w:r>
    </w:p>
    <w:p w:rsidR="0006557C" w:rsidRDefault="0006557C" w:rsidP="0006557C">
      <w:pPr>
        <w:pStyle w:val="ConsPlusNormal"/>
        <w:spacing w:before="200"/>
        <w:ind w:firstLine="540"/>
        <w:jc w:val="both"/>
      </w:pPr>
      <w:r>
        <w:t>1) деятельность, действия (бездействие) контролируемых лиц в сфере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</w:p>
    <w:p w:rsidR="0006557C" w:rsidRDefault="0006557C" w:rsidP="0006557C">
      <w:pPr>
        <w:pStyle w:val="ConsPlusNormal"/>
        <w:spacing w:before="200"/>
        <w:ind w:firstLine="540"/>
        <w:jc w:val="both"/>
      </w:pPr>
      <w:r>
        <w:t>2) результаты деятельности контролируемых лиц в сфере розничной продажи алкогольной и спиртосодержащей продукции, в том числе продукция (товары), работы и услуги, к которым предъявляются обязательные требования;</w:t>
      </w:r>
    </w:p>
    <w:p w:rsidR="0006557C" w:rsidRDefault="0006557C" w:rsidP="0006557C">
      <w:pPr>
        <w:pStyle w:val="ConsPlusNormal"/>
        <w:spacing w:before="200"/>
        <w:ind w:firstLine="540"/>
        <w:jc w:val="both"/>
      </w:pPr>
      <w:r>
        <w:t>3) здания, помещения, сооружения, территории, оборудование, устройства, предметы, транспортные средства и другие объекты, которыми контролируемые лица владеют и (или) пользуются в рамках осуществления деятельности в сфере розничной продажи алкогольной продукции и спиртосодержащей продукции и к которым предъявляются обязательные требования.</w:t>
      </w: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C"/>
    <w:rsid w:val="0006557C"/>
    <w:rsid w:val="005366FC"/>
    <w:rsid w:val="008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2022-03-28T11:04:00Z</dcterms:created>
  <dcterms:modified xsi:type="dcterms:W3CDTF">2022-03-28T11:04:00Z</dcterms:modified>
</cp:coreProperties>
</file>