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3473"/>
        <w:gridCol w:w="888"/>
        <w:gridCol w:w="5245"/>
      </w:tblGrid>
      <w:tr w:rsidR="00924AE1" w:rsidRPr="00CC3406" w:rsidTr="00924AE1">
        <w:tc>
          <w:tcPr>
            <w:tcW w:w="3473" w:type="dxa"/>
            <w:shd w:val="clear" w:color="auto" w:fill="auto"/>
          </w:tcPr>
          <w:p w:rsidR="00924AE1" w:rsidRPr="00CC3406" w:rsidRDefault="00924AE1" w:rsidP="00CC3406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shd w:val="clear" w:color="auto" w:fill="auto"/>
          </w:tcPr>
          <w:p w:rsidR="00924AE1" w:rsidRPr="00CC3406" w:rsidRDefault="00924AE1" w:rsidP="00CC3406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924AE1" w:rsidRPr="00CC3406" w:rsidRDefault="00924AE1" w:rsidP="00CC3406">
            <w:pPr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к приказу Министерства культуры, по делам национальностей и архивного дела Чувашской Республики </w:t>
            </w:r>
          </w:p>
          <w:p w:rsidR="00924AE1" w:rsidRPr="00CC3406" w:rsidRDefault="00924AE1" w:rsidP="00CC3406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CC3406">
              <w:rPr>
                <w:rFonts w:ascii="Times New Roman" w:eastAsia="Calibri" w:hAnsi="Times New Roman" w:cs="Times New Roman"/>
                <w:sz w:val="26"/>
                <w:szCs w:val="26"/>
              </w:rPr>
              <w:t>от ____ декабря 2021 г. № __________</w:t>
            </w:r>
          </w:p>
        </w:tc>
      </w:tr>
    </w:tbl>
    <w:p w:rsidR="00AC5F04" w:rsidRDefault="00AC5F04" w:rsidP="00CC3406">
      <w:pPr>
        <w:spacing w:after="0"/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406" w:rsidRPr="00CC3406" w:rsidRDefault="00CC3406" w:rsidP="00CC3406">
      <w:pPr>
        <w:spacing w:after="0"/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5F04" w:rsidRPr="00CC3406" w:rsidRDefault="00AC5F04" w:rsidP="00CC3406">
      <w:pPr>
        <w:spacing w:after="0"/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406">
        <w:rPr>
          <w:rFonts w:ascii="Times New Roman" w:hAnsi="Times New Roman" w:cs="Times New Roman"/>
          <w:b/>
          <w:sz w:val="26"/>
          <w:szCs w:val="26"/>
        </w:rPr>
        <w:t xml:space="preserve">П Р О Г Р А М </w:t>
      </w:r>
      <w:proofErr w:type="spellStart"/>
      <w:proofErr w:type="gramStart"/>
      <w:r w:rsidRPr="00CC3406">
        <w:rPr>
          <w:rFonts w:ascii="Times New Roman" w:hAnsi="Times New Roman" w:cs="Times New Roman"/>
          <w:b/>
          <w:sz w:val="26"/>
          <w:szCs w:val="26"/>
        </w:rPr>
        <w:t>М</w:t>
      </w:r>
      <w:proofErr w:type="spellEnd"/>
      <w:proofErr w:type="gramEnd"/>
      <w:r w:rsidRPr="00CC3406">
        <w:rPr>
          <w:rFonts w:ascii="Times New Roman" w:hAnsi="Times New Roman" w:cs="Times New Roman"/>
          <w:b/>
          <w:sz w:val="26"/>
          <w:szCs w:val="26"/>
        </w:rPr>
        <w:t xml:space="preserve"> А</w:t>
      </w:r>
    </w:p>
    <w:p w:rsidR="00AC5F04" w:rsidRPr="00CC3406" w:rsidRDefault="00AC5F04" w:rsidP="00CC3406">
      <w:pPr>
        <w:pStyle w:val="a4"/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406">
        <w:rPr>
          <w:rFonts w:ascii="Times New Roman" w:hAnsi="Times New Roman" w:cs="Times New Roman"/>
          <w:b/>
          <w:sz w:val="26"/>
          <w:szCs w:val="26"/>
        </w:rPr>
        <w:t>профилактики рисков причинения вреда (ущерба)</w:t>
      </w:r>
    </w:p>
    <w:p w:rsidR="00A34E8E" w:rsidRPr="00CC3406" w:rsidRDefault="00A34E8E" w:rsidP="00CC340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C3406">
        <w:rPr>
          <w:rFonts w:ascii="Times New Roman" w:hAnsi="Times New Roman" w:cs="Times New Roman"/>
          <w:b/>
          <w:bCs/>
          <w:sz w:val="26"/>
          <w:szCs w:val="26"/>
        </w:rPr>
        <w:t xml:space="preserve">охраняемым законом ценностям </w:t>
      </w:r>
      <w:r w:rsidR="00AB1B2C" w:rsidRPr="00CC3406"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</w:t>
      </w:r>
      <w:r w:rsidR="00B51633" w:rsidRPr="00CC340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федерально</w:t>
      </w:r>
      <w:r w:rsidR="00AB1B2C" w:rsidRPr="00CC340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го</w:t>
      </w:r>
      <w:r w:rsidR="00B51633" w:rsidRPr="00CC340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государственно</w:t>
      </w:r>
      <w:r w:rsidR="00AB1B2C" w:rsidRPr="00CC340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го</w:t>
      </w:r>
      <w:r w:rsidR="00B51633" w:rsidRPr="00CC340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контрол</w:t>
      </w:r>
      <w:r w:rsidR="00AB1B2C" w:rsidRPr="00CC340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я </w:t>
      </w:r>
      <w:r w:rsidR="00B51633" w:rsidRPr="00CC340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(надзор</w:t>
      </w:r>
      <w:r w:rsidR="00AB1B2C" w:rsidRPr="00CC340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</w:t>
      </w:r>
      <w:r w:rsidR="00B51633" w:rsidRPr="00CC340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) за состоянием, содержанием, сохранением, использованием, популяризацией и государственной </w:t>
      </w:r>
      <w:r w:rsidR="00AC5F04" w:rsidRPr="00CC340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</w:t>
      </w:r>
      <w:r w:rsidR="00B51633" w:rsidRPr="00CC340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храной</w:t>
      </w:r>
      <w:r w:rsidR="00AB1B2C" w:rsidRPr="00CC340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B51633" w:rsidRPr="00CC340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объектов культурного наследия </w:t>
      </w:r>
      <w:r w:rsidR="00AB1B2C" w:rsidRPr="00CC340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федерального значения</w:t>
      </w:r>
      <w:r w:rsidR="006B3BBB" w:rsidRPr="00CC340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C3406">
        <w:rPr>
          <w:rFonts w:ascii="Times New Roman" w:hAnsi="Times New Roman" w:cs="Times New Roman"/>
          <w:b/>
          <w:bCs/>
          <w:sz w:val="26"/>
          <w:szCs w:val="26"/>
        </w:rPr>
        <w:t>на 2022 год</w:t>
      </w:r>
    </w:p>
    <w:p w:rsidR="00A34E8E" w:rsidRPr="00CC3406" w:rsidRDefault="00A34E8E" w:rsidP="00CC340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2227" w:rsidRPr="00CC3406" w:rsidRDefault="008A2227" w:rsidP="00CC3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3406">
        <w:rPr>
          <w:rFonts w:ascii="Times New Roman" w:hAnsi="Times New Roman" w:cs="Times New Roman"/>
          <w:sz w:val="26"/>
          <w:szCs w:val="26"/>
        </w:rPr>
        <w:t>Настоящая программа разработана в соответствии со статьей 44 Федерального закона от 31 июля 202</w:t>
      </w:r>
      <w:r w:rsidR="009E46A6" w:rsidRPr="00CC3406">
        <w:rPr>
          <w:rFonts w:ascii="Times New Roman" w:hAnsi="Times New Roman" w:cs="Times New Roman"/>
          <w:sz w:val="26"/>
          <w:szCs w:val="26"/>
        </w:rPr>
        <w:t>0</w:t>
      </w:r>
      <w:r w:rsidRPr="00CC3406">
        <w:rPr>
          <w:rFonts w:ascii="Times New Roman" w:hAnsi="Times New Roman" w:cs="Times New Roman"/>
          <w:sz w:val="26"/>
          <w:szCs w:val="26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hyperlink w:anchor="P34" w:history="1">
        <w:r w:rsidRPr="00CC3406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CC3406">
        <w:rPr>
          <w:rFonts w:ascii="Times New Roman" w:hAnsi="Times New Roman" w:cs="Times New Roman"/>
          <w:sz w:val="26"/>
          <w:szCs w:val="26"/>
        </w:rPr>
        <w:t>м о федеральном государственном контроле</w:t>
      </w:r>
      <w:proofErr w:type="gramEnd"/>
      <w:r w:rsidRPr="00CC340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CC3406">
        <w:rPr>
          <w:rFonts w:ascii="Times New Roman" w:hAnsi="Times New Roman" w:cs="Times New Roman"/>
          <w:sz w:val="26"/>
          <w:szCs w:val="26"/>
        </w:rPr>
        <w:t>надзоре) за состоянием, содержанием, сохранением, использованием, популяризацией и государственной охраной объектов культурного наследия, утвержденным постановлением  Правительства Российско</w:t>
      </w:r>
      <w:r w:rsidR="004235D6" w:rsidRPr="00CC3406">
        <w:rPr>
          <w:rFonts w:ascii="Times New Roman" w:hAnsi="Times New Roman" w:cs="Times New Roman"/>
          <w:sz w:val="26"/>
          <w:szCs w:val="26"/>
        </w:rPr>
        <w:t xml:space="preserve">й Федерации от 30 июня 2021 г. </w:t>
      </w:r>
      <w:r w:rsidRPr="00CC3406">
        <w:rPr>
          <w:rFonts w:ascii="Times New Roman" w:hAnsi="Times New Roman" w:cs="Times New Roman"/>
          <w:sz w:val="26"/>
          <w:szCs w:val="26"/>
        </w:rPr>
        <w:t>№ 1093 и предусматривает комплекс мероприятий направленных на минимизацию риска причинения вреда (ущерба) охраняемым законом ценностям, вызванного нарушениями обязательных требований.</w:t>
      </w:r>
      <w:proofErr w:type="gramEnd"/>
    </w:p>
    <w:p w:rsidR="00E664E0" w:rsidRPr="00CC3406" w:rsidRDefault="008A2227" w:rsidP="00CC3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3406">
        <w:rPr>
          <w:rFonts w:ascii="Times New Roman" w:hAnsi="Times New Roman" w:cs="Times New Roman"/>
          <w:sz w:val="26"/>
          <w:szCs w:val="26"/>
        </w:rPr>
        <w:t>В соответствии со ст. 9</w:t>
      </w:r>
      <w:r w:rsidR="004235D6" w:rsidRPr="00CC3406">
        <w:rPr>
          <w:rFonts w:ascii="Times New Roman" w:hAnsi="Times New Roman" w:cs="Times New Roman"/>
          <w:sz w:val="26"/>
          <w:szCs w:val="26"/>
        </w:rPr>
        <w:t xml:space="preserve">.1 Федерального закона от 25 июня </w:t>
      </w:r>
      <w:r w:rsidRPr="00CC3406">
        <w:rPr>
          <w:rFonts w:ascii="Times New Roman" w:hAnsi="Times New Roman" w:cs="Times New Roman"/>
          <w:sz w:val="26"/>
          <w:szCs w:val="26"/>
        </w:rPr>
        <w:t>2002</w:t>
      </w:r>
      <w:r w:rsidR="004235D6" w:rsidRPr="00CC3406">
        <w:rPr>
          <w:rFonts w:ascii="Times New Roman" w:hAnsi="Times New Roman" w:cs="Times New Roman"/>
          <w:sz w:val="26"/>
          <w:szCs w:val="26"/>
        </w:rPr>
        <w:t xml:space="preserve"> г.</w:t>
      </w:r>
      <w:r w:rsidRPr="00CC3406">
        <w:rPr>
          <w:rFonts w:ascii="Times New Roman" w:hAnsi="Times New Roman" w:cs="Times New Roman"/>
          <w:sz w:val="26"/>
          <w:szCs w:val="26"/>
        </w:rPr>
        <w:t xml:space="preserve"> № 73-ФЗ «Об объектах культурного наследия (памятниках истории и культуры) народов Российской Федерации» (далее – Федеральный закон № 73-ФЗ), Российская Федерация передает органам государственной власти субъекта Российской Федерации</w:t>
      </w:r>
      <w:r w:rsidR="00F0603E" w:rsidRPr="00CC3406">
        <w:rPr>
          <w:rFonts w:ascii="Times New Roman" w:hAnsi="Times New Roman" w:cs="Times New Roman"/>
          <w:sz w:val="26"/>
          <w:szCs w:val="26"/>
        </w:rPr>
        <w:t xml:space="preserve"> полномочия по</w:t>
      </w:r>
      <w:r w:rsidRPr="00CC3406">
        <w:rPr>
          <w:rFonts w:ascii="Times New Roman" w:hAnsi="Times New Roman" w:cs="Times New Roman"/>
          <w:sz w:val="26"/>
          <w:szCs w:val="26"/>
        </w:rPr>
        <w:t xml:space="preserve"> осуществлени</w:t>
      </w:r>
      <w:r w:rsidR="00F0603E" w:rsidRPr="00CC3406">
        <w:rPr>
          <w:rFonts w:ascii="Times New Roman" w:hAnsi="Times New Roman" w:cs="Times New Roman"/>
          <w:sz w:val="26"/>
          <w:szCs w:val="26"/>
        </w:rPr>
        <w:t>ю</w:t>
      </w:r>
      <w:r w:rsidRPr="00CC3406">
        <w:rPr>
          <w:rFonts w:ascii="Times New Roman" w:hAnsi="Times New Roman" w:cs="Times New Roman"/>
          <w:sz w:val="26"/>
          <w:szCs w:val="26"/>
        </w:rPr>
        <w:t xml:space="preserve"> </w:t>
      </w:r>
      <w:r w:rsidR="00E664E0" w:rsidRPr="00CC3406">
        <w:rPr>
          <w:rFonts w:ascii="Times New Roman" w:hAnsi="Times New Roman" w:cs="Times New Roman"/>
          <w:sz w:val="26"/>
          <w:szCs w:val="26"/>
        </w:rPr>
        <w:t>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федерального значения (за исключением</w:t>
      </w:r>
      <w:proofErr w:type="gramEnd"/>
      <w:r w:rsidR="00E664E0" w:rsidRPr="00CC3406">
        <w:rPr>
          <w:rFonts w:ascii="Times New Roman" w:hAnsi="Times New Roman" w:cs="Times New Roman"/>
          <w:sz w:val="26"/>
          <w:szCs w:val="26"/>
        </w:rPr>
        <w:t xml:space="preserve"> отдельных объектов культурного наследия, перечень которых устанавливается Правительством Российской Федерации),</w:t>
      </w:r>
      <w:r w:rsidR="00F0603E" w:rsidRPr="00CC3406">
        <w:rPr>
          <w:rFonts w:ascii="Times New Roman" w:hAnsi="Times New Roman" w:cs="Times New Roman"/>
          <w:sz w:val="26"/>
          <w:szCs w:val="26"/>
        </w:rPr>
        <w:t xml:space="preserve"> (далее - федеральный государственный надзор)</w:t>
      </w:r>
      <w:r w:rsidRPr="00CC3406">
        <w:rPr>
          <w:rFonts w:ascii="Times New Roman" w:hAnsi="Times New Roman" w:cs="Times New Roman"/>
          <w:sz w:val="26"/>
          <w:szCs w:val="26"/>
        </w:rPr>
        <w:t>.</w:t>
      </w:r>
    </w:p>
    <w:p w:rsidR="008A2227" w:rsidRPr="00CC3406" w:rsidRDefault="009E46A6" w:rsidP="00CC3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Федеральный государственный надзор на территории Чувашской Республики осуществляется отделом по охране объектов культурного наследия Министерства культуры, по делам национальностей и архивного дела Чувашской Республики (</w:t>
      </w:r>
      <w:r w:rsidR="00EF1D83" w:rsidRPr="00CC3406">
        <w:rPr>
          <w:rFonts w:ascii="Times New Roman" w:hAnsi="Times New Roman" w:cs="Times New Roman"/>
          <w:sz w:val="26"/>
          <w:szCs w:val="26"/>
        </w:rPr>
        <w:t xml:space="preserve">далее </w:t>
      </w:r>
      <w:r w:rsidRPr="00CC3406">
        <w:rPr>
          <w:rFonts w:ascii="Times New Roman" w:hAnsi="Times New Roman" w:cs="Times New Roman"/>
          <w:sz w:val="26"/>
          <w:szCs w:val="26"/>
        </w:rPr>
        <w:t xml:space="preserve">соответственно – Отдел, Министерство) </w:t>
      </w:r>
      <w:r w:rsidR="00E664E0" w:rsidRPr="00CC3406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8A2227" w:rsidRPr="00CC3406">
        <w:rPr>
          <w:rFonts w:ascii="Times New Roman" w:hAnsi="Times New Roman" w:cs="Times New Roman"/>
          <w:sz w:val="26"/>
          <w:szCs w:val="26"/>
        </w:rPr>
        <w:t>ст.</w:t>
      </w:r>
      <w:r w:rsidR="00D669BA" w:rsidRPr="00CC3406">
        <w:rPr>
          <w:rFonts w:ascii="Times New Roman" w:hAnsi="Times New Roman" w:cs="Times New Roman"/>
          <w:sz w:val="26"/>
          <w:szCs w:val="26"/>
        </w:rPr>
        <w:t xml:space="preserve"> 11 Федерального закона № 73-ФЗ, </w:t>
      </w:r>
      <w:hyperlink w:anchor="P34" w:history="1">
        <w:proofErr w:type="gramStart"/>
        <w:r w:rsidR="008A2227" w:rsidRPr="00CC3406">
          <w:rPr>
            <w:rFonts w:ascii="Times New Roman" w:hAnsi="Times New Roman" w:cs="Times New Roman"/>
            <w:sz w:val="26"/>
            <w:szCs w:val="26"/>
          </w:rPr>
          <w:t>Положени</w:t>
        </w:r>
      </w:hyperlink>
      <w:r w:rsidR="00D669BA" w:rsidRPr="00CC3406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D669BA" w:rsidRPr="00CC3406">
        <w:rPr>
          <w:rFonts w:ascii="Times New Roman" w:hAnsi="Times New Roman" w:cs="Times New Roman"/>
          <w:sz w:val="26"/>
          <w:szCs w:val="26"/>
        </w:rPr>
        <w:t xml:space="preserve"> </w:t>
      </w:r>
      <w:r w:rsidR="008A2227" w:rsidRPr="00CC3406">
        <w:rPr>
          <w:rFonts w:ascii="Times New Roman" w:hAnsi="Times New Roman" w:cs="Times New Roman"/>
          <w:sz w:val="26"/>
          <w:szCs w:val="26"/>
        </w:rPr>
        <w:t xml:space="preserve">о федеральном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наследия, утвержденным постановлением  Правительства Российской Федерации </w:t>
      </w:r>
      <w:r w:rsidR="00F0603E" w:rsidRPr="00CC3406">
        <w:rPr>
          <w:rFonts w:ascii="Times New Roman" w:hAnsi="Times New Roman" w:cs="Times New Roman"/>
          <w:sz w:val="26"/>
          <w:szCs w:val="26"/>
        </w:rPr>
        <w:t>от 30 </w:t>
      </w:r>
      <w:r w:rsidR="004235D6" w:rsidRPr="00CC3406">
        <w:rPr>
          <w:rFonts w:ascii="Times New Roman" w:hAnsi="Times New Roman" w:cs="Times New Roman"/>
          <w:sz w:val="26"/>
          <w:szCs w:val="26"/>
        </w:rPr>
        <w:t>июня 2021 г.</w:t>
      </w:r>
      <w:r w:rsidRPr="00CC3406">
        <w:rPr>
          <w:rFonts w:ascii="Times New Roman" w:hAnsi="Times New Roman" w:cs="Times New Roman"/>
          <w:sz w:val="26"/>
          <w:szCs w:val="26"/>
        </w:rPr>
        <w:t xml:space="preserve"> № 1093.</w:t>
      </w:r>
    </w:p>
    <w:p w:rsidR="008A2227" w:rsidRPr="00CC3406" w:rsidRDefault="008A2227" w:rsidP="00CC3406">
      <w:pPr>
        <w:pStyle w:val="2"/>
        <w:tabs>
          <w:tab w:val="left" w:pos="993"/>
        </w:tabs>
        <w:ind w:firstLine="709"/>
        <w:rPr>
          <w:sz w:val="26"/>
          <w:szCs w:val="26"/>
        </w:rPr>
      </w:pPr>
      <w:r w:rsidRPr="00CC3406">
        <w:rPr>
          <w:sz w:val="26"/>
          <w:szCs w:val="26"/>
        </w:rPr>
        <w:t>Для целей настоящей программы используются определения и понятия, установленные Федеральным законом № 248-ФЗ.</w:t>
      </w:r>
    </w:p>
    <w:p w:rsidR="008A2227" w:rsidRPr="00CC3406" w:rsidRDefault="000316FF" w:rsidP="00CC3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Настоящая п</w:t>
      </w:r>
      <w:r w:rsidR="008A2227" w:rsidRPr="00CC3406">
        <w:rPr>
          <w:rFonts w:ascii="Times New Roman" w:hAnsi="Times New Roman" w:cs="Times New Roman"/>
          <w:sz w:val="26"/>
          <w:szCs w:val="26"/>
        </w:rPr>
        <w:t xml:space="preserve">рограмма представляет собой взаимосвязанный по целям, задачам, ресурсам и срокам осуществления комплекс профилактических мероприятий, </w:t>
      </w:r>
      <w:r w:rsidR="008A2227" w:rsidRPr="00CC3406">
        <w:rPr>
          <w:rFonts w:ascii="Times New Roman" w:hAnsi="Times New Roman" w:cs="Times New Roman"/>
          <w:sz w:val="26"/>
          <w:szCs w:val="26"/>
        </w:rPr>
        <w:lastRenderedPageBreak/>
        <w:t>обеспечивающих эффективное решение проблем, препятствующих соблюдению контролируемыми лицами обязательных требований,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8A2227" w:rsidRPr="00CC3406" w:rsidRDefault="008A2227" w:rsidP="00CC340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4E8E" w:rsidRPr="00CC3406" w:rsidRDefault="00A34E8E" w:rsidP="00CC340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406">
        <w:rPr>
          <w:rFonts w:ascii="Times New Roman" w:hAnsi="Times New Roman" w:cs="Times New Roman"/>
          <w:b/>
          <w:bCs/>
          <w:sz w:val="26"/>
          <w:szCs w:val="26"/>
        </w:rPr>
        <w:t>Раздел 1. Анализ текущего состояния осуществления вида</w:t>
      </w:r>
    </w:p>
    <w:p w:rsidR="00A34E8E" w:rsidRPr="00CC3406" w:rsidRDefault="00A34E8E" w:rsidP="00CC340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406">
        <w:rPr>
          <w:rFonts w:ascii="Times New Roman" w:hAnsi="Times New Roman" w:cs="Times New Roman"/>
          <w:b/>
          <w:bCs/>
          <w:sz w:val="26"/>
          <w:szCs w:val="26"/>
        </w:rPr>
        <w:t xml:space="preserve">контроля, описание текущего уровня развития </w:t>
      </w:r>
      <w:proofErr w:type="gramStart"/>
      <w:r w:rsidRPr="00CC3406">
        <w:rPr>
          <w:rFonts w:ascii="Times New Roman" w:hAnsi="Times New Roman" w:cs="Times New Roman"/>
          <w:b/>
          <w:bCs/>
          <w:sz w:val="26"/>
          <w:szCs w:val="26"/>
        </w:rPr>
        <w:t>профилактической</w:t>
      </w:r>
      <w:proofErr w:type="gramEnd"/>
    </w:p>
    <w:p w:rsidR="00A34E8E" w:rsidRPr="00CC3406" w:rsidRDefault="00A34E8E" w:rsidP="00CC340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406">
        <w:rPr>
          <w:rFonts w:ascii="Times New Roman" w:hAnsi="Times New Roman" w:cs="Times New Roman"/>
          <w:b/>
          <w:bCs/>
          <w:sz w:val="26"/>
          <w:szCs w:val="26"/>
        </w:rPr>
        <w:t>деятельности контрольного (надзорного) органа, характеристика</w:t>
      </w:r>
    </w:p>
    <w:p w:rsidR="00A34E8E" w:rsidRPr="00CC3406" w:rsidRDefault="00A34E8E" w:rsidP="00CC340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406">
        <w:rPr>
          <w:rFonts w:ascii="Times New Roman" w:hAnsi="Times New Roman" w:cs="Times New Roman"/>
          <w:b/>
          <w:bCs/>
          <w:sz w:val="26"/>
          <w:szCs w:val="26"/>
        </w:rPr>
        <w:t>проблем, на решение которых направлена программа профилактики</w:t>
      </w:r>
    </w:p>
    <w:p w:rsidR="00CC3406" w:rsidRPr="00CC3406" w:rsidRDefault="00CC3406" w:rsidP="00CC340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41BC8" w:rsidRPr="00CC3406" w:rsidRDefault="00A41BC8" w:rsidP="00CC3406">
      <w:pPr>
        <w:pStyle w:val="a4"/>
        <w:ind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Чувашской Республики находится 221 объект культурного наследия федерального значения, в том числе 176 объектов археологического наследия, 45 памятников истории и культуры. </w:t>
      </w:r>
    </w:p>
    <w:p w:rsidR="00A41BC8" w:rsidRPr="00CC3406" w:rsidRDefault="00A41BC8" w:rsidP="00CC3406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 xml:space="preserve">В 2020 году уполномоченными лицами Министерства на основании Плана проведения мероприятий по </w:t>
      </w:r>
      <w:proofErr w:type="gramStart"/>
      <w:r w:rsidRPr="00CC3406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CC3406">
        <w:rPr>
          <w:rFonts w:ascii="Times New Roman" w:hAnsi="Times New Roman" w:cs="Times New Roman"/>
          <w:sz w:val="26"/>
          <w:szCs w:val="26"/>
        </w:rPr>
        <w:t xml:space="preserve"> состоянием объектов культурного наследия федерального значения на 2020 год, ут</w:t>
      </w:r>
      <w:r w:rsidR="004235D6" w:rsidRPr="00CC3406">
        <w:rPr>
          <w:rFonts w:ascii="Times New Roman" w:hAnsi="Times New Roman" w:cs="Times New Roman"/>
          <w:sz w:val="26"/>
          <w:szCs w:val="26"/>
        </w:rPr>
        <w:t>верждённого 16 декабря 2019 г.</w:t>
      </w:r>
      <w:r w:rsidRPr="00CC3406">
        <w:rPr>
          <w:rFonts w:ascii="Times New Roman" w:hAnsi="Times New Roman" w:cs="Times New Roman"/>
          <w:sz w:val="26"/>
          <w:szCs w:val="26"/>
        </w:rPr>
        <w:t xml:space="preserve"> проведено 45 мероприятий по контролю.</w:t>
      </w:r>
    </w:p>
    <w:p w:rsidR="00A41BC8" w:rsidRPr="00CC3406" w:rsidRDefault="00A41BC8" w:rsidP="00CC3406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 xml:space="preserve">В 2020 году плановые мероприятия не проводились. </w:t>
      </w:r>
    </w:p>
    <w:p w:rsidR="00A41BC8" w:rsidRPr="00CC3406" w:rsidRDefault="00A41BC8" w:rsidP="00CC3406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 xml:space="preserve">В 2021 году уполномоченными лицами Министерства на основании Плана проведения мероприятий по </w:t>
      </w:r>
      <w:proofErr w:type="gramStart"/>
      <w:r w:rsidRPr="00CC3406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CC3406">
        <w:rPr>
          <w:rFonts w:ascii="Times New Roman" w:hAnsi="Times New Roman" w:cs="Times New Roman"/>
          <w:sz w:val="26"/>
          <w:szCs w:val="26"/>
        </w:rPr>
        <w:t xml:space="preserve"> состоянием объектов культурного наследия федерального значения на 2021 год проведено также 45 мероприятий по контролю. </w:t>
      </w:r>
    </w:p>
    <w:p w:rsidR="00A41BC8" w:rsidRPr="00CC3406" w:rsidRDefault="00A41BC8" w:rsidP="00CC3406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В ходе мероприятий по контролю установлено удовлетворительное состояние объектов федерального значения. При визуальном осмотре в утвержденных границах территории 1 памятника археологии выявлено разрушение культурного слоя (возбуждено уголовное дело); в остальных случаях земляные, строительные, мелиоративные, хозяйственные и иные работы не ведутся.</w:t>
      </w:r>
    </w:p>
    <w:p w:rsidR="00A41BC8" w:rsidRPr="00CC3406" w:rsidRDefault="00A41BC8" w:rsidP="00CC3406">
      <w:pPr>
        <w:pStyle w:val="a4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eastAsia="Calibri" w:hAnsi="Times New Roman" w:cs="Times New Roman"/>
          <w:bCs/>
          <w:sz w:val="26"/>
          <w:szCs w:val="26"/>
        </w:rPr>
        <w:t>В соответствии с приказом Минкульту</w:t>
      </w:r>
      <w:r w:rsidR="001A470E" w:rsidRPr="00CC3406">
        <w:rPr>
          <w:rFonts w:ascii="Times New Roman" w:eastAsia="Calibri" w:hAnsi="Times New Roman" w:cs="Times New Roman"/>
          <w:bCs/>
          <w:sz w:val="26"/>
          <w:szCs w:val="26"/>
        </w:rPr>
        <w:t>ры России от 20 апреля 2016 г.</w:t>
      </w:r>
      <w:r w:rsidRPr="00CC3406">
        <w:rPr>
          <w:rFonts w:ascii="Times New Roman" w:eastAsia="Calibri" w:hAnsi="Times New Roman" w:cs="Times New Roman"/>
          <w:bCs/>
          <w:sz w:val="26"/>
          <w:szCs w:val="26"/>
        </w:rPr>
        <w:t xml:space="preserve"> № 876 </w:t>
      </w:r>
      <w:r w:rsidRPr="00CC3406">
        <w:rPr>
          <w:rFonts w:ascii="Times New Roman" w:hAnsi="Times New Roman" w:cs="Times New Roman"/>
          <w:sz w:val="26"/>
          <w:szCs w:val="26"/>
        </w:rPr>
        <w:t xml:space="preserve">о выполнении 20% целевого показателя эффективности деятельности органов государственной власти субъектов Российской </w:t>
      </w:r>
      <w:proofErr w:type="gramStart"/>
      <w:r w:rsidRPr="00CC3406">
        <w:rPr>
          <w:rFonts w:ascii="Times New Roman" w:hAnsi="Times New Roman" w:cs="Times New Roman"/>
          <w:sz w:val="26"/>
          <w:szCs w:val="26"/>
        </w:rPr>
        <w:t>Федерации</w:t>
      </w:r>
      <w:proofErr w:type="gramEnd"/>
      <w:r w:rsidRPr="00CC3406">
        <w:rPr>
          <w:rFonts w:ascii="Times New Roman" w:hAnsi="Times New Roman" w:cs="Times New Roman"/>
          <w:sz w:val="26"/>
          <w:szCs w:val="26"/>
        </w:rPr>
        <w:t xml:space="preserve"> по осуществлению переданных им полномочий Российской Федерации в области сохранения, использования, популяризации и государственной охраны объектов культурного наследия, показатели в Чувашской Республике ежегодно составляют 20 % от общего числа объектов культурного наследия федерального значения, расположенных на территории соответствующего субъекта Российской Федерации.</w:t>
      </w:r>
    </w:p>
    <w:p w:rsidR="00A41BC8" w:rsidRPr="00CC3406" w:rsidRDefault="00A41BC8" w:rsidP="00CC3406">
      <w:pPr>
        <w:pStyle w:val="ConsPlusNormal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Ввиду отсутствия нарушений законодательства в отношении объектов культурного наследия федерального значения, дел об административных правонарушениях не возбуждалось.</w:t>
      </w:r>
    </w:p>
    <w:p w:rsidR="00A41BC8" w:rsidRPr="00CC3406" w:rsidRDefault="00A41BC8" w:rsidP="00CC3406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 xml:space="preserve">Плановых проверок юридических лиц и индивидуальных предпринимателей в отчетном периоде не проводилось. </w:t>
      </w:r>
    </w:p>
    <w:p w:rsidR="00A41BC8" w:rsidRPr="00CC3406" w:rsidRDefault="00A41BC8" w:rsidP="00CC3406">
      <w:pPr>
        <w:tabs>
          <w:tab w:val="left" w:pos="4020"/>
        </w:tabs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В отношении 33 памятников истории и культуры федерального значения утверждены границы, в отношении 31 - утвержден предмет охраны.</w:t>
      </w:r>
    </w:p>
    <w:p w:rsidR="00A41BC8" w:rsidRPr="00CC3406" w:rsidRDefault="00A41BC8" w:rsidP="00CC3406">
      <w:pPr>
        <w:tabs>
          <w:tab w:val="left" w:pos="4020"/>
        </w:tabs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 xml:space="preserve">В отношении 38 памятников археологии федерального значения утверждены границы территорий и предметы охраны. В отношении 36 памятников археологии федерального значения утверждены охранные обязательства собственника или иного законного владельца объекта культурного наследия. </w:t>
      </w:r>
    </w:p>
    <w:p w:rsidR="00A41BC8" w:rsidRPr="00CC3406" w:rsidRDefault="00A41BC8" w:rsidP="00CC3406">
      <w:pPr>
        <w:tabs>
          <w:tab w:val="left" w:pos="4020"/>
        </w:tabs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 xml:space="preserve">В рамках действующего законодательства зоны охраны на объекты археологического наследия не устанавливаются. </w:t>
      </w:r>
    </w:p>
    <w:p w:rsidR="00A41BC8" w:rsidRPr="00CC3406" w:rsidRDefault="00A41BC8" w:rsidP="00CC340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lastRenderedPageBreak/>
        <w:t>Обращений о согласовании проведения землеустроительных, земляных, строительных, мелиоративных, хозяйственных и иных работ на территории объектов культурного наследия федерального значения не поступало.</w:t>
      </w:r>
    </w:p>
    <w:p w:rsidR="00A41BC8" w:rsidRPr="00CC3406" w:rsidRDefault="00A41BC8" w:rsidP="00CC340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Обращений о согласовании землеустроительной документации и решениях федеральных органов государственной власти, органов государственной власти субъекта Российской Федерации и органов местного самоуправления о предоставлении земельных участков и (или) изменении их правового режима в адрес Министерства не поступало.</w:t>
      </w:r>
    </w:p>
    <w:p w:rsidR="00A41BC8" w:rsidRPr="00CC3406" w:rsidRDefault="00A41BC8" w:rsidP="00CC340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 xml:space="preserve">Факты нарушения требований сохранения и использования и государственной охраны объектов культурного наследия федерального значения отсутствуют, предписаний о приостановке работ на объектах культурного наследия федерального значения не выдавалось, мер по привлечению к административной ответственности не принималось. </w:t>
      </w:r>
    </w:p>
    <w:p w:rsidR="00A41BC8" w:rsidRPr="00CC3406" w:rsidRDefault="00A41BC8" w:rsidP="00CC340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целях предупреждения нарушений контролируемыми лицами обязательных требований устранения причин, факторов и условий, способствующих указанным нарушениям, Министерством осуществляются мероприятия по профилактике таких нарушений в соответствии с </w:t>
      </w:r>
      <w:r w:rsidRPr="00CC3406">
        <w:rPr>
          <w:rFonts w:ascii="Times New Roman" w:hAnsi="Times New Roman" w:cs="Times New Roman"/>
          <w:sz w:val="26"/>
          <w:szCs w:val="26"/>
        </w:rPr>
        <w:t>Программой профилактики нарушений обязательных требований.</w:t>
      </w:r>
    </w:p>
    <w:p w:rsidR="00A41BC8" w:rsidRPr="00CC3406" w:rsidRDefault="00A41BC8" w:rsidP="00CC340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3406">
        <w:rPr>
          <w:rFonts w:ascii="Times New Roman" w:hAnsi="Times New Roman" w:cs="Times New Roman"/>
          <w:sz w:val="26"/>
          <w:szCs w:val="26"/>
        </w:rPr>
        <w:t xml:space="preserve">В частности, в рамках реализации Программных мероприятий на официальном сайте Министерства </w:t>
      </w:r>
      <w:r w:rsidRPr="00CC340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6" w:history="1">
        <w:r w:rsidRPr="00CC340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https://culture.cap.ru/action/activity/kontroljno-nadzornaya-deyateljnostj/kontroljnie-funkcii/federaljnij-gosudarstvennij-nadzor-v-oblasti-ohran/perechenj-aktov-soderzhaschih-obyazateljnie-trebov</w:t>
        </w:r>
      </w:hyperlink>
      <w:r w:rsidRPr="00CC3406">
        <w:rPr>
          <w:rFonts w:ascii="Times New Roman" w:eastAsia="Times New Roman" w:hAnsi="Times New Roman" w:cs="Times New Roman"/>
          <w:sz w:val="26"/>
          <w:szCs w:val="26"/>
          <w:lang w:eastAsia="ru-RU"/>
        </w:rPr>
        <w:t>) о</w:t>
      </w:r>
      <w:r w:rsidRPr="00CC3406">
        <w:rPr>
          <w:rFonts w:ascii="Times New Roman" w:hAnsi="Times New Roman" w:cs="Times New Roman"/>
          <w:sz w:val="26"/>
          <w:szCs w:val="26"/>
        </w:rPr>
        <w:t xml:space="preserve">беспечено размещение </w:t>
      </w:r>
      <w:r w:rsidRPr="00CC340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перечня актов, содержащих обязательные требования, соблюдение которых оценивается при осуществлении федерального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федерального значения (по переданным полномочиям)</w:t>
      </w:r>
      <w:r w:rsidRPr="00CC340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41BC8" w:rsidRPr="00CC3406" w:rsidRDefault="00A41BC8" w:rsidP="00CC3406">
      <w:pPr>
        <w:pStyle w:val="a4"/>
        <w:ind w:firstLine="709"/>
        <w:jc w:val="both"/>
        <w:rPr>
          <w:rStyle w:val="212pt1"/>
          <w:sz w:val="26"/>
          <w:szCs w:val="26"/>
        </w:rPr>
      </w:pPr>
      <w:r w:rsidRPr="00CC340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на официальном сайте Министерства руководства по соблюдению требований; </w:t>
      </w:r>
      <w:r w:rsidRPr="00CC3406">
        <w:rPr>
          <w:rFonts w:ascii="Times New Roman" w:hAnsi="Times New Roman" w:cs="Times New Roman"/>
          <w:sz w:val="26"/>
          <w:szCs w:val="26"/>
        </w:rPr>
        <w:t xml:space="preserve">результатов обобщения правоприменительной практики; докладов с обзором практики осуществления федерального государственного надзора, </w:t>
      </w:r>
      <w:r w:rsidRPr="00CC3406">
        <w:rPr>
          <w:rStyle w:val="212pt1"/>
          <w:sz w:val="26"/>
          <w:szCs w:val="26"/>
        </w:rPr>
        <w:t xml:space="preserve">проведения разъяснительной работы с привлечением средств массовой информации (интервью, статьи и пр.). </w:t>
      </w:r>
    </w:p>
    <w:p w:rsidR="00A41BC8" w:rsidRPr="00CC3406" w:rsidRDefault="00A41BC8" w:rsidP="00CC3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C3406">
        <w:rPr>
          <w:rFonts w:ascii="Times New Roman" w:hAnsi="Times New Roman" w:cs="Times New Roman"/>
          <w:sz w:val="26"/>
          <w:szCs w:val="26"/>
        </w:rPr>
        <w:t xml:space="preserve">Выполняемые программные мероприятия направлены </w:t>
      </w:r>
      <w:proofErr w:type="gramStart"/>
      <w:r w:rsidRPr="00CC340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C3406">
        <w:rPr>
          <w:rFonts w:ascii="Times New Roman" w:hAnsi="Times New Roman" w:cs="Times New Roman"/>
          <w:sz w:val="26"/>
          <w:szCs w:val="26"/>
        </w:rPr>
        <w:t>:</w:t>
      </w:r>
      <w:r w:rsidRPr="00CC340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41BC8" w:rsidRPr="00CC3406" w:rsidRDefault="00A41BC8" w:rsidP="00CC3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C3406">
        <w:rPr>
          <w:rFonts w:ascii="Times New Roman" w:hAnsi="Times New Roman" w:cs="Times New Roman"/>
          <w:sz w:val="26"/>
          <w:szCs w:val="26"/>
          <w:lang w:eastAsia="ru-RU"/>
        </w:rPr>
        <w:t>- предупреждение нарушений подконтрольными субъектами обязательных требований (снижение числа нарушений обязательных требований);</w:t>
      </w:r>
    </w:p>
    <w:p w:rsidR="00A41BC8" w:rsidRPr="00CC3406" w:rsidRDefault="00A41BC8" w:rsidP="00CC3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  <w:lang w:eastAsia="ru-RU"/>
        </w:rPr>
        <w:t>- предотвращение причинения вреда либо угрозы причинения вреда охраняемым законом объектам культурного наследия вследствие нарушений обязательных требований;</w:t>
      </w:r>
    </w:p>
    <w:p w:rsidR="00A41BC8" w:rsidRPr="00CC3406" w:rsidRDefault="00A41BC8" w:rsidP="00CC3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C3406">
        <w:rPr>
          <w:rFonts w:ascii="Times New Roman" w:hAnsi="Times New Roman" w:cs="Times New Roman"/>
          <w:sz w:val="26"/>
          <w:szCs w:val="26"/>
          <w:lang w:eastAsia="ru-RU"/>
        </w:rPr>
        <w:t xml:space="preserve">- повышение прозрачности деятельности при осуществлении </w:t>
      </w:r>
      <w:r w:rsidR="00000373" w:rsidRPr="00CC3406"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федерального </w:t>
      </w:r>
      <w:r w:rsidRPr="00CC3406">
        <w:rPr>
          <w:rFonts w:ascii="Times New Roman" w:hAnsi="Times New Roman" w:cs="Times New Roman"/>
          <w:sz w:val="26"/>
          <w:szCs w:val="26"/>
          <w:lang w:eastAsia="ru-RU"/>
        </w:rPr>
        <w:t>государственного надзора;</w:t>
      </w:r>
    </w:p>
    <w:p w:rsidR="00A41BC8" w:rsidRPr="00CC3406" w:rsidRDefault="00A41BC8" w:rsidP="00CC340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C3406">
        <w:rPr>
          <w:sz w:val="26"/>
          <w:szCs w:val="26"/>
        </w:rPr>
        <w:t>- формирование моделей социально ответственного, добросовестного, правового поведения подконтрольных субъектов.</w:t>
      </w:r>
    </w:p>
    <w:p w:rsidR="00CC3406" w:rsidRPr="00CC3406" w:rsidRDefault="00CC3406" w:rsidP="00CC340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4E8E" w:rsidRPr="00CC3406" w:rsidRDefault="00A34E8E" w:rsidP="00CC340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406">
        <w:rPr>
          <w:rFonts w:ascii="Times New Roman" w:hAnsi="Times New Roman" w:cs="Times New Roman"/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853DAC" w:rsidRPr="00CC3406" w:rsidRDefault="00853DAC" w:rsidP="00CC3406">
      <w:pPr>
        <w:pStyle w:val="a6"/>
        <w:spacing w:before="12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C3406">
        <w:rPr>
          <w:sz w:val="26"/>
          <w:szCs w:val="26"/>
        </w:rPr>
        <w:t xml:space="preserve">Профилактическая работа в </w:t>
      </w:r>
      <w:r w:rsidR="006F0376" w:rsidRPr="00CC3406">
        <w:rPr>
          <w:sz w:val="26"/>
          <w:szCs w:val="26"/>
        </w:rPr>
        <w:t xml:space="preserve">Министерстве </w:t>
      </w:r>
      <w:r w:rsidRPr="00CC3406">
        <w:rPr>
          <w:sz w:val="26"/>
          <w:szCs w:val="26"/>
        </w:rPr>
        <w:t xml:space="preserve">представляет собой системно организованную деятельность по комплексной реализации мер организационного, </w:t>
      </w:r>
      <w:r w:rsidRPr="00CC3406">
        <w:rPr>
          <w:sz w:val="26"/>
          <w:szCs w:val="26"/>
        </w:rPr>
        <w:lastRenderedPageBreak/>
        <w:t xml:space="preserve">информационного, правового и иного характера, направленных на достижение следующих </w:t>
      </w:r>
      <w:r w:rsidRPr="00CC3406">
        <w:rPr>
          <w:b/>
          <w:sz w:val="26"/>
          <w:szCs w:val="26"/>
        </w:rPr>
        <w:t>основных целей</w:t>
      </w:r>
      <w:r w:rsidRPr="00CC3406">
        <w:rPr>
          <w:sz w:val="26"/>
          <w:szCs w:val="26"/>
        </w:rPr>
        <w:t>:</w:t>
      </w:r>
    </w:p>
    <w:p w:rsidR="00853DAC" w:rsidRPr="00CC3406" w:rsidRDefault="00853DAC" w:rsidP="00CC34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- предупреждение нарушений подконтрольными субъектами обязательных требований (снижение числа нарушений обязательных требований);</w:t>
      </w:r>
    </w:p>
    <w:p w:rsidR="00853DAC" w:rsidRPr="00CC3406" w:rsidRDefault="00853DAC" w:rsidP="00CC34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- предотвращение причинения вреда либо угрозы причинения вреда охраняемым законом ценностям вследствие нарушений обязательных требований;</w:t>
      </w:r>
    </w:p>
    <w:p w:rsidR="00853DAC" w:rsidRPr="00CC3406" w:rsidRDefault="00853DAC" w:rsidP="00CC34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 xml:space="preserve">- повышение прозрачности деятельности </w:t>
      </w:r>
      <w:r w:rsidR="00C008B2" w:rsidRPr="00CC3406">
        <w:rPr>
          <w:rFonts w:ascii="Times New Roman" w:hAnsi="Times New Roman" w:cs="Times New Roman"/>
          <w:sz w:val="26"/>
          <w:szCs w:val="26"/>
        </w:rPr>
        <w:t>Министерства</w:t>
      </w:r>
      <w:r w:rsidRPr="00CC3406">
        <w:rPr>
          <w:rFonts w:ascii="Times New Roman" w:hAnsi="Times New Roman" w:cs="Times New Roman"/>
          <w:sz w:val="26"/>
          <w:szCs w:val="26"/>
        </w:rPr>
        <w:t xml:space="preserve"> при осуществлении федерального государственного </w:t>
      </w:r>
      <w:r w:rsidR="00000373" w:rsidRPr="00CC3406">
        <w:rPr>
          <w:rFonts w:ascii="Times New Roman" w:hAnsi="Times New Roman" w:cs="Times New Roman"/>
          <w:sz w:val="26"/>
          <w:szCs w:val="26"/>
        </w:rPr>
        <w:t>надзора</w:t>
      </w:r>
      <w:r w:rsidRPr="00CC3406">
        <w:rPr>
          <w:rFonts w:ascii="Times New Roman" w:hAnsi="Times New Roman" w:cs="Times New Roman"/>
          <w:sz w:val="26"/>
          <w:szCs w:val="26"/>
        </w:rPr>
        <w:t>;</w:t>
      </w:r>
    </w:p>
    <w:p w:rsidR="00853DAC" w:rsidRPr="00CC3406" w:rsidRDefault="00853DAC" w:rsidP="00CC34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- формирование моделей социально ответственного, добросовестного, правового поведения подконтрольных субъектов.</w:t>
      </w:r>
    </w:p>
    <w:p w:rsidR="00853DAC" w:rsidRPr="00CC3406" w:rsidRDefault="00853DAC" w:rsidP="00CC34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 xml:space="preserve"> Для достижения поставленных целей настоящей программы необходимо решение </w:t>
      </w:r>
      <w:r w:rsidRPr="00CC3406">
        <w:rPr>
          <w:rFonts w:ascii="Times New Roman" w:hAnsi="Times New Roman" w:cs="Times New Roman"/>
          <w:b/>
          <w:sz w:val="26"/>
          <w:szCs w:val="26"/>
        </w:rPr>
        <w:t>следующих задач</w:t>
      </w:r>
      <w:r w:rsidRPr="00CC3406">
        <w:rPr>
          <w:rFonts w:ascii="Times New Roman" w:hAnsi="Times New Roman" w:cs="Times New Roman"/>
          <w:sz w:val="26"/>
          <w:szCs w:val="26"/>
        </w:rPr>
        <w:t>:</w:t>
      </w:r>
    </w:p>
    <w:p w:rsidR="00853DAC" w:rsidRPr="00CC3406" w:rsidRDefault="00853DAC" w:rsidP="00CC34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- выявление причин, факторов и условий, способствующих возможному нарушению обязательных требований;</w:t>
      </w:r>
    </w:p>
    <w:p w:rsidR="00853DAC" w:rsidRPr="00CC3406" w:rsidRDefault="00853DAC" w:rsidP="00CC34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- устранение причин, факторов и условий, способствующих возможному нарушению обязательных требований;</w:t>
      </w:r>
    </w:p>
    <w:p w:rsidR="00853DAC" w:rsidRPr="00CC3406" w:rsidRDefault="00853DAC" w:rsidP="00CC34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-  повышение уровня правовой грамотности подконтрольных субъектов;</w:t>
      </w:r>
    </w:p>
    <w:p w:rsidR="00853DAC" w:rsidRPr="00CC3406" w:rsidRDefault="00853DAC" w:rsidP="00CC34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 xml:space="preserve">- формирование единого понимания обязательных требований у всех участников отношений в области </w:t>
      </w:r>
      <w:r w:rsidR="00000373" w:rsidRPr="00CC3406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Pr="00CC3406">
        <w:rPr>
          <w:rFonts w:ascii="Times New Roman" w:hAnsi="Times New Roman" w:cs="Times New Roman"/>
          <w:sz w:val="26"/>
          <w:szCs w:val="26"/>
        </w:rPr>
        <w:t>государственного надзора, в том числе путем разъяснения подконтрольным субъектам обязательных требований;</w:t>
      </w:r>
    </w:p>
    <w:p w:rsidR="00853DAC" w:rsidRPr="00CC3406" w:rsidRDefault="00853DAC" w:rsidP="00CC34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- мотивация подконтрольных субъектов к добросовестному поведению и, как следствие, снижение вреда, причиняемого охраняемым законом ценностям;</w:t>
      </w:r>
    </w:p>
    <w:p w:rsidR="00853DAC" w:rsidRPr="00CC3406" w:rsidRDefault="00853DAC" w:rsidP="00CC34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- оценка состояния подконтрольной среды и особенностей подконтрольных субъектов (объектов);</w:t>
      </w:r>
    </w:p>
    <w:p w:rsidR="00853DAC" w:rsidRPr="00CC3406" w:rsidRDefault="00853DAC" w:rsidP="00CC34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- проведение профилактических мероприятий с учетом данных состояния подконтрольной среды и особенностей конкретных подконтрольных субъектов (объектов);</w:t>
      </w:r>
    </w:p>
    <w:p w:rsidR="00853DAC" w:rsidRPr="00CC3406" w:rsidRDefault="00853DAC" w:rsidP="00CC34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- сбор и анализ статистических данных, необходимых для организации профилактической работы, в том числе для определения видов, форм и интенсивнос</w:t>
      </w:r>
      <w:r w:rsidR="006F0376" w:rsidRPr="00CC3406">
        <w:rPr>
          <w:rFonts w:ascii="Times New Roman" w:hAnsi="Times New Roman" w:cs="Times New Roman"/>
          <w:sz w:val="26"/>
          <w:szCs w:val="26"/>
        </w:rPr>
        <w:t>ти профилактических мероприятий.</w:t>
      </w:r>
    </w:p>
    <w:p w:rsidR="00B25234" w:rsidRPr="00CC3406" w:rsidRDefault="00B25234" w:rsidP="00CC3406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3406" w:rsidRDefault="00CC3406" w:rsidP="00CC3406">
      <w:pPr>
        <w:autoSpaceDE w:val="0"/>
        <w:autoSpaceDN w:val="0"/>
        <w:adjustRightInd w:val="0"/>
        <w:spacing w:after="0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406">
        <w:rPr>
          <w:rFonts w:ascii="Times New Roman" w:hAnsi="Times New Roman" w:cs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CC3406" w:rsidRPr="00CC3406" w:rsidRDefault="00CC3406" w:rsidP="00CC3406">
      <w:pPr>
        <w:autoSpaceDE w:val="0"/>
        <w:autoSpaceDN w:val="0"/>
        <w:adjustRightInd w:val="0"/>
        <w:spacing w:after="0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261"/>
        <w:gridCol w:w="2835"/>
        <w:gridCol w:w="2806"/>
      </w:tblGrid>
      <w:tr w:rsidR="00CC3406" w:rsidRPr="00CC3406" w:rsidTr="00CC3406">
        <w:trPr>
          <w:trHeight w:val="776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Срок выполнения мероприятия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CC3406" w:rsidRPr="00CC3406" w:rsidRDefault="00CC3406" w:rsidP="00CC3406">
            <w:pPr>
              <w:pStyle w:val="a4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за исполнение</w:t>
            </w:r>
          </w:p>
        </w:tc>
      </w:tr>
      <w:tr w:rsidR="00CC3406" w:rsidRPr="00CC3406" w:rsidTr="00CC3406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C3406" w:rsidRPr="00CC3406" w:rsidTr="00CC3406">
        <w:trPr>
          <w:trHeight w:val="9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Информирование.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в течение 15 календарных дней с момента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</w:p>
          <w:p w:rsidR="00CC3406" w:rsidRPr="00CC3406" w:rsidRDefault="00CC3406" w:rsidP="00CC3406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+7 (8352) 565432</w:t>
            </w:r>
          </w:p>
        </w:tc>
      </w:tr>
      <w:tr w:rsidR="00CC3406" w:rsidRPr="00CC3406" w:rsidTr="00CC340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31 марта года, следующего за </w:t>
            </w:r>
            <w:proofErr w:type="gramStart"/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</w:p>
        </w:tc>
      </w:tr>
      <w:tr w:rsidR="00CC3406" w:rsidRPr="00CC3406" w:rsidTr="00CC340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6" w:rsidRPr="00CC3406" w:rsidRDefault="00CC3406" w:rsidP="00CC340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CC3406">
              <w:rPr>
                <w:rFonts w:ascii="Times New Roman" w:hAnsi="Times New Roman" w:cs="Times New Roman"/>
                <w:bCs/>
                <w:sz w:val="26"/>
                <w:szCs w:val="26"/>
              </w:rPr>
              <w:t>о недопустимости нарушения обязательных требований</w:t>
            </w:r>
          </w:p>
          <w:p w:rsidR="00CC3406" w:rsidRPr="00CC3406" w:rsidRDefault="00CC3406" w:rsidP="00CC3406">
            <w:pPr>
              <w:pStyle w:val="a4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не позднее 30 календарных дней со дня получения сведений, указанных в части 1 статьи 49 Федерального закона № 248-ФЗ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</w:p>
        </w:tc>
      </w:tr>
      <w:tr w:rsidR="00CC3406" w:rsidRPr="00CC3406" w:rsidTr="00CC340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bCs/>
                <w:sz w:val="26"/>
                <w:szCs w:val="26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ежедневно, кроме выходных и праздничных дней с 10:00 до 16:00, перерыв с 12:00 до 13:00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</w:p>
        </w:tc>
      </w:tr>
      <w:tr w:rsidR="00CC3406" w:rsidRPr="00CC3406" w:rsidTr="00CC340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bCs/>
                <w:sz w:val="26"/>
                <w:szCs w:val="26"/>
              </w:rPr>
              <w:t>Профилактический визит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 xml:space="preserve">не чаще одного раза в три года в форме профилактической беседы 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</w:p>
        </w:tc>
      </w:tr>
    </w:tbl>
    <w:p w:rsidR="00CC3406" w:rsidRPr="00CC3406" w:rsidRDefault="00CC3406" w:rsidP="00CC3406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3406" w:rsidRPr="00CC3406" w:rsidRDefault="00CC3406" w:rsidP="00CC3406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C3406">
        <w:rPr>
          <w:rFonts w:ascii="Times New Roman" w:hAnsi="Times New Roman" w:cs="Times New Roman"/>
          <w:b/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CC3406" w:rsidRPr="00CC3406" w:rsidRDefault="00CC3406" w:rsidP="00CC340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Основными критериями оценки эффективности и результативности профилактических мероприятий являются:</w:t>
      </w:r>
    </w:p>
    <w:p w:rsidR="00CC3406" w:rsidRPr="00CC3406" w:rsidRDefault="00CC3406" w:rsidP="00CC340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- результативность деятельности Министерства;</w:t>
      </w:r>
    </w:p>
    <w:p w:rsidR="00CC3406" w:rsidRPr="00CC3406" w:rsidRDefault="00CC3406" w:rsidP="00CC340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- 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CC3406" w:rsidRPr="00CC3406" w:rsidRDefault="00CC3406" w:rsidP="00CC340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- понятность обязательных требований контролируемым лицам;</w:t>
      </w:r>
    </w:p>
    <w:p w:rsidR="00CC3406" w:rsidRPr="00CC3406" w:rsidRDefault="00CC3406" w:rsidP="00CC340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- вовлечение контролируемых лиц во взаимодействие с Министерством, в том числе в рамках проводимых профилактических мероприятий.</w:t>
      </w:r>
    </w:p>
    <w:p w:rsidR="00CC3406" w:rsidRPr="00CC3406" w:rsidRDefault="00CC3406" w:rsidP="00CC340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 xml:space="preserve">Оценка эффективности и результативности профилактических мероприятий осуществляется в ходе </w:t>
      </w:r>
      <w:proofErr w:type="gramStart"/>
      <w:r w:rsidRPr="00CC3406">
        <w:rPr>
          <w:rFonts w:ascii="Times New Roman" w:hAnsi="Times New Roman" w:cs="Times New Roman"/>
          <w:sz w:val="26"/>
          <w:szCs w:val="26"/>
        </w:rPr>
        <w:t>анализа выполнения мероприятий Программы профилактики</w:t>
      </w:r>
      <w:proofErr w:type="gramEnd"/>
      <w:r w:rsidRPr="00CC3406">
        <w:rPr>
          <w:rFonts w:ascii="Times New Roman" w:hAnsi="Times New Roman" w:cs="Times New Roman"/>
          <w:sz w:val="26"/>
          <w:szCs w:val="26"/>
        </w:rPr>
        <w:t xml:space="preserve"> по следующим индикативным показателям:</w:t>
      </w:r>
    </w:p>
    <w:p w:rsidR="00CC3406" w:rsidRPr="00CC3406" w:rsidRDefault="00CC3406" w:rsidP="00CC340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- количество проведенных профилактических мероприятий, ед.;</w:t>
      </w:r>
    </w:p>
    <w:p w:rsidR="00CC3406" w:rsidRPr="00CC3406" w:rsidRDefault="00CC3406" w:rsidP="00CC340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- количество докладов по профилактике нарушений обязательных требований, размещенных на официальном сайте Министерства в сети «Интернет», ед.;</w:t>
      </w:r>
    </w:p>
    <w:p w:rsidR="00CC3406" w:rsidRPr="00CC3406" w:rsidRDefault="00CC3406" w:rsidP="00CC340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- количество контролируемых лиц, в отношении которых проведены профилактические мероприятия, ед.;</w:t>
      </w:r>
    </w:p>
    <w:p w:rsidR="00CC3406" w:rsidRPr="00CC3406" w:rsidRDefault="00CC3406" w:rsidP="00CC340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lastRenderedPageBreak/>
        <w:t>- наличие на официальном сайте Министерства в сети «Интернет»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:rsidR="00CC3406" w:rsidRPr="00CC3406" w:rsidRDefault="00CC3406" w:rsidP="00CC340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- 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:rsidR="00CC3406" w:rsidRPr="00CC3406" w:rsidRDefault="00CC3406" w:rsidP="00CC340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 xml:space="preserve">- количество обобщений практики осуществления </w:t>
      </w:r>
      <w:r>
        <w:rPr>
          <w:rFonts w:ascii="Times New Roman" w:hAnsi="Times New Roman" w:cs="Times New Roman"/>
          <w:sz w:val="26"/>
          <w:szCs w:val="26"/>
        </w:rPr>
        <w:t>федерального</w:t>
      </w:r>
      <w:r w:rsidRPr="00CC3406">
        <w:rPr>
          <w:rFonts w:ascii="Times New Roman" w:hAnsi="Times New Roman" w:cs="Times New Roman"/>
          <w:sz w:val="26"/>
          <w:szCs w:val="26"/>
        </w:rPr>
        <w:t xml:space="preserve"> государственного контроля (надзора), размещенных на официальном сайте Министерства в сети «Интернет», ед.;</w:t>
      </w:r>
    </w:p>
    <w:p w:rsidR="00CC3406" w:rsidRPr="00CC3406" w:rsidRDefault="00CC3406" w:rsidP="00CC340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Министерством.</w:t>
      </w:r>
    </w:p>
    <w:p w:rsidR="00CC3406" w:rsidRPr="00CC3406" w:rsidRDefault="00CC3406" w:rsidP="00CC340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C3406" w:rsidRPr="00CC3406" w:rsidRDefault="00CC3406" w:rsidP="00CC340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Показатели</w:t>
      </w:r>
    </w:p>
    <w:p w:rsidR="00CC3406" w:rsidRPr="00CC3406" w:rsidRDefault="00CC3406" w:rsidP="00CC340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эффективности и результативности профилактических мероприятий</w:t>
      </w:r>
    </w:p>
    <w:p w:rsidR="00CC3406" w:rsidRPr="00CC3406" w:rsidRDefault="00CC3406" w:rsidP="00CC340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CC3406">
        <w:rPr>
          <w:rFonts w:ascii="Times New Roman" w:hAnsi="Times New Roman" w:cs="Times New Roman"/>
          <w:sz w:val="26"/>
          <w:szCs w:val="26"/>
        </w:rPr>
        <w:t>в 2022 году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CC3406" w:rsidRPr="00CC3406" w:rsidTr="00CC34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CC3406" w:rsidRPr="00CC3406" w:rsidTr="00CC34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Министерства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CC3406" w:rsidRPr="00CC3406" w:rsidTr="00CC34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представителей доступностью на официальном сайте Министерства в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 xml:space="preserve">не менее 80 % </w:t>
            </w:r>
          </w:p>
        </w:tc>
      </w:tr>
      <w:tr w:rsidR="00CC3406" w:rsidRPr="00CC3406" w:rsidTr="00CC3406">
        <w:trPr>
          <w:trHeight w:val="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06" w:rsidRPr="00CC3406" w:rsidRDefault="00CC3406" w:rsidP="00CC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406">
              <w:rPr>
                <w:rFonts w:ascii="Times New Roman" w:hAnsi="Times New Roman" w:cs="Times New Roman"/>
                <w:sz w:val="26"/>
                <w:szCs w:val="26"/>
              </w:rPr>
              <w:t>не менее 20 мероприятий, проведенных контрольным (надзорным) органом</w:t>
            </w:r>
          </w:p>
        </w:tc>
      </w:tr>
    </w:tbl>
    <w:p w:rsidR="00CC3406" w:rsidRPr="00CC3406" w:rsidRDefault="00CC3406" w:rsidP="00CC3406">
      <w:pPr>
        <w:widowControl w:val="0"/>
        <w:shd w:val="clear" w:color="auto" w:fill="FFFFFF"/>
        <w:spacing w:after="0" w:line="254" w:lineRule="auto"/>
        <w:ind w:right="321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C3406" w:rsidRPr="00CC3406" w:rsidRDefault="00CC3406" w:rsidP="00CC3406">
      <w:pPr>
        <w:widowControl w:val="0"/>
        <w:shd w:val="clear" w:color="auto" w:fill="FFFFFF"/>
        <w:spacing w:after="0" w:line="254" w:lineRule="auto"/>
        <w:ind w:right="321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406">
        <w:rPr>
          <w:rFonts w:ascii="Times New Roman" w:eastAsia="Calibri" w:hAnsi="Times New Roman" w:cs="Times New Roman"/>
          <w:sz w:val="26"/>
          <w:szCs w:val="26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 w:rsidRPr="00CC3406">
        <w:rPr>
          <w:rFonts w:ascii="Times New Roman" w:eastAsia="Calibri" w:hAnsi="Times New Roman" w:cs="Times New Roman"/>
          <w:sz w:val="26"/>
          <w:szCs w:val="26"/>
        </w:rPr>
        <w:t>анализа характеристик достижения значений целевых показателей реализации программы</w:t>
      </w:r>
      <w:proofErr w:type="gramEnd"/>
      <w:r w:rsidRPr="00CC340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C3406" w:rsidRPr="00CC3406" w:rsidRDefault="00CC3406" w:rsidP="00CC3406">
      <w:pPr>
        <w:widowControl w:val="0"/>
        <w:shd w:val="clear" w:color="auto" w:fill="FFFFFF"/>
        <w:spacing w:after="0" w:line="254" w:lineRule="auto"/>
        <w:ind w:right="321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406">
        <w:rPr>
          <w:rFonts w:ascii="Times New Roman" w:eastAsia="Calibri" w:hAnsi="Times New Roman" w:cs="Times New Roman"/>
          <w:sz w:val="26"/>
          <w:szCs w:val="26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sectPr w:rsidR="00CC3406" w:rsidRPr="00CC3406" w:rsidSect="00AC5F04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C9A"/>
    <w:multiLevelType w:val="hybridMultilevel"/>
    <w:tmpl w:val="ED3A65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06"/>
    <w:rsid w:val="00000373"/>
    <w:rsid w:val="00003A0B"/>
    <w:rsid w:val="000316FF"/>
    <w:rsid w:val="00051A09"/>
    <w:rsid w:val="000D1CC7"/>
    <w:rsid w:val="000D2106"/>
    <w:rsid w:val="00113C2B"/>
    <w:rsid w:val="00154CBE"/>
    <w:rsid w:val="00170C62"/>
    <w:rsid w:val="001A470E"/>
    <w:rsid w:val="001B1E1A"/>
    <w:rsid w:val="00200AE4"/>
    <w:rsid w:val="0023662B"/>
    <w:rsid w:val="00295CE5"/>
    <w:rsid w:val="002B1950"/>
    <w:rsid w:val="002F3180"/>
    <w:rsid w:val="003017A7"/>
    <w:rsid w:val="00316BB2"/>
    <w:rsid w:val="00373D79"/>
    <w:rsid w:val="00385EC5"/>
    <w:rsid w:val="004235D6"/>
    <w:rsid w:val="00435249"/>
    <w:rsid w:val="004E2DEB"/>
    <w:rsid w:val="005645E2"/>
    <w:rsid w:val="00576C31"/>
    <w:rsid w:val="005E2054"/>
    <w:rsid w:val="006B3BBB"/>
    <w:rsid w:val="006C44CF"/>
    <w:rsid w:val="006F0376"/>
    <w:rsid w:val="00777AC2"/>
    <w:rsid w:val="00786955"/>
    <w:rsid w:val="007D3082"/>
    <w:rsid w:val="00815B09"/>
    <w:rsid w:val="008258C5"/>
    <w:rsid w:val="00853DAC"/>
    <w:rsid w:val="008A2227"/>
    <w:rsid w:val="0090155B"/>
    <w:rsid w:val="00904206"/>
    <w:rsid w:val="00924AE1"/>
    <w:rsid w:val="00981615"/>
    <w:rsid w:val="009E46A6"/>
    <w:rsid w:val="00A34E8E"/>
    <w:rsid w:val="00A41BC8"/>
    <w:rsid w:val="00AB1B2C"/>
    <w:rsid w:val="00AC5F04"/>
    <w:rsid w:val="00B25234"/>
    <w:rsid w:val="00B51633"/>
    <w:rsid w:val="00B96AE5"/>
    <w:rsid w:val="00BA5F9D"/>
    <w:rsid w:val="00BD4BA8"/>
    <w:rsid w:val="00C008B2"/>
    <w:rsid w:val="00CC3406"/>
    <w:rsid w:val="00D40122"/>
    <w:rsid w:val="00D669BA"/>
    <w:rsid w:val="00E06A29"/>
    <w:rsid w:val="00E664E0"/>
    <w:rsid w:val="00EF1D83"/>
    <w:rsid w:val="00F0603E"/>
    <w:rsid w:val="00F42FE0"/>
    <w:rsid w:val="00F4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200AE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00AE4"/>
    <w:rPr>
      <w:rFonts w:ascii="Times New Roman" w:hAnsi="Times New Roman" w:cs="Times New Roman"/>
      <w:sz w:val="28"/>
      <w:szCs w:val="28"/>
    </w:rPr>
  </w:style>
  <w:style w:type="paragraph" w:styleId="a4">
    <w:name w:val="No Spacing"/>
    <w:link w:val="a5"/>
    <w:uiPriority w:val="1"/>
    <w:qFormat/>
    <w:rsid w:val="00200AE4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200AE4"/>
  </w:style>
  <w:style w:type="character" w:customStyle="1" w:styleId="FontStyle23">
    <w:name w:val="Font Style23"/>
    <w:rsid w:val="00200AE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16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645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5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017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1B1E1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E1A"/>
    <w:pPr>
      <w:shd w:val="clear" w:color="auto" w:fill="FFFFFF"/>
      <w:spacing w:before="120" w:after="360" w:line="240" w:lineRule="exact"/>
      <w:ind w:hanging="340"/>
      <w:jc w:val="center"/>
    </w:pPr>
    <w:rPr>
      <w:rFonts w:ascii="Times New Roman" w:hAnsi="Times New Roman" w:cs="Times New Roman"/>
      <w:b/>
      <w:bCs/>
      <w:sz w:val="25"/>
      <w:szCs w:val="25"/>
    </w:rPr>
  </w:style>
  <w:style w:type="character" w:styleId="a8">
    <w:name w:val="Hyperlink"/>
    <w:basedOn w:val="a0"/>
    <w:uiPriority w:val="99"/>
    <w:unhideWhenUsed/>
    <w:rsid w:val="002B1950"/>
    <w:rPr>
      <w:color w:val="0563C1" w:themeColor="hyperlink"/>
      <w:u w:val="single"/>
    </w:rPr>
  </w:style>
  <w:style w:type="character" w:customStyle="1" w:styleId="212pt1">
    <w:name w:val="Основной текст (2) + 12 pt1"/>
    <w:basedOn w:val="a0"/>
    <w:uiPriority w:val="99"/>
    <w:rsid w:val="002B1950"/>
    <w:rPr>
      <w:rFonts w:ascii="Times New Roman" w:hAnsi="Times New Roman" w:cs="Times New Roman"/>
      <w:spacing w:val="0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200AE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00AE4"/>
    <w:rPr>
      <w:rFonts w:ascii="Times New Roman" w:hAnsi="Times New Roman" w:cs="Times New Roman"/>
      <w:sz w:val="28"/>
      <w:szCs w:val="28"/>
    </w:rPr>
  </w:style>
  <w:style w:type="paragraph" w:styleId="a4">
    <w:name w:val="No Spacing"/>
    <w:link w:val="a5"/>
    <w:uiPriority w:val="1"/>
    <w:qFormat/>
    <w:rsid w:val="00200AE4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200AE4"/>
  </w:style>
  <w:style w:type="character" w:customStyle="1" w:styleId="FontStyle23">
    <w:name w:val="Font Style23"/>
    <w:rsid w:val="00200AE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16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645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5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017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1B1E1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E1A"/>
    <w:pPr>
      <w:shd w:val="clear" w:color="auto" w:fill="FFFFFF"/>
      <w:spacing w:before="120" w:after="360" w:line="240" w:lineRule="exact"/>
      <w:ind w:hanging="340"/>
      <w:jc w:val="center"/>
    </w:pPr>
    <w:rPr>
      <w:rFonts w:ascii="Times New Roman" w:hAnsi="Times New Roman" w:cs="Times New Roman"/>
      <w:b/>
      <w:bCs/>
      <w:sz w:val="25"/>
      <w:szCs w:val="25"/>
    </w:rPr>
  </w:style>
  <w:style w:type="character" w:styleId="a8">
    <w:name w:val="Hyperlink"/>
    <w:basedOn w:val="a0"/>
    <w:uiPriority w:val="99"/>
    <w:unhideWhenUsed/>
    <w:rsid w:val="002B1950"/>
    <w:rPr>
      <w:color w:val="0563C1" w:themeColor="hyperlink"/>
      <w:u w:val="single"/>
    </w:rPr>
  </w:style>
  <w:style w:type="character" w:customStyle="1" w:styleId="212pt1">
    <w:name w:val="Основной текст (2) + 12 pt1"/>
    <w:basedOn w:val="a0"/>
    <w:uiPriority w:val="99"/>
    <w:rsid w:val="002B1950"/>
    <w:rPr>
      <w:rFonts w:ascii="Times New Roman" w:hAnsi="Times New Roman" w:cs="Times New Roman"/>
      <w:spacing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lture.cap.ru/action/activity/kontroljno-nadzornaya-deyateljnostj/kontroljnie-funkcii/federaljnij-gosudarstvennij-nadzor-v-oblasti-ohran/perechenj-aktov-soderzhaschih-obyazateljnie-treb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СГО ОКН ЯНАО</Company>
  <LinksUpToDate>false</LinksUpToDate>
  <CharactersWithSpaces>14749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Вера Николаевна</dc:creator>
  <cp:lastModifiedBy>Минкультуры Чувашии_1</cp:lastModifiedBy>
  <cp:revision>16</cp:revision>
  <cp:lastPrinted>2021-11-24T06:27:00Z</cp:lastPrinted>
  <dcterms:created xsi:type="dcterms:W3CDTF">2021-11-22T10:10:00Z</dcterms:created>
  <dcterms:modified xsi:type="dcterms:W3CDTF">2021-11-24T06:32:00Z</dcterms:modified>
</cp:coreProperties>
</file>