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3"/>
        <w:spacing w:lineRule="atLeast" w:line="11"/>
        <w:jc w:val="both"/>
        <w:rPr/>
      </w:pPr>
      <w:r>
        <w:rPr/>
      </w:r>
    </w:p>
    <w:p>
      <w:pPr>
        <w:pStyle w:val="Style13"/>
        <w:spacing w:lineRule="atLeast" w:line="11"/>
        <w:jc w:val="center"/>
        <w:rPr/>
      </w:pPr>
      <w:r>
        <w:rPr>
          <w:lang w:val="ru-RU"/>
        </w:rPr>
        <w:t xml:space="preserve">Итоги социально-экономического  развития </w:t>
      </w:r>
    </w:p>
    <w:p>
      <w:pPr>
        <w:pStyle w:val="Style13"/>
        <w:spacing w:lineRule="atLeast" w:line="11"/>
        <w:jc w:val="center"/>
        <w:rPr/>
      </w:pPr>
      <w:r>
        <w:rPr/>
        <w:t xml:space="preserve">Ядринского района Чувашской Республики  </w:t>
      </w:r>
    </w:p>
    <w:p>
      <w:pPr>
        <w:pStyle w:val="Style13"/>
        <w:spacing w:lineRule="atLeast" w:line="11"/>
        <w:jc w:val="center"/>
        <w:rPr/>
      </w:pPr>
      <w:r>
        <w:rPr/>
        <w:t>за январь – сентябрь 2021 года</w:t>
      </w:r>
    </w:p>
    <w:p>
      <w:pPr>
        <w:pStyle w:val="Style13"/>
        <w:spacing w:lineRule="atLeast" w:line="11"/>
        <w:jc w:val="both"/>
        <w:rPr/>
      </w:pPr>
      <w:r>
        <w:rPr/>
      </w:r>
    </w:p>
    <w:p>
      <w:pPr>
        <w:pStyle w:val="Style13"/>
        <w:spacing w:lineRule="atLeast" w:line="11"/>
        <w:jc w:val="both"/>
        <w:rPr/>
      </w:pPr>
      <w:r>
        <w:rPr/>
        <w:tab/>
        <w:t>По доходам консолидированный бюджет Ядринского района Чувашской Республики на 1 октября 2021 года исполнен в объеме 378,3 млн. рублей, в том числе по собственным (налоговым и неналоговым) доходам – в объеме 126,0 млн. рублей, что составляет 120,3% к уровню аналогичного периода 2020 года.</w:t>
      </w:r>
    </w:p>
    <w:p>
      <w:pPr>
        <w:pStyle w:val="Style13"/>
        <w:spacing w:lineRule="atLeast" w:line="11"/>
        <w:jc w:val="both"/>
        <w:rPr/>
      </w:pPr>
      <w:r>
        <w:rPr/>
        <w:tab/>
        <w:t>Выше уровня аналогичного периода 2020 года поступление налога на доходы физических лиц (118,3%), доходы от уплаты акцизов (114,9%), налогов на совокупный доход (140,1%), земельного налога (111,4%), доходы от использования имущества, находящегося в муниципальной собственности (102,3%), доходы от продаж материальных и нематериальных активов (135,3%).</w:t>
      </w:r>
    </w:p>
    <w:p>
      <w:pPr>
        <w:pStyle w:val="Style13"/>
        <w:spacing w:lineRule="atLeast" w:line="11"/>
        <w:jc w:val="both"/>
        <w:rPr/>
      </w:pPr>
      <w:r>
        <w:rPr/>
        <w:tab/>
        <w:t>Объем безвозмездных поступлений от других бюджетов в общем объеме составил 252,3 млн. рублей, в том числе возврат остатков средств республиканского бюджета Чувашской Республики (минус) 115,9 млн. рублей.</w:t>
      </w:r>
    </w:p>
    <w:p>
      <w:pPr>
        <w:pStyle w:val="Style13"/>
        <w:spacing w:lineRule="atLeast" w:line="11"/>
        <w:jc w:val="both"/>
        <w:rPr/>
      </w:pPr>
      <w:r>
        <w:rPr/>
        <w:tab/>
        <w:t>Расходы консолидированного бюджета Ядринского района Чувашской Республики на 1 октября 2021 года составили 493,0 млн. рублей, в том числе расходы на образование – 273,7 млн. рублей, культуру – 29,8 млн. рублей, жилищно-коммунальное хозяйство – 34,5 млн. рублей, физическую культуру и спорт – 34,6 млн. рублей.</w:t>
      </w:r>
    </w:p>
    <w:p>
      <w:pPr>
        <w:pStyle w:val="Style13"/>
        <w:spacing w:lineRule="atLeast" w:line="11"/>
        <w:jc w:val="both"/>
        <w:rPr/>
      </w:pPr>
      <w:r>
        <w:rPr/>
        <w:tab/>
        <w:t>На 1 октября 2021 года в бюджеты городского и сельских поселений Ядринского района Чувашской Республики дотации на выравнивание бюджетной обеспеченности поселений перечислены в сумме 30,4 млн. рублей, с ростом к уровню аналогичного периода 2020 года – на 80,8%.</w:t>
      </w:r>
    </w:p>
    <w:p>
      <w:pPr>
        <w:pStyle w:val="Style13"/>
        <w:spacing w:lineRule="atLeast" w:line="11"/>
        <w:jc w:val="both"/>
        <w:rPr/>
      </w:pPr>
      <w:r>
        <w:rPr/>
        <w:tab/>
        <w:t>Консолидированный бюджет Ядринского района Чувашской Республики исполнен с дефицитом 114,7 тыс. рублей.</w:t>
      </w:r>
    </w:p>
    <w:p>
      <w:pPr>
        <w:pStyle w:val="Style13"/>
        <w:spacing w:lineRule="atLeast" w:line="11"/>
        <w:jc w:val="both"/>
        <w:rPr/>
      </w:pPr>
      <w:r>
        <w:rPr/>
        <w:tab/>
      </w:r>
      <w:r>
        <w:rPr>
          <w:b/>
          <w:bCs/>
        </w:rPr>
        <w:t>Развитие сельского хозяйства</w:t>
      </w:r>
    </w:p>
    <w:p>
      <w:pPr>
        <w:pStyle w:val="Style13"/>
        <w:spacing w:lineRule="atLeast" w:line="11"/>
        <w:jc w:val="both"/>
        <w:rPr/>
      </w:pPr>
      <w:r>
        <w:rPr/>
        <w:tab/>
        <w:t>Вся посевная площадь сельскохозяйственных культур под урожай 2021 года в районе составила 25965,5 га (101,4% к 2020 году — 25602,2 га). Зерновых и зернобобовых культур посеяно на площади 14221,4 га, в том числе: яровых — 8378,7 га. Однолетние травы посеяны на площади 392 га, кукурузы на корм на площади 550 га, беспокровные многолетние травы на площади 139 га и технические культуры на площади 1534,5 га. Сельхозпредприятиями и фермерскими хозяйствами картофеля посажено на площади 319 га и овощей на площади 95,5 га.</w:t>
      </w:r>
    </w:p>
    <w:p>
      <w:pPr>
        <w:pStyle w:val="Style13"/>
        <w:spacing w:lineRule="atLeast" w:line="11"/>
        <w:jc w:val="both"/>
        <w:rPr/>
      </w:pPr>
      <w:r>
        <w:rPr/>
        <w:tab/>
        <w:t>На 01.10.2021 г. заготовлено 3310 тонн сена или 1473 к. ед., что составляет 101,5% к плану заготовки.</w:t>
      </w:r>
    </w:p>
    <w:p>
      <w:pPr>
        <w:pStyle w:val="Style13"/>
        <w:spacing w:lineRule="atLeast" w:line="11"/>
        <w:jc w:val="both"/>
        <w:rPr/>
      </w:pPr>
      <w:r>
        <w:rPr/>
        <w:tab/>
        <w:t xml:space="preserve">Сенажа заготовлено 8427 тонн или 2528 к. ед., что составляет 73,8% к плану. Силоса заготовлено 10091 тонн или 1917 к. ед., что составляет 82,5% к плану. </w:t>
        <w:tab/>
        <w:t>Всего заготовлено 6041 тн к. ед. кормов. На 1 усл. гол КРС 24,7 ц. к. ед. По состоянию на 01.10.2021 г. по оперативным данным в сельскохозяйственных организациях и КФХ скошено и обмолочено зерновых и зернобобовых культур с площади 14221 га (100% уборочной площади),  намолочено зерна 24260 тн при урожайности 17,1 ц/га.</w:t>
      </w:r>
    </w:p>
    <w:p>
      <w:pPr>
        <w:pStyle w:val="Style13"/>
        <w:spacing w:lineRule="atLeast" w:line="11"/>
        <w:jc w:val="both"/>
        <w:rPr/>
      </w:pPr>
      <w:r>
        <w:rPr/>
        <w:tab/>
        <w:t>Подготовлено почвы под сев озимых 6096 га. Сев озимых культур под урожай 2022 года произведен на площади 6102 га или 100,1% к плану.</w:t>
      </w:r>
    </w:p>
    <w:p>
      <w:pPr>
        <w:pStyle w:val="Style13"/>
        <w:spacing w:lineRule="atLeast" w:line="11"/>
        <w:jc w:val="both"/>
        <w:rPr/>
      </w:pPr>
      <w:r>
        <w:rPr/>
        <w:tab/>
        <w:t>В текущем году хозяйствами района введено в оборот необрабатываемых земель 200,5 га.</w:t>
      </w:r>
    </w:p>
    <w:p>
      <w:pPr>
        <w:pStyle w:val="Style13"/>
        <w:spacing w:lineRule="atLeast" w:line="11"/>
        <w:jc w:val="both"/>
        <w:rPr/>
      </w:pPr>
      <w:r>
        <w:rPr>
          <w:lang w:val="ru-RU"/>
        </w:rPr>
        <w:tab/>
        <w:t>С начала текущего года закуплено 34 единицы сельскохозяйственной техники и оборудования на сумму 59,2 млн. руб., в т.ч.</w:t>
      </w:r>
      <w:r>
        <w:rPr>
          <w:lang w:val="en-US"/>
        </w:rPr>
        <w:t xml:space="preserve"> 2 </w:t>
      </w:r>
      <w:r>
        <w:rPr>
          <w:lang w:val="ru-RU"/>
        </w:rPr>
        <w:t xml:space="preserve">зерноуборочных комбайна; 5 тракторов Беларус; 1 трактор </w:t>
      </w:r>
      <w:r>
        <w:rPr>
          <w:lang w:val="en-US"/>
        </w:rPr>
        <w:t>Agrolux 4,80;</w:t>
      </w:r>
      <w:r>
        <w:rPr>
          <w:lang w:val="ru-RU"/>
        </w:rPr>
        <w:t xml:space="preserve"> 2</w:t>
      </w:r>
      <w:r>
        <w:rPr>
          <w:lang w:val="en-US"/>
        </w:rPr>
        <w:t xml:space="preserve"> </w:t>
      </w:r>
      <w:r>
        <w:rPr>
          <w:lang w:val="ru-RU"/>
        </w:rPr>
        <w:t xml:space="preserve">трактора </w:t>
      </w:r>
      <w:r>
        <w:rPr>
          <w:lang w:val="en-US"/>
        </w:rPr>
        <w:t xml:space="preserve">Massey Fergusson 6 </w:t>
      </w:r>
      <w:r>
        <w:rPr>
          <w:lang w:val="ru-RU"/>
        </w:rPr>
        <w:t>и прочее сельскохозяйственное оборудование.</w:t>
      </w:r>
    </w:p>
    <w:p>
      <w:pPr>
        <w:pStyle w:val="Style13"/>
        <w:spacing w:lineRule="atLeast" w:line="11"/>
        <w:jc w:val="both"/>
        <w:rPr/>
      </w:pPr>
      <w:r>
        <w:rPr/>
        <w:tab/>
        <w:t>На 1</w:t>
      </w:r>
      <w:r>
        <w:rPr>
          <w:lang w:val="ru-RU"/>
        </w:rPr>
        <w:t xml:space="preserve"> октября </w:t>
      </w:r>
      <w:r>
        <w:rPr/>
        <w:t xml:space="preserve">2021 года насчитывается поголовье крупного рогатого скота в хозяйствах всех категорий </w:t>
      </w:r>
      <w:r>
        <w:rPr>
          <w:lang w:val="ru-RU"/>
        </w:rPr>
        <w:t>9155</w:t>
      </w:r>
      <w:r>
        <w:rPr/>
        <w:t xml:space="preserve"> голов, (</w:t>
      </w:r>
      <w:r>
        <w:rPr>
          <w:lang w:val="ru-RU"/>
        </w:rPr>
        <w:t>83,5</w:t>
      </w:r>
      <w:r>
        <w:rPr/>
        <w:t>% к уровню прошлого года), в том числе коров насчитывается в хозяйствах всех категорий -</w:t>
      </w:r>
      <w:r>
        <w:rPr>
          <w:lang w:val="ru-RU"/>
        </w:rPr>
        <w:t xml:space="preserve"> 4853 </w:t>
      </w:r>
      <w:r>
        <w:rPr/>
        <w:t>голов, (</w:t>
      </w:r>
      <w:r>
        <w:rPr>
          <w:lang w:val="ru-RU"/>
        </w:rPr>
        <w:t>89,7</w:t>
      </w:r>
      <w:r>
        <w:rPr/>
        <w:t xml:space="preserve">% к уровню прошлого года), из них в сельхозпредприятиях насчитывается </w:t>
      </w:r>
      <w:r>
        <w:rPr>
          <w:lang w:val="ru-RU"/>
        </w:rPr>
        <w:t>916</w:t>
      </w:r>
      <w:r>
        <w:rPr/>
        <w:t xml:space="preserve"> голов (</w:t>
      </w:r>
      <w:r>
        <w:rPr>
          <w:lang w:val="ru-RU"/>
        </w:rPr>
        <w:t>90,8</w:t>
      </w:r>
      <w:r>
        <w:rPr/>
        <w:t>% к уровню прошлого года). В личных подсобных хозяйствах – 3</w:t>
      </w:r>
      <w:r>
        <w:rPr>
          <w:lang w:val="ru-RU"/>
        </w:rPr>
        <w:t>702</w:t>
      </w:r>
      <w:r>
        <w:rPr/>
        <w:t xml:space="preserve"> голов (</w:t>
      </w:r>
      <w:r>
        <w:rPr>
          <w:lang w:val="ru-RU"/>
        </w:rPr>
        <w:t>88</w:t>
      </w:r>
      <w:r>
        <w:rPr/>
        <w:t>,3% к уровню 2020 года), в КФХ насчитывается поголовье коров 2</w:t>
      </w:r>
      <w:r>
        <w:rPr>
          <w:lang w:val="ru-RU"/>
        </w:rPr>
        <w:t>35</w:t>
      </w:r>
      <w:r>
        <w:rPr/>
        <w:t xml:space="preserve"> голов (</w:t>
      </w:r>
      <w:r>
        <w:rPr>
          <w:lang w:val="ru-RU"/>
        </w:rPr>
        <w:t>111,4</w:t>
      </w:r>
      <w:r>
        <w:rPr/>
        <w:t>% к уровню прошлого года).</w:t>
      </w:r>
    </w:p>
    <w:p>
      <w:pPr>
        <w:pStyle w:val="Style13"/>
        <w:spacing w:lineRule="atLeast" w:line="11"/>
        <w:jc w:val="both"/>
        <w:rPr/>
      </w:pPr>
      <w:r>
        <w:rPr/>
        <w:tab/>
        <w:t>Свиней насчитывается –</w:t>
      </w:r>
      <w:r>
        <w:rPr>
          <w:lang w:val="ru-RU"/>
        </w:rPr>
        <w:t xml:space="preserve"> 897 </w:t>
      </w:r>
      <w:r>
        <w:rPr/>
        <w:t>голов (</w:t>
      </w:r>
      <w:r>
        <w:rPr>
          <w:lang w:val="ru-RU"/>
        </w:rPr>
        <w:t>36</w:t>
      </w:r>
      <w:r>
        <w:rPr/>
        <w:t>,</w:t>
      </w:r>
      <w:r>
        <w:rPr>
          <w:lang w:val="ru-RU"/>
        </w:rPr>
        <w:t>2</w:t>
      </w:r>
      <w:r>
        <w:rPr/>
        <w:t xml:space="preserve">%), из них в сельхозпредприятиях насчитывается </w:t>
      </w:r>
      <w:r>
        <w:rPr>
          <w:lang w:val="ru-RU"/>
        </w:rPr>
        <w:t>85</w:t>
      </w:r>
      <w:r>
        <w:rPr/>
        <w:t xml:space="preserve"> головы, в личных подсобных хозяйствах – </w:t>
      </w:r>
      <w:r>
        <w:rPr>
          <w:lang w:val="ru-RU"/>
        </w:rPr>
        <w:t>802</w:t>
      </w:r>
      <w:r>
        <w:rPr/>
        <w:t xml:space="preserve"> головы (32,</w:t>
      </w:r>
      <w:r>
        <w:rPr>
          <w:lang w:val="ru-RU"/>
        </w:rPr>
        <w:t>7</w:t>
      </w:r>
      <w:r>
        <w:rPr/>
        <w:t>% к уровню 2020 года), в КФХ насчитывается - 10 голов (</w:t>
      </w:r>
      <w:r>
        <w:rPr>
          <w:lang w:val="ru-RU"/>
        </w:rPr>
        <w:t>50</w:t>
      </w:r>
      <w:r>
        <w:rPr/>
        <w:t>,</w:t>
      </w:r>
      <w:r>
        <w:rPr>
          <w:lang w:val="ru-RU"/>
        </w:rPr>
        <w:t>9</w:t>
      </w:r>
      <w:r>
        <w:rPr/>
        <w:t>%).</w:t>
      </w:r>
    </w:p>
    <w:p>
      <w:pPr>
        <w:pStyle w:val="Style13"/>
        <w:spacing w:lineRule="atLeast" w:line="11"/>
        <w:jc w:val="both"/>
        <w:rPr/>
      </w:pPr>
      <w:r>
        <w:rPr/>
        <w:tab/>
        <w:t xml:space="preserve">Овец насчитывается в хозяйствах всех категорий </w:t>
      </w:r>
      <w:r>
        <w:rPr>
          <w:lang w:val="ru-RU"/>
        </w:rPr>
        <w:t>4447</w:t>
      </w:r>
      <w:r>
        <w:rPr/>
        <w:t xml:space="preserve"> головы (</w:t>
      </w:r>
      <w:r>
        <w:rPr>
          <w:lang w:val="ru-RU"/>
        </w:rPr>
        <w:t>73,1</w:t>
      </w:r>
      <w:r>
        <w:rPr/>
        <w:t xml:space="preserve">% к 2020 году), птиц – </w:t>
      </w:r>
      <w:r>
        <w:rPr>
          <w:lang w:val="ru-RU"/>
        </w:rPr>
        <w:t>45984</w:t>
      </w:r>
      <w:r>
        <w:rPr/>
        <w:t xml:space="preserve"> головы (</w:t>
      </w:r>
      <w:r>
        <w:rPr>
          <w:lang w:val="ru-RU"/>
        </w:rPr>
        <w:t>80,0</w:t>
      </w:r>
      <w:r>
        <w:rPr/>
        <w:t>% к 2020 году).</w:t>
      </w:r>
    </w:p>
    <w:p>
      <w:pPr>
        <w:pStyle w:val="Style13"/>
        <w:spacing w:lineRule="atLeast" w:line="11"/>
        <w:jc w:val="both"/>
        <w:rPr/>
      </w:pPr>
      <w:r>
        <w:rPr/>
        <w:tab/>
        <w:t xml:space="preserve">Произведено мяса во всех категориях хозяйств </w:t>
      </w:r>
      <w:r>
        <w:rPr>
          <w:lang w:val="ru-RU"/>
        </w:rPr>
        <w:t>1478</w:t>
      </w:r>
      <w:r>
        <w:rPr/>
        <w:t>,3</w:t>
      </w:r>
      <w:r>
        <w:rPr>
          <w:lang w:val="ru-RU"/>
        </w:rPr>
        <w:t>3</w:t>
      </w:r>
      <w:r>
        <w:rPr/>
        <w:t xml:space="preserve"> тонн (</w:t>
      </w:r>
      <w:r>
        <w:rPr>
          <w:lang w:val="ru-RU"/>
        </w:rPr>
        <w:t>135,3</w:t>
      </w:r>
      <w:r>
        <w:rPr/>
        <w:t xml:space="preserve">% к 2020 году), в т.ч. в СХПК – </w:t>
      </w:r>
      <w:r>
        <w:rPr>
          <w:lang w:val="ru-RU"/>
        </w:rPr>
        <w:t>275</w:t>
      </w:r>
      <w:r>
        <w:rPr/>
        <w:t>,</w:t>
      </w:r>
      <w:r>
        <w:rPr>
          <w:lang w:val="ru-RU"/>
        </w:rPr>
        <w:t>05</w:t>
      </w:r>
      <w:r>
        <w:rPr/>
        <w:t xml:space="preserve"> тонн (</w:t>
      </w:r>
      <w:r>
        <w:rPr>
          <w:lang w:val="ru-RU"/>
        </w:rPr>
        <w:t>145,5</w:t>
      </w:r>
      <w:r>
        <w:rPr/>
        <w:t xml:space="preserve">% к 2020 г.), в личных подсобных хозяйствах – </w:t>
      </w:r>
      <w:r>
        <w:rPr>
          <w:lang w:val="ru-RU"/>
        </w:rPr>
        <w:t>1145</w:t>
      </w:r>
      <w:r>
        <w:rPr/>
        <w:t>,</w:t>
      </w:r>
      <w:r>
        <w:rPr>
          <w:lang w:val="ru-RU"/>
        </w:rPr>
        <w:t>90</w:t>
      </w:r>
      <w:r>
        <w:rPr/>
        <w:t xml:space="preserve"> тонн и в КФХ – </w:t>
      </w:r>
      <w:r>
        <w:rPr>
          <w:lang w:val="ru-RU"/>
        </w:rPr>
        <w:t>57,38</w:t>
      </w:r>
      <w:r>
        <w:rPr/>
        <w:t xml:space="preserve"> тонн.</w:t>
      </w:r>
    </w:p>
    <w:p>
      <w:pPr>
        <w:pStyle w:val="Style13"/>
        <w:spacing w:lineRule="atLeast" w:line="11"/>
        <w:jc w:val="both"/>
        <w:rPr/>
      </w:pPr>
      <w:r>
        <w:rPr/>
        <w:tab/>
        <w:t xml:space="preserve">Валовой надой молока в хозяйствах всех категорий за январь - </w:t>
      </w:r>
      <w:r>
        <w:rPr>
          <w:lang w:val="ru-RU"/>
        </w:rPr>
        <w:t>сентябрь</w:t>
      </w:r>
      <w:r>
        <w:rPr/>
        <w:t xml:space="preserve"> 2021 года составил </w:t>
      </w:r>
      <w:r>
        <w:rPr>
          <w:lang w:val="ru-RU"/>
        </w:rPr>
        <w:t>23324,14</w:t>
      </w:r>
      <w:r>
        <w:rPr/>
        <w:t xml:space="preserve"> тонн (</w:t>
      </w:r>
      <w:r>
        <w:rPr>
          <w:lang w:val="ru-RU"/>
        </w:rPr>
        <w:t>90,4</w:t>
      </w:r>
      <w:r>
        <w:rPr/>
        <w:t xml:space="preserve">% к 2020 году), в том числе сельхозпредприятиями произведено </w:t>
      </w:r>
      <w:r>
        <w:rPr>
          <w:lang w:val="ru-RU"/>
        </w:rPr>
        <w:t>4971</w:t>
      </w:r>
      <w:r>
        <w:rPr/>
        <w:t>,</w:t>
      </w:r>
      <w:r>
        <w:rPr>
          <w:lang w:val="ru-RU"/>
        </w:rPr>
        <w:t>19</w:t>
      </w:r>
      <w:r>
        <w:rPr/>
        <w:t xml:space="preserve"> тонны (</w:t>
      </w:r>
      <w:r>
        <w:rPr>
          <w:lang w:val="ru-RU" w:eastAsia="zh-CN" w:bidi="ar-SA"/>
        </w:rPr>
        <w:t>92</w:t>
      </w:r>
      <w:r>
        <w:rPr/>
        <w:t>,</w:t>
      </w:r>
      <w:r>
        <w:rPr>
          <w:lang w:val="ru-RU"/>
        </w:rPr>
        <w:t>6</w:t>
      </w:r>
      <w:r>
        <w:rPr/>
        <w:t xml:space="preserve">%), в ЛПХ – </w:t>
      </w:r>
      <w:r>
        <w:rPr>
          <w:lang w:val="ru-RU"/>
        </w:rPr>
        <w:t>17412,56</w:t>
      </w:r>
      <w:r>
        <w:rPr/>
        <w:t xml:space="preserve"> тонн (88</w:t>
      </w:r>
      <w:r>
        <w:rPr>
          <w:lang w:val="ru-RU"/>
        </w:rPr>
        <w:t>,8</w:t>
      </w:r>
      <w:r>
        <w:rPr/>
        <w:t xml:space="preserve">%), в КФХ </w:t>
      </w:r>
      <w:r>
        <w:rPr>
          <w:lang w:val="ru-RU"/>
        </w:rPr>
        <w:t>940</w:t>
      </w:r>
      <w:r>
        <w:rPr/>
        <w:t>,</w:t>
      </w:r>
      <w:r>
        <w:rPr>
          <w:lang w:val="ru-RU"/>
        </w:rPr>
        <w:t>39</w:t>
      </w:r>
      <w:r>
        <w:rPr/>
        <w:t xml:space="preserve"> тонн (</w:t>
      </w:r>
      <w:r>
        <w:rPr>
          <w:lang w:val="ru-RU"/>
        </w:rPr>
        <w:t>115,2</w:t>
      </w:r>
      <w:r>
        <w:rPr/>
        <w:t>% к 2020 году).</w:t>
      </w:r>
    </w:p>
    <w:p>
      <w:pPr>
        <w:pStyle w:val="Style13"/>
        <w:spacing w:lineRule="atLeast" w:line="11"/>
        <w:jc w:val="both"/>
        <w:rPr/>
      </w:pPr>
      <w:r>
        <w:rPr/>
        <w:tab/>
        <w:t xml:space="preserve">Средний надой молока от одной коровы в сельхозпредприятиях – </w:t>
      </w:r>
      <w:r>
        <w:rPr>
          <w:lang w:val="ru-RU"/>
        </w:rPr>
        <w:t>5202</w:t>
      </w:r>
      <w:r>
        <w:rPr/>
        <w:t xml:space="preserve"> кг, в ООО «Родина» -</w:t>
      </w:r>
      <w:r>
        <w:rPr>
          <w:lang w:val="ru-RU"/>
        </w:rPr>
        <w:t xml:space="preserve"> 5855 </w:t>
      </w:r>
      <w:r>
        <w:rPr/>
        <w:t xml:space="preserve">кг, в КОПХ «Ленинская Искра» - </w:t>
      </w:r>
      <w:r>
        <w:rPr>
          <w:lang w:val="ru-RU"/>
        </w:rPr>
        <w:t>5957</w:t>
      </w:r>
      <w:r>
        <w:rPr/>
        <w:t xml:space="preserve"> кг, в СХПК «Выльский» - </w:t>
      </w:r>
      <w:r>
        <w:rPr>
          <w:lang w:val="ru-RU"/>
        </w:rPr>
        <w:t>43536</w:t>
      </w:r>
      <w:r>
        <w:rPr/>
        <w:t xml:space="preserve"> кг. ООО «Герой» -</w:t>
      </w:r>
      <w:r>
        <w:rPr>
          <w:lang w:val="ru-RU"/>
        </w:rPr>
        <w:t xml:space="preserve"> 3217 </w:t>
      </w:r>
      <w:r>
        <w:rPr/>
        <w:t>кг.</w:t>
      </w:r>
    </w:p>
    <w:p>
      <w:pPr>
        <w:pStyle w:val="Style13"/>
        <w:spacing w:lineRule="atLeast" w:line="11"/>
        <w:jc w:val="both"/>
        <w:rPr/>
      </w:pPr>
      <w:r>
        <w:rPr/>
        <w:tab/>
      </w:r>
      <w:r>
        <w:rPr>
          <w:b/>
          <w:bCs/>
        </w:rPr>
        <w:t>Промышленными предприятиями района</w:t>
      </w:r>
      <w:r>
        <w:rPr/>
        <w:t xml:space="preserve"> (без субъектов малого предпринимательства) за январь-сентябрь т.г. отгружено продукции на сумму 3690,9 млн.  рублей, что составляет 91,8% к аналогичному периоду прошлого года. В структуре обрабатывающих производств доминирующее положение занимают организации по производству пищевых продуктов - 97,27%. Производство строительных материалов занимает 2,73%.</w:t>
      </w:r>
    </w:p>
    <w:p>
      <w:pPr>
        <w:pStyle w:val="Style13"/>
        <w:spacing w:lineRule="atLeast" w:line="11"/>
        <w:jc w:val="both"/>
        <w:rPr/>
      </w:pPr>
      <w:r>
        <w:rPr/>
        <w:tab/>
        <w:t>Оборот организаций района (без субъектов малого предпринимательства) составил 3млрд. 391 млн. рублей, что составляет 105,3% к январю-сентябрю 2020 года.</w:t>
      </w:r>
    </w:p>
    <w:p>
      <w:pPr>
        <w:pStyle w:val="Style13"/>
        <w:spacing w:lineRule="atLeast" w:line="11"/>
        <w:jc w:val="both"/>
        <w:rPr/>
      </w:pPr>
      <w:r>
        <w:rPr/>
        <w:tab/>
      </w:r>
      <w:r>
        <w:rPr>
          <w:b/>
          <w:bCs/>
        </w:rPr>
        <w:t>Уровень жизни и занятость населения</w:t>
      </w:r>
    </w:p>
    <w:p>
      <w:pPr>
        <w:pStyle w:val="Style13"/>
        <w:spacing w:lineRule="atLeast" w:line="11"/>
        <w:jc w:val="both"/>
        <w:rPr/>
      </w:pPr>
      <w:r>
        <w:rPr/>
        <w:tab/>
        <w:t>Среднемесячная номинальная заработная плата по организациям района за  январ-июнь 2021 года составила 33537,5 рублей, или 107,6% к уровню аналогичного периода прошлого года. Численность безработных, зарегистрированных в центре занятости, на конец июля 2021 года ставила 97 человек (по ЧР – 6583 человек). Уровень регистрируемой безработицы в районе сложился на уровне 0,84%  (по ЧР – 0,97%).</w:t>
      </w:r>
    </w:p>
    <w:p>
      <w:pPr>
        <w:pStyle w:val="Style13"/>
        <w:spacing w:lineRule="atLeast" w:line="11"/>
        <w:jc w:val="both"/>
        <w:rPr/>
      </w:pPr>
      <w:r>
        <w:rPr/>
        <w:tab/>
      </w:r>
      <w:r>
        <w:rPr>
          <w:b/>
          <w:bCs/>
        </w:rPr>
        <w:t>Потребительский рынок</w:t>
      </w:r>
    </w:p>
    <w:p>
      <w:pPr>
        <w:pStyle w:val="Style13"/>
        <w:spacing w:lineRule="atLeast" w:line="11"/>
        <w:jc w:val="both"/>
        <w:rPr/>
      </w:pPr>
      <w:r>
        <w:rPr/>
        <w:tab/>
        <w:t xml:space="preserve">Оборот розничной торговли по организациям всех видов деятельности (без субъектов малого предпринимательства) за январь-июль текущего года составил </w:t>
      </w:r>
      <w:r>
        <w:rPr>
          <w:lang w:bidi="en-US"/>
        </w:rPr>
        <w:t>3391,1</w:t>
      </w:r>
      <w:r>
        <w:rPr/>
        <w:t xml:space="preserve"> млн. рублей, или </w:t>
      </w:r>
      <w:r>
        <w:rPr>
          <w:lang w:bidi="en-US"/>
        </w:rPr>
        <w:t>105,3</w:t>
      </w:r>
      <w:r>
        <w:rPr/>
        <w:t>% к аналогичному периоду 20</w:t>
      </w:r>
      <w:r>
        <w:rPr>
          <w:lang w:bidi="en-US"/>
        </w:rPr>
        <w:t>20</w:t>
      </w:r>
      <w:r>
        <w:rPr/>
        <w:t xml:space="preserve"> года. Оборот общественного питания – </w:t>
      </w:r>
      <w:r>
        <w:rPr>
          <w:lang w:bidi="en-US"/>
        </w:rPr>
        <w:t>33,224</w:t>
      </w:r>
      <w:r>
        <w:rPr/>
        <w:t xml:space="preserve"> млн. рублей, или </w:t>
      </w:r>
      <w:r>
        <w:rPr>
          <w:lang w:bidi="en-US"/>
        </w:rPr>
        <w:t>135,5</w:t>
      </w:r>
      <w:r>
        <w:rPr/>
        <w:t>%.</w:t>
      </w:r>
    </w:p>
    <w:p>
      <w:pPr>
        <w:pStyle w:val="Style13"/>
        <w:spacing w:lineRule="atLeast" w:line="11"/>
        <w:jc w:val="both"/>
        <w:rPr/>
      </w:pPr>
      <w:r>
        <w:rPr/>
        <w:tab/>
        <w:t>В текущем году продолжается оперативный мониторинг потребительских цен на продовольственные товары по 52 наименованиям в торговых объектах, результаты передаются в Минэкономразвития Чувашии,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w:t>
      </w:r>
    </w:p>
    <w:p>
      <w:pPr>
        <w:pStyle w:val="Style13"/>
        <w:spacing w:lineRule="atLeast" w:line="11"/>
        <w:jc w:val="both"/>
        <w:rPr/>
      </w:pPr>
      <w:r>
        <w:rPr/>
        <w:tab/>
      </w:r>
      <w:r>
        <w:rPr>
          <w:b/>
          <w:bCs/>
        </w:rPr>
        <w:t>Муниципальное имущество</w:t>
      </w:r>
    </w:p>
    <w:p>
      <w:pPr>
        <w:pStyle w:val="Style13"/>
        <w:spacing w:lineRule="atLeast" w:line="11"/>
        <w:jc w:val="both"/>
        <w:rPr/>
      </w:pPr>
      <w:r>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w:t>
      </w:r>
    </w:p>
    <w:p>
      <w:pPr>
        <w:pStyle w:val="Style13"/>
        <w:spacing w:lineRule="atLeast" w:line="11"/>
        <w:jc w:val="both"/>
        <w:rPr/>
      </w:pPr>
      <w:r>
        <w:rPr/>
        <w:tab/>
        <w:t>Отдел имущественных и земельных отношений Ядринской районной администрации Чувашской Республики является основным органом, уполномоченным от имени муниципального образования осуществлять управление и распоряжение муниципальной собственностью.</w:t>
      </w:r>
    </w:p>
    <w:p>
      <w:pPr>
        <w:pStyle w:val="Style13"/>
        <w:spacing w:lineRule="atLeast" w:line="11"/>
        <w:jc w:val="both"/>
        <w:rPr/>
      </w:pPr>
      <w:r>
        <w:rPr/>
        <w:tab/>
        <w:t xml:space="preserve">На </w:t>
      </w:r>
      <w:r>
        <w:rPr>
          <w:lang w:val="en-US"/>
        </w:rPr>
        <w:t>01.10</w:t>
      </w:r>
      <w:r>
        <w:rPr>
          <w:lang w:val="en-US" w:eastAsia="zh-CN" w:bidi="ar-SA"/>
        </w:rPr>
        <w:t>.</w:t>
      </w:r>
      <w:r>
        <w:rPr>
          <w:lang w:val="en-US"/>
        </w:rPr>
        <w:t>2021</w:t>
      </w:r>
      <w:r>
        <w:rPr/>
        <w:t xml:space="preserve"> года в бюджет Ядринского района Чувашской Республики поступили доходы от управления муниципальной собственностью (муниципальным имуществом и земельными ресурсами) в общем объеме </w:t>
      </w:r>
      <w:r>
        <w:rPr>
          <w:lang w:val="en-US" w:eastAsia="zh-CN" w:bidi="ar-SA"/>
        </w:rPr>
        <w:t xml:space="preserve">10161,95 </w:t>
      </w:r>
      <w:r>
        <w:rPr/>
        <w:t>тыс. руб. (</w:t>
      </w:r>
      <w:r>
        <w:rPr>
          <w:lang w:val="en-US" w:eastAsia="zh-CN" w:bidi="ar-SA"/>
        </w:rPr>
        <w:t>108,66</w:t>
      </w:r>
      <w:r>
        <w:rPr/>
        <w:t>% к соответствующему периоду прошлого года), в том числе:</w:t>
      </w:r>
    </w:p>
    <w:p>
      <w:pPr>
        <w:pStyle w:val="Style13"/>
        <w:spacing w:lineRule="atLeast" w:line="11"/>
        <w:jc w:val="both"/>
        <w:rPr/>
      </w:pPr>
      <w:r>
        <w:rPr/>
        <w:t xml:space="preserve">- доходы от аренды земельных участков – </w:t>
      </w:r>
      <w:r>
        <w:rPr>
          <w:lang w:val="en-US" w:eastAsia="zh-CN" w:bidi="ar-SA"/>
        </w:rPr>
        <w:t>6372,73</w:t>
      </w:r>
      <w:r>
        <w:rPr/>
        <w:t xml:space="preserve"> тыс. руб. (</w:t>
      </w:r>
      <w:r>
        <w:rPr>
          <w:lang w:val="en-US" w:eastAsia="zh-CN" w:bidi="ar-SA"/>
        </w:rPr>
        <w:t>101,19</w:t>
      </w:r>
      <w:r>
        <w:rPr/>
        <w:t>% к соответствующему периоду прошлого года);</w:t>
      </w:r>
    </w:p>
    <w:p>
      <w:pPr>
        <w:pStyle w:val="Style13"/>
        <w:spacing w:lineRule="atLeast" w:line="11"/>
        <w:jc w:val="both"/>
        <w:rPr/>
      </w:pPr>
      <w:r>
        <w:rPr/>
        <w:t xml:space="preserve">- доходы от аренды муниципального имущества – </w:t>
      </w:r>
      <w:r>
        <w:rPr>
          <w:lang w:val="en-US" w:eastAsia="zh-CN" w:bidi="ar-SA"/>
        </w:rPr>
        <w:t>801,62</w:t>
      </w:r>
      <w:r>
        <w:rPr/>
        <w:t xml:space="preserve"> тыс. руб. (</w:t>
      </w:r>
      <w:r>
        <w:rPr>
          <w:lang w:val="en-US" w:eastAsia="zh-CN" w:bidi="ar-SA"/>
        </w:rPr>
        <w:t>127,33</w:t>
      </w:r>
      <w:r>
        <w:rPr/>
        <w:t>% к соответствующему периоду прошлого года);</w:t>
      </w:r>
    </w:p>
    <w:p>
      <w:pPr>
        <w:pStyle w:val="Style13"/>
        <w:spacing w:lineRule="atLeast" w:line="11"/>
        <w:jc w:val="both"/>
        <w:rPr/>
      </w:pPr>
      <w:r>
        <w:rPr/>
        <w:t>- доходы от приватизации муниципального имущества – 63,78 тыс. руб. (20,35% к соответствующему периоду прошлого года);</w:t>
      </w:r>
    </w:p>
    <w:p>
      <w:pPr>
        <w:pStyle w:val="Style13"/>
        <w:spacing w:lineRule="atLeast" w:line="11"/>
        <w:jc w:val="both"/>
        <w:rPr/>
      </w:pPr>
      <w:r>
        <w:rPr/>
        <w:t xml:space="preserve">- доходы от продажи земельных участков — </w:t>
      </w:r>
      <w:r>
        <w:rPr>
          <w:lang w:val="en-US" w:eastAsia="zh-CN" w:bidi="ar-SA"/>
        </w:rPr>
        <w:t>1976,31</w:t>
      </w:r>
      <w:r>
        <w:rPr/>
        <w:t xml:space="preserve"> тыс. руб. (165,51% к соответствующему периоду прошлого года);</w:t>
      </w:r>
    </w:p>
    <w:p>
      <w:pPr>
        <w:pStyle w:val="Style13"/>
        <w:spacing w:lineRule="atLeast" w:line="11"/>
        <w:jc w:val="both"/>
        <w:rPr/>
      </w:pPr>
      <w:r>
        <w:rPr/>
        <w:t xml:space="preserve">- прочие поступления неналоговых доходов от управления и распоряжения муниципальным имуществом — </w:t>
      </w:r>
      <w:r>
        <w:rPr>
          <w:lang w:val="en-US" w:eastAsia="zh-CN" w:bidi="ar-SA"/>
        </w:rPr>
        <w:t>947,51</w:t>
      </w:r>
      <w:r>
        <w:rPr/>
        <w:t xml:space="preserve"> тыс. руб. (103,35% к соответствующему периоду прошлого года).</w:t>
      </w:r>
    </w:p>
    <w:p>
      <w:pPr>
        <w:pStyle w:val="Style13"/>
        <w:spacing w:lineRule="atLeast" w:line="11"/>
        <w:jc w:val="both"/>
        <w:rPr>
          <w:b/>
          <w:b/>
          <w:bCs/>
        </w:rPr>
      </w:pPr>
      <w:r>
        <w:rPr>
          <w:b/>
          <w:bCs/>
        </w:rPr>
        <w:tab/>
        <w:t>Земельные ресурсы</w:t>
      </w:r>
    </w:p>
    <w:p>
      <w:pPr>
        <w:pStyle w:val="Style13"/>
        <w:spacing w:lineRule="atLeast" w:line="11"/>
        <w:jc w:val="both"/>
        <w:rPr/>
      </w:pPr>
      <w:r>
        <w:rPr/>
        <w:tab/>
        <w:t xml:space="preserve">Земельный фонд Ядринского района составляет 89751 га. Основную долю земельного фонда района занимают земли сельскохозяйственного назначения на  площади 60121 га. </w:t>
      </w:r>
    </w:p>
    <w:p>
      <w:pPr>
        <w:pStyle w:val="Style13"/>
        <w:spacing w:lineRule="atLeast" w:line="11"/>
        <w:jc w:val="both"/>
        <w:rPr/>
      </w:pPr>
      <w:r>
        <w:rPr/>
        <w:tab/>
        <w:t>Одним из направлений деятельности по увеличению доходной базы бюджета от использования земельных ресурсов является работа по предоставлению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под строительство капитальных объектов, по формированию земельных участков для их дальнейшей реализации посредством торгов (аукционов).</w:t>
      </w:r>
    </w:p>
    <w:p>
      <w:pPr>
        <w:pStyle w:val="Style13"/>
        <w:spacing w:lineRule="atLeast" w:line="11"/>
        <w:jc w:val="both"/>
        <w:rPr/>
      </w:pPr>
      <w:r>
        <w:rPr/>
        <w:tab/>
        <w:t xml:space="preserve">На </w:t>
      </w:r>
      <w:r>
        <w:rPr>
          <w:lang w:val="en-US"/>
        </w:rPr>
        <w:t>01.10.2021</w:t>
      </w:r>
      <w:r>
        <w:rPr/>
        <w:t xml:space="preserve"> года проведено 10 аукционов по продаже в собственность и аренду земельных участков, с торгов реализовано </w:t>
      </w:r>
      <w:r>
        <w:rPr>
          <w:lang w:val="ru-RU" w:eastAsia="zh-CN" w:bidi="ar-SA"/>
        </w:rPr>
        <w:t>49</w:t>
      </w:r>
      <w:r>
        <w:rPr/>
        <w:t xml:space="preserve"> земельных участков общей площадью </w:t>
      </w:r>
      <w:r>
        <w:rPr>
          <w:lang w:val="ru-RU" w:eastAsia="zh-CN" w:bidi="ar-SA"/>
        </w:rPr>
        <w:t>1011</w:t>
      </w:r>
      <w:r>
        <w:rPr/>
        <w:t xml:space="preserve"> га, в том числе в собственность </w:t>
      </w:r>
      <w:r>
        <w:rPr>
          <w:lang w:val="ru-RU" w:eastAsia="zh-CN" w:bidi="ar-SA"/>
        </w:rPr>
        <w:t>27</w:t>
      </w:r>
      <w:r>
        <w:rPr/>
        <w:t xml:space="preserve"> земельных участков площадью </w:t>
      </w:r>
      <w:r>
        <w:rPr>
          <w:lang w:val="ru-RU" w:eastAsia="zh-CN" w:bidi="ar-SA"/>
        </w:rPr>
        <w:t>194,4</w:t>
      </w:r>
      <w:r>
        <w:rPr/>
        <w:t xml:space="preserve"> га, в аренду </w:t>
      </w:r>
      <w:r>
        <w:rPr>
          <w:lang w:val="ru-RU" w:eastAsia="zh-CN" w:bidi="ar-SA"/>
        </w:rPr>
        <w:t>22</w:t>
      </w:r>
      <w:r>
        <w:rPr/>
        <w:t xml:space="preserve"> земельных участков площадью 816,7 га. Без торгов, собственникам объектов недвижимости, предоставлено в собственность </w:t>
      </w:r>
      <w:r>
        <w:rPr>
          <w:lang w:val="ru-RU" w:eastAsia="zh-CN" w:bidi="ar-SA"/>
        </w:rPr>
        <w:t>5</w:t>
      </w:r>
      <w:r>
        <w:rPr/>
        <w:t xml:space="preserve"> земельных участков общей площадью </w:t>
      </w:r>
      <w:r>
        <w:rPr>
          <w:lang w:val="ru-RU" w:eastAsia="zh-CN" w:bidi="ar-SA"/>
        </w:rPr>
        <w:t>2,5</w:t>
      </w:r>
      <w:r>
        <w:rPr/>
        <w:t xml:space="preserve"> га. Заключено </w:t>
      </w:r>
      <w:r>
        <w:rPr>
          <w:lang w:val="ru-RU" w:eastAsia="zh-CN" w:bidi="ar-SA"/>
        </w:rPr>
        <w:t>1</w:t>
      </w:r>
      <w:r>
        <w:rPr/>
        <w:t xml:space="preserve"> соглашение об образовании земельного участка путем перераспределения. От продажи земельных участков в бюджет Ядринского района Чувашской Республики поступило денежных средств в общей сумме </w:t>
      </w:r>
      <w:r>
        <w:rPr>
          <w:lang w:val="en-US" w:eastAsia="zh-CN" w:bidi="ar-SA"/>
        </w:rPr>
        <w:t>1976,31</w:t>
      </w:r>
      <w:r>
        <w:rPr/>
        <w:t xml:space="preserve"> тыс.руб. (165,51% к соответствующему периоду прошлого года).</w:t>
      </w:r>
    </w:p>
    <w:p>
      <w:pPr>
        <w:pStyle w:val="Style13"/>
        <w:spacing w:lineRule="atLeast" w:line="11"/>
        <w:jc w:val="both"/>
        <w:rPr/>
      </w:pPr>
      <w:r>
        <w:rPr/>
        <w:tab/>
        <w:t xml:space="preserve">В аренде находится </w:t>
      </w:r>
      <w:r>
        <w:rPr>
          <w:lang w:val="en-US" w:eastAsia="zh-CN" w:bidi="ar-SA"/>
        </w:rPr>
        <w:t>855</w:t>
      </w:r>
      <w:r>
        <w:rPr>
          <w:lang w:val="ru-RU"/>
        </w:rPr>
        <w:t xml:space="preserve"> </w:t>
      </w:r>
      <w:r>
        <w:rPr/>
        <w:t xml:space="preserve">земельных участков общей площадью </w:t>
      </w:r>
      <w:r>
        <w:rPr>
          <w:lang w:val="ru-RU" w:eastAsia="zh-CN" w:bidi="ar-SA"/>
        </w:rPr>
        <w:t>15501</w:t>
      </w:r>
      <w:r>
        <w:rPr/>
        <w:t xml:space="preserve"> га. Доходы бюджета от аренды земельных участков составили </w:t>
      </w:r>
      <w:r>
        <w:rPr>
          <w:lang w:val="en-US" w:eastAsia="zh-CN" w:bidi="ar-SA"/>
        </w:rPr>
        <w:t>6372,73</w:t>
      </w:r>
      <w:r>
        <w:rPr/>
        <w:t xml:space="preserve"> тыс. руб. (</w:t>
      </w:r>
      <w:r>
        <w:rPr>
          <w:lang w:val="en-US" w:eastAsia="zh-CN" w:bidi="ar-SA"/>
        </w:rPr>
        <w:t>101,19</w:t>
      </w:r>
      <w:r>
        <w:rPr/>
        <w:t>% к соответствующему периоду прошлого года).</w:t>
      </w:r>
    </w:p>
    <w:p>
      <w:pPr>
        <w:pStyle w:val="Style13"/>
        <w:spacing w:lineRule="atLeast" w:line="11"/>
        <w:jc w:val="both"/>
        <w:rPr/>
      </w:pPr>
      <w:r>
        <w:rPr>
          <w:lang w:val="ru-RU"/>
        </w:rPr>
        <w:tab/>
        <w:t xml:space="preserve">Всего на территории района насчитывается 16655 собственников земельных долей. По состоянию на </w:t>
      </w:r>
      <w:r>
        <w:rPr>
          <w:lang w:val="en-US"/>
        </w:rPr>
        <w:t>01.10.2021</w:t>
      </w:r>
      <w:r>
        <w:rPr>
          <w:lang w:val="ru-RU"/>
        </w:rPr>
        <w:t xml:space="preserve"> площадь выявленных невостребованных земельных долей составляет </w:t>
      </w:r>
      <w:r>
        <w:rPr>
          <w:lang w:val="ru-RU" w:eastAsia="zh-CN" w:bidi="ar-SA"/>
        </w:rPr>
        <w:t>15001</w:t>
      </w:r>
      <w:r>
        <w:rPr>
          <w:lang w:val="ru-RU"/>
        </w:rPr>
        <w:t xml:space="preserve"> га (44% от общей площади земельных долей), которые 100% зарегистрированы в собственность муниципальных образований Ядринского района Чувашской Республики.</w:t>
      </w:r>
    </w:p>
    <w:p>
      <w:pPr>
        <w:pStyle w:val="Style13"/>
        <w:spacing w:lineRule="atLeast" w:line="11"/>
        <w:jc w:val="both"/>
        <w:rPr/>
      </w:pPr>
      <w:r>
        <w:rPr>
          <w:lang w:val="ru-RU"/>
        </w:rPr>
        <w:tab/>
        <w:t xml:space="preserve">На государственный кадастровый учет поставлены земельные участки, сформированные в счет муниципальных земельных долей, общей площадью </w:t>
      </w:r>
      <w:r>
        <w:rPr>
          <w:lang w:val="ru-RU" w:eastAsia="zh-CN" w:bidi="ar-SA"/>
        </w:rPr>
        <w:t>13164,59</w:t>
      </w:r>
      <w:r>
        <w:rPr>
          <w:lang w:val="ru-RU"/>
        </w:rPr>
        <w:t xml:space="preserve"> га, что составляет 88% от зарегистрированных в муниципальную собственность земельных долей. Из них вовлечены в сельскохозяйственный оборот земельные участки площадью </w:t>
      </w:r>
      <w:r>
        <w:rPr>
          <w:lang w:val="ru-RU" w:eastAsia="zh-CN" w:bidi="ar-SA"/>
        </w:rPr>
        <w:t>12118,03</w:t>
      </w:r>
      <w:r>
        <w:rPr>
          <w:lang w:val="ru-RU"/>
        </w:rPr>
        <w:t xml:space="preserve"> га (81% от зарегистрированных в муниципальную собственность): предоставлены в аренду </w:t>
      </w:r>
      <w:r>
        <w:rPr>
          <w:lang w:val="ru-RU" w:eastAsia="zh-CN" w:bidi="ar-SA"/>
        </w:rPr>
        <w:t>11333,05</w:t>
      </w:r>
      <w:r>
        <w:rPr>
          <w:lang w:val="ru-RU"/>
        </w:rPr>
        <w:t xml:space="preserve"> га (годовой размер арендной платы составляет 4562,23 тыс. руб), в собственность </w:t>
      </w:r>
      <w:r>
        <w:rPr>
          <w:lang w:val="ru-RU" w:eastAsia="zh-CN" w:bidi="ar-SA"/>
        </w:rPr>
        <w:t>784,98</w:t>
      </w:r>
      <w:r>
        <w:rPr>
          <w:lang w:val="ru-RU"/>
        </w:rPr>
        <w:t xml:space="preserve"> га (доход составил 4191,96 тыс. руб).</w:t>
      </w:r>
    </w:p>
    <w:p>
      <w:pPr>
        <w:pStyle w:val="Style13"/>
        <w:spacing w:lineRule="atLeast" w:line="11"/>
        <w:jc w:val="both"/>
        <w:rPr/>
      </w:pPr>
      <w:r>
        <w:rPr/>
        <w:tab/>
        <w:t xml:space="preserve">В рамках реализации Закона Чувашской Республики от 01.04.2011 № 10 «О предоставлении земельных участков многодетным семьям в Чувашской Республике» на территории Ядринского района по состоянию на 01.10.2021 в Ядринском районе на учет для получения земельных участков поставлено </w:t>
      </w:r>
      <w:r>
        <w:rPr>
          <w:lang w:val="ru-RU" w:eastAsia="zh-CN" w:bidi="ar-SA"/>
        </w:rPr>
        <w:t xml:space="preserve">402 </w:t>
      </w:r>
      <w:r>
        <w:rPr/>
        <w:t xml:space="preserve">многодетных семей, в том числе: </w:t>
      </w:r>
    </w:p>
    <w:p>
      <w:pPr>
        <w:pStyle w:val="Style13"/>
        <w:spacing w:lineRule="atLeast" w:line="11"/>
        <w:jc w:val="both"/>
        <w:rPr/>
      </w:pPr>
      <w:r>
        <w:rPr/>
        <w:t xml:space="preserve">230 – для индивидуального жилищного строительства (ИЖС), </w:t>
      </w:r>
    </w:p>
    <w:p>
      <w:pPr>
        <w:pStyle w:val="Style13"/>
        <w:spacing w:lineRule="atLeast" w:line="11"/>
        <w:jc w:val="both"/>
        <w:rPr/>
      </w:pPr>
      <w:r>
        <w:rPr/>
        <w:t xml:space="preserve">66 – для ведения личного подсобного хозяйства (ЛПХ </w:t>
      </w:r>
      <w:r>
        <w:rPr>
          <w:lang w:val="ru-RU"/>
        </w:rPr>
        <w:t>приусадебный)</w:t>
      </w:r>
      <w:r>
        <w:rPr/>
        <w:t xml:space="preserve">, </w:t>
      </w:r>
    </w:p>
    <w:p>
      <w:pPr>
        <w:pStyle w:val="Style13"/>
        <w:spacing w:lineRule="atLeast" w:line="11"/>
        <w:jc w:val="both"/>
        <w:rPr/>
      </w:pPr>
      <w:r>
        <w:rPr>
          <w:lang w:val="ru-RU" w:eastAsia="zh-CN" w:bidi="ar-SA"/>
        </w:rPr>
        <w:t>77</w:t>
      </w:r>
      <w:r>
        <w:rPr/>
        <w:t xml:space="preserve"> - для ведения личного подсобного хозяйства (ЛПХ </w:t>
      </w:r>
      <w:r>
        <w:rPr>
          <w:lang w:val="ru-RU"/>
        </w:rPr>
        <w:t>полевой</w:t>
      </w:r>
      <w:r>
        <w:rPr/>
        <w:t xml:space="preserve">), </w:t>
      </w:r>
    </w:p>
    <w:p>
      <w:pPr>
        <w:pStyle w:val="Style13"/>
        <w:spacing w:lineRule="atLeast" w:line="11"/>
        <w:jc w:val="both"/>
        <w:rPr/>
      </w:pPr>
      <w:r>
        <w:rPr/>
        <w:t xml:space="preserve">27 – для дачного строительства. </w:t>
      </w:r>
    </w:p>
    <w:p>
      <w:pPr>
        <w:pStyle w:val="Style13"/>
        <w:spacing w:lineRule="atLeast" w:line="11"/>
        <w:jc w:val="both"/>
        <w:rPr/>
      </w:pPr>
      <w:r>
        <w:rPr/>
        <w:tab/>
        <w:t xml:space="preserve">Сформировано и поставлено на государственный кадастровый учет 365 участков (90,8% от необходимого количества). Предоставлены земельные участки </w:t>
      </w:r>
      <w:r>
        <w:rPr>
          <w:lang w:val="ru-RU" w:eastAsia="zh-CN" w:bidi="ar-SA"/>
        </w:rPr>
        <w:t xml:space="preserve">361 многодетной </w:t>
      </w:r>
      <w:r>
        <w:rPr/>
        <w:t>семьям (</w:t>
      </w:r>
      <w:r>
        <w:rPr>
          <w:lang w:val="ru-RU" w:eastAsia="zh-CN" w:bidi="ar-SA"/>
        </w:rPr>
        <w:t>93,7</w:t>
      </w:r>
      <w:r>
        <w:rPr/>
        <w:t xml:space="preserve"> </w:t>
      </w:r>
      <w:r>
        <w:rPr>
          <w:lang w:val="ru-RU"/>
        </w:rPr>
        <w:t>га)</w:t>
      </w:r>
      <w:r>
        <w:rPr/>
        <w:t xml:space="preserve">: </w:t>
      </w:r>
    </w:p>
    <w:p>
      <w:pPr>
        <w:pStyle w:val="Style13"/>
        <w:spacing w:lineRule="atLeast" w:line="11"/>
        <w:jc w:val="both"/>
        <w:rPr/>
      </w:pPr>
      <w:r>
        <w:rPr/>
        <w:t xml:space="preserve">205 – для ИЖС (21,5 </w:t>
      </w:r>
      <w:r>
        <w:rPr>
          <w:lang w:val="ru-RU"/>
        </w:rPr>
        <w:t>га)</w:t>
      </w:r>
      <w:r>
        <w:rPr/>
        <w:t xml:space="preserve">, </w:t>
      </w:r>
    </w:p>
    <w:p>
      <w:pPr>
        <w:pStyle w:val="Style13"/>
        <w:spacing w:lineRule="atLeast" w:line="11"/>
        <w:jc w:val="both"/>
        <w:rPr/>
      </w:pPr>
      <w:r>
        <w:rPr/>
        <w:t xml:space="preserve">61 – для ЛПХ </w:t>
      </w:r>
      <w:r>
        <w:rPr>
          <w:lang w:val="ru-RU"/>
        </w:rPr>
        <w:t>приусадебный (10,4 га)</w:t>
      </w:r>
      <w:r>
        <w:rPr/>
        <w:t xml:space="preserve">, </w:t>
      </w:r>
    </w:p>
    <w:p>
      <w:pPr>
        <w:pStyle w:val="Style13"/>
        <w:spacing w:lineRule="atLeast" w:line="11"/>
        <w:jc w:val="both"/>
        <w:rPr/>
      </w:pPr>
      <w:r>
        <w:rPr/>
        <w:t xml:space="preserve">68 – </w:t>
      </w:r>
      <w:r>
        <w:rPr>
          <w:lang w:val="ru-RU"/>
        </w:rPr>
        <w:t xml:space="preserve">для ЛПХ полевой (57,8 га), </w:t>
      </w:r>
    </w:p>
    <w:p>
      <w:pPr>
        <w:pStyle w:val="Style13"/>
        <w:spacing w:lineRule="atLeast" w:line="11"/>
        <w:jc w:val="both"/>
        <w:rPr/>
      </w:pPr>
      <w:r>
        <w:rPr/>
        <w:t xml:space="preserve">27 – для дачного строительства (4,0 </w:t>
      </w:r>
      <w:r>
        <w:rPr>
          <w:lang w:val="ru-RU"/>
        </w:rPr>
        <w:t>га)</w:t>
      </w:r>
      <w:r>
        <w:rPr/>
        <w:t xml:space="preserve">. Право собственности на предоставленные земельные участки зарегистрировали </w:t>
      </w:r>
      <w:r>
        <w:rPr>
          <w:lang w:val="ru-RU" w:eastAsia="zh-CN" w:bidi="ar-SA"/>
        </w:rPr>
        <w:t>361</w:t>
      </w:r>
      <w:r>
        <w:rPr/>
        <w:t xml:space="preserve"> семей (100% от общего количества семей, получивших земельные участки).</w:t>
      </w:r>
    </w:p>
    <w:p>
      <w:pPr>
        <w:pStyle w:val="Style13"/>
        <w:spacing w:lineRule="atLeast" w:line="11"/>
        <w:jc w:val="both"/>
        <w:rPr/>
      </w:pPr>
      <w:r>
        <w:rPr/>
        <w:tab/>
        <w:t xml:space="preserve">В ходе «народной инвентаризации» выявлено 127 земельный участков общей площадью 38,5 га, из них 116 сформировано и поставлено на государственный кадастровый учет (35,8 га), по 11 земельных участков проведена работа по межеванию земельных участков и вовлечению в хозяйственный оборот, все 11 земельных участков площадью 3,0 га — реализованы через аукцион. Из выявленных 127 земельных участков, 70 земельных участков находятся в частной собственности, в отношении них проведены действия муниципального земельного и (или) государственного земельного надзора. Активизирована работа по вовлечению в хозяйственный оборот 44 свободных земельных участков, собственники которых умерли и не имели наследников (в отношении 5 выявлены собственники (пользователи), а по 39 проведена работа по регистрации в муниципальную собственность в порядке наследования. По 2 участкам (0,4 га) направлены предложения о включении в Единый информационный ресурс. Один из которых включен в ЕИР для строительства многоквартирного жилого дома на территории г. Ядрин. </w:t>
      </w:r>
    </w:p>
    <w:p>
      <w:pPr>
        <w:pStyle w:val="Style13"/>
        <w:spacing w:lineRule="atLeast" w:line="11"/>
        <w:jc w:val="both"/>
        <w:rPr/>
      </w:pPr>
      <w:r>
        <w:rPr/>
        <w:tab/>
      </w:r>
      <w:r>
        <w:rPr>
          <w:b/>
          <w:bCs/>
        </w:rPr>
        <w:t>Муниципальное имущество</w:t>
      </w:r>
    </w:p>
    <w:p>
      <w:pPr>
        <w:pStyle w:val="Style13"/>
        <w:spacing w:lineRule="atLeast" w:line="11"/>
        <w:jc w:val="both"/>
        <w:rPr/>
      </w:pPr>
      <w:r>
        <w:rPr/>
        <w:tab/>
        <w:t>Учёт муниципального имущества осуществляется в соответствии с постановлением Ядринской районной администрации Чувашской Республики от 08.09.2011 № 557 «Об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 путем формирования электронного банка данных о муниципальных объектах в программе «РЕЕСТР».</w:t>
      </w:r>
    </w:p>
    <w:p>
      <w:pPr>
        <w:pStyle w:val="Style13"/>
        <w:spacing w:lineRule="atLeast" w:line="11"/>
        <w:jc w:val="both"/>
        <w:rPr/>
      </w:pPr>
      <w:r>
        <w:rPr/>
        <w:tab/>
        <w:t xml:space="preserve">Муниципальное имущество закрепляется за пользователями по договорам оперативного управления, договорам аренды, безвозмездного пользования и прочим договорам, предусматривающим переход прав владения и пользования муниципальным имуществом. Всего передано в аренду 25 объектов недвижимого имущества общей площадью </w:t>
      </w:r>
      <w:r>
        <w:rPr>
          <w:lang w:val="ru-RU" w:eastAsia="zh-CN" w:bidi="ar-SA"/>
        </w:rPr>
        <w:t>1747,76</w:t>
      </w:r>
      <w:r>
        <w:rPr/>
        <w:t xml:space="preserve"> кв.м. Доходы бюджета от аренды муниципального имущества составили </w:t>
      </w:r>
      <w:r>
        <w:rPr>
          <w:lang w:val="en-US" w:eastAsia="zh-CN" w:bidi="ar-SA"/>
        </w:rPr>
        <w:t>801,62</w:t>
      </w:r>
      <w:r>
        <w:rPr>
          <w:lang w:val="ru-RU" w:eastAsia="zh-CN" w:bidi="ar-SA"/>
        </w:rPr>
        <w:t xml:space="preserve"> </w:t>
      </w:r>
      <w:r>
        <w:rPr/>
        <w:t>тыс. руб. (1</w:t>
      </w:r>
      <w:r>
        <w:rPr>
          <w:lang w:val="en-US" w:eastAsia="zh-CN" w:bidi="ar-SA"/>
        </w:rPr>
        <w:t>27,33</w:t>
      </w:r>
      <w:r>
        <w:rPr/>
        <w:t>% к соответствующему периоду прошлого года).</w:t>
      </w:r>
    </w:p>
    <w:p>
      <w:pPr>
        <w:pStyle w:val="Style13"/>
        <w:spacing w:lineRule="atLeast" w:line="11"/>
        <w:jc w:val="both"/>
        <w:rPr/>
      </w:pPr>
      <w:r>
        <w:rPr/>
        <w:tab/>
        <w:t xml:space="preserve">В прогнозный план (программу) приватизации на 2021 год включены </w:t>
      </w:r>
      <w:r>
        <w:rPr>
          <w:lang w:val="ru-RU" w:eastAsia="zh-CN" w:bidi="ar-SA"/>
        </w:rPr>
        <w:t>6</w:t>
      </w:r>
      <w:r>
        <w:rPr/>
        <w:t xml:space="preserve"> объектов недвижимого имущества, в настоящее время объекты повторно выставлены на электронные торги, ведется прием заявок.</w:t>
      </w:r>
    </w:p>
    <w:p>
      <w:pPr>
        <w:pStyle w:val="Style13"/>
        <w:spacing w:lineRule="atLeast" w:line="11"/>
        <w:jc w:val="both"/>
        <w:rPr/>
      </w:pPr>
      <w:r>
        <w:rPr/>
        <w:tab/>
        <w:t xml:space="preserve">В рамках акции «Народная инвентаризация» по выявлению неиспользуемых объектов недвижимого имущества, </w:t>
      </w:r>
      <w:r>
        <w:rPr>
          <w:lang w:val="ru-RU"/>
        </w:rPr>
        <w:t>в том числе длительное время, а также находящихся в неудовлетворительном (разрушенном или полуразрушенном, аварийном) состоянии, объектов недвижимости, не вовлеченных в налоговый оборот, которые собственниками не поставлены на кадастровый учет и не зарегистрировано право собственности.</w:t>
      </w:r>
      <w:r>
        <w:rPr/>
        <w:t xml:space="preserve"> По состоянию на </w:t>
      </w:r>
      <w:r>
        <w:rPr>
          <w:lang w:val="en-US"/>
        </w:rPr>
        <w:t>01.10.2021</w:t>
      </w:r>
      <w:r>
        <w:rPr/>
        <w:t xml:space="preserve"> года в районе выявлено 96 неиспользуемых объектов недвижимости, из них 96 </w:t>
      </w:r>
      <w:r>
        <w:rPr>
          <w:lang w:val="ru-RU"/>
        </w:rPr>
        <w:t xml:space="preserve">объектов недвижимости (100%) </w:t>
      </w:r>
      <w:r>
        <w:rPr/>
        <w:t>вовлечены в хозяйственный оборот.</w:t>
      </w:r>
    </w:p>
    <w:p>
      <w:pPr>
        <w:pStyle w:val="Style13"/>
        <w:spacing w:lineRule="atLeast" w:line="11"/>
        <w:jc w:val="both"/>
        <w:rPr/>
      </w:pPr>
      <w:r>
        <w:rPr/>
        <w:tab/>
        <w:t>Мероприятия, запланированные к исполнению в 2021 году:</w:t>
      </w:r>
    </w:p>
    <w:p>
      <w:pPr>
        <w:pStyle w:val="Style13"/>
        <w:numPr>
          <w:ilvl w:val="0"/>
          <w:numId w:val="2"/>
        </w:numPr>
        <w:spacing w:lineRule="atLeast" w:line="11"/>
        <w:jc w:val="both"/>
        <w:rPr/>
      </w:pPr>
      <w:r>
        <w:rPr/>
        <w:t>Оптимизация состава муниципального имущества путем проведения проверок использования муниципального имущества.</w:t>
      </w:r>
    </w:p>
    <w:p>
      <w:pPr>
        <w:pStyle w:val="Style13"/>
        <w:numPr>
          <w:ilvl w:val="0"/>
          <w:numId w:val="2"/>
        </w:numPr>
        <w:spacing w:lineRule="atLeast" w:line="11"/>
        <w:jc w:val="both"/>
        <w:rPr/>
      </w:pPr>
      <w:r>
        <w:rPr/>
        <w:t>Проведение мероприятий по списанию (или приватизации) выявленного неиспользуемого имущества, либо передаче его в аренду.</w:t>
      </w:r>
    </w:p>
    <w:p>
      <w:pPr>
        <w:pStyle w:val="Style13"/>
        <w:numPr>
          <w:ilvl w:val="0"/>
          <w:numId w:val="2"/>
        </w:numPr>
        <w:spacing w:lineRule="atLeast" w:line="11"/>
        <w:jc w:val="both"/>
        <w:rPr/>
      </w:pPr>
      <w:r>
        <w:rPr/>
        <w:t>Реализация муниципального имущества в соответствии с утвержденным планом приватизации муниципального имущества на 2021 год.</w:t>
      </w:r>
    </w:p>
    <w:p>
      <w:pPr>
        <w:pStyle w:val="Style13"/>
        <w:numPr>
          <w:ilvl w:val="0"/>
          <w:numId w:val="2"/>
        </w:numPr>
        <w:spacing w:lineRule="atLeast" w:line="11"/>
        <w:jc w:val="both"/>
        <w:rPr/>
      </w:pPr>
      <w:r>
        <w:rPr/>
        <w:t>Оформление прав пользования принятого в муниципальную собственность имущества.</w:t>
      </w:r>
    </w:p>
    <w:p>
      <w:pPr>
        <w:pStyle w:val="Style13"/>
        <w:numPr>
          <w:ilvl w:val="0"/>
          <w:numId w:val="2"/>
        </w:numPr>
        <w:spacing w:lineRule="atLeast" w:line="11"/>
        <w:jc w:val="both"/>
        <w:rPr/>
      </w:pPr>
      <w:r>
        <w:rPr/>
        <w:t>Проведение претензионно-исковой работы по взысканию задолженности по арендной плате за пользование муниципальным имуществом и земельными участками;</w:t>
      </w:r>
    </w:p>
    <w:p>
      <w:pPr>
        <w:pStyle w:val="Style13"/>
        <w:numPr>
          <w:ilvl w:val="0"/>
          <w:numId w:val="2"/>
        </w:numPr>
        <w:spacing w:lineRule="atLeast" w:line="11"/>
        <w:jc w:val="both"/>
        <w:rPr/>
      </w:pPr>
      <w:r>
        <w:rPr/>
        <w:t>Оформление прав пользования земельными участками в соответствии с действующим законодательством;</w:t>
      </w:r>
    </w:p>
    <w:p>
      <w:pPr>
        <w:pStyle w:val="Style13"/>
        <w:numPr>
          <w:ilvl w:val="0"/>
          <w:numId w:val="2"/>
        </w:numPr>
        <w:spacing w:lineRule="atLeast" w:line="11"/>
        <w:jc w:val="both"/>
        <w:rPr/>
      </w:pPr>
      <w:r>
        <w:rPr/>
        <w:t>Проведение работы по актуализации сведений о правообладателях земельных участков;</w:t>
      </w:r>
    </w:p>
    <w:p>
      <w:pPr>
        <w:pStyle w:val="Style13"/>
        <w:numPr>
          <w:ilvl w:val="0"/>
          <w:numId w:val="2"/>
        </w:numPr>
        <w:spacing w:lineRule="atLeast" w:line="11"/>
        <w:jc w:val="both"/>
        <w:rPr/>
      </w:pPr>
      <w:r>
        <w:rPr/>
        <w:t>Обеспечить земельными участками все поставленные на учет многодетные семьи.</w:t>
      </w:r>
    </w:p>
    <w:p>
      <w:pPr>
        <w:pStyle w:val="Style13"/>
        <w:numPr>
          <w:ilvl w:val="0"/>
          <w:numId w:val="2"/>
        </w:numPr>
        <w:spacing w:lineRule="atLeast" w:line="11"/>
        <w:jc w:val="both"/>
        <w:rPr/>
      </w:pPr>
      <w:r>
        <w:rPr/>
        <w:t>Завершить формирование земельных участков в счет невостребованных земельных долей, вовлечь в сельскохозяйственный оборот земельные участки, зарегистрированные в муниципальную собственность поселений.</w:t>
      </w:r>
    </w:p>
    <w:p>
      <w:pPr>
        <w:pStyle w:val="Style13"/>
        <w:numPr>
          <w:ilvl w:val="0"/>
          <w:numId w:val="2"/>
        </w:numPr>
        <w:spacing w:lineRule="atLeast" w:line="11"/>
        <w:jc w:val="both"/>
        <w:rPr/>
      </w:pPr>
      <w:r>
        <w:rPr/>
        <w:t>Проведение муниципального земельного контроля с целью выявления и пресечения нарушений в сфере земельного законодательства.</w:t>
      </w:r>
    </w:p>
    <w:p>
      <w:pPr>
        <w:pStyle w:val="Style13"/>
        <w:spacing w:lineRule="atLeast" w:line="11"/>
        <w:jc w:val="both"/>
        <w:rPr/>
      </w:pPr>
      <w:r>
        <w:rPr/>
        <w:tab/>
      </w:r>
      <w:r>
        <w:rPr>
          <w:b/>
          <w:bCs/>
        </w:rPr>
        <w:t>Предоставление государственных и муниципальных услуг</w:t>
      </w:r>
    </w:p>
    <w:p>
      <w:pPr>
        <w:pStyle w:val="Style13"/>
        <w:spacing w:lineRule="atLeast" w:line="11"/>
        <w:jc w:val="both"/>
        <w:rPr/>
      </w:pPr>
      <w:r>
        <w:rPr/>
        <w:tab/>
        <w:t>За январь - сентябрь 2021 года в МФЦ Ядринского района зарегистрировано 21346 обращений граждан, в том числе принято 13367 заявлений на получение услуг и проконсультировано 7979 потребителей услуг, выдано 9933 результата.  Нагрузка на 1 универсального специалиста (прием, консультация и выдача документов) в день составляет 32,06. Среднее время ожидания в очереди составляет 3,06 мин. (норматив – не более 15 мин.) Оплачено госпошлины и платежей по федеральным услугам через МФЦ на сумму 1944,6 тыс. рублей.</w:t>
      </w:r>
    </w:p>
    <w:p>
      <w:pPr>
        <w:pStyle w:val="Style13"/>
        <w:spacing w:lineRule="atLeast" w:line="11"/>
        <w:jc w:val="both"/>
        <w:rPr/>
      </w:pPr>
      <w:r>
        <w:rPr/>
        <w:tab/>
        <w:t>Обратившись в МФЦ Ядринского района можно получить консультации и подать документы на получение на сегодня 181 услуг, в том числе: 53-федеральных, 68-республиканских, 49-муниципальных услуг, 8- услуг корпорации МСП (малое среднее предпринимательство) и прочих-3.</w:t>
      </w:r>
    </w:p>
    <w:p>
      <w:pPr>
        <w:pStyle w:val="Style13"/>
        <w:spacing w:lineRule="atLeast" w:line="11"/>
        <w:jc w:val="both"/>
        <w:rPr/>
      </w:pPr>
      <w:r>
        <w:rPr/>
        <w:tab/>
        <w:t>В структуре из общего количества обращений за 9 месяца 2021 года доля принятых дел по федеральным и внебюджетным услугам составила 68,2%,  по республиканским услугам- 15,5%, по муниципальным услугам- 1,0%, по  прочими- 15,3</w:t>
      </w:r>
      <w:bookmarkStart w:id="0" w:name="_GoBack"/>
      <w:bookmarkEnd w:id="0"/>
      <w:r>
        <w:rPr/>
        <w:t>%</w:t>
      </w:r>
    </w:p>
    <w:p>
      <w:pPr>
        <w:pStyle w:val="Style13"/>
        <w:spacing w:lineRule="atLeast" w:line="11"/>
        <w:jc w:val="both"/>
        <w:rPr/>
      </w:pPr>
      <w:r>
        <w:rPr/>
        <w:tab/>
      </w:r>
      <w:r>
        <w:rPr>
          <w:b/>
          <w:bCs/>
        </w:rPr>
        <w:t>Демографическая политика</w:t>
      </w:r>
    </w:p>
    <w:p>
      <w:pPr>
        <w:pStyle w:val="Style13"/>
        <w:spacing w:lineRule="atLeast" w:line="11"/>
        <w:jc w:val="both"/>
        <w:rPr/>
      </w:pPr>
      <w:r>
        <w:rPr/>
        <w:tab/>
        <w:t>Отделом ЗАГС Ядринской районной администрации Чувашской Республики с 1 января  по 30 сентября 2021 года зарегистрировано:</w:t>
      </w:r>
    </w:p>
    <w:p>
      <w:pPr>
        <w:pStyle w:val="Style13"/>
        <w:spacing w:lineRule="atLeast" w:line="11"/>
        <w:jc w:val="both"/>
        <w:rPr/>
      </w:pPr>
      <w:r>
        <w:rPr/>
        <w:t>рождение 113 малышей, что на 6 детей меньше, чем в 2020 году (119),</w:t>
      </w:r>
    </w:p>
    <w:p>
      <w:pPr>
        <w:pStyle w:val="Style13"/>
        <w:spacing w:lineRule="atLeast" w:line="11"/>
        <w:jc w:val="both"/>
        <w:rPr/>
      </w:pPr>
      <w:r>
        <w:rPr/>
        <w:t>смерть – 427 человек, что на 35 больше, чем в 2020 году (392),</w:t>
      </w:r>
    </w:p>
    <w:p>
      <w:pPr>
        <w:pStyle w:val="Style13"/>
        <w:spacing w:lineRule="atLeast" w:line="11"/>
        <w:jc w:val="both"/>
        <w:rPr/>
      </w:pPr>
      <w:r>
        <w:rPr/>
        <w:t>заключение брака – 68, что на 16 больше, чем в 2020 году (52),</w:t>
      </w:r>
    </w:p>
    <w:p>
      <w:pPr>
        <w:pStyle w:val="Style13"/>
        <w:spacing w:lineRule="atLeast" w:line="11"/>
        <w:jc w:val="both"/>
        <w:rPr/>
      </w:pPr>
      <w:r>
        <w:rPr/>
        <w:t>расторжение брака – 69, что на 8 больше, чем в 2020 году (61).</w:t>
      </w:r>
    </w:p>
    <w:p>
      <w:pPr>
        <w:pStyle w:val="Style13"/>
        <w:spacing w:lineRule="atLeast" w:line="11"/>
        <w:jc w:val="both"/>
        <w:rPr/>
      </w:pPr>
      <w:r>
        <w:rPr/>
        <w:tab/>
      </w:r>
      <w:r>
        <w:rPr>
          <w:b/>
          <w:bCs/>
        </w:rPr>
        <w:t>Жилищное строительство</w:t>
      </w:r>
    </w:p>
    <w:p>
      <w:pPr>
        <w:pStyle w:val="Style13"/>
        <w:spacing w:lineRule="atLeast" w:line="11"/>
        <w:jc w:val="both"/>
        <w:rPr/>
      </w:pPr>
      <w:r>
        <w:rPr/>
        <w:tab/>
      </w:r>
      <w:r>
        <w:rPr>
          <w:lang w:val="ru-RU"/>
        </w:rPr>
        <w:t>За январь-сентябрь 2021 года ввод жилья по Ядринскому району Чувашской Республики составил 20346,3  кв.м.</w:t>
      </w:r>
    </w:p>
    <w:p>
      <w:pPr>
        <w:pStyle w:val="Style13"/>
        <w:spacing w:lineRule="atLeast" w:line="11"/>
        <w:jc w:val="both"/>
        <w:rPr/>
      </w:pPr>
      <w:r>
        <w:rPr>
          <w:lang w:val="ru-RU" w:eastAsia="ru-RU" w:bidi="ar-SA"/>
        </w:rPr>
        <w:tab/>
        <w:t>П</w:t>
      </w:r>
      <w:r>
        <w:rPr>
          <w:lang w:val="ru-RU"/>
        </w:rPr>
        <w:t>риобретены 9 жилых помещений для детей-сирот. В</w:t>
      </w:r>
      <w:r>
        <w:rPr>
          <w:lang w:val="ru-RU" w:eastAsia="ru-RU" w:bidi="ar-SA"/>
        </w:rPr>
        <w:t>ыданы свидетельства 22 молодым семьям,</w:t>
      </w:r>
      <w:r>
        <w:rPr>
          <w:lang w:val="ru-RU"/>
        </w:rPr>
        <w:t xml:space="preserve"> от общего количества молодых семей-162, 14 молодых семей использовали социальные выплаты на погашение ипотечного кредита и приобретение жилых помещений. </w:t>
      </w:r>
    </w:p>
    <w:p>
      <w:pPr>
        <w:pStyle w:val="Style13"/>
        <w:spacing w:lineRule="atLeast" w:line="11"/>
        <w:jc w:val="both"/>
        <w:rPr/>
      </w:pPr>
      <w:r>
        <w:rPr>
          <w:lang w:val="ru-RU"/>
        </w:rPr>
        <w:tab/>
      </w:r>
      <w:r>
        <w:rPr>
          <w:b/>
          <w:bCs/>
        </w:rPr>
        <w:t xml:space="preserve">Дорожное хозяйство </w:t>
      </w:r>
    </w:p>
    <w:p>
      <w:pPr>
        <w:pStyle w:val="Style13"/>
        <w:spacing w:lineRule="atLeast" w:line="11"/>
        <w:jc w:val="both"/>
        <w:rPr/>
      </w:pPr>
      <w:r>
        <w:rPr/>
        <w:tab/>
        <w:t xml:space="preserve">Протяженность дорожной сети по Ядринскому району по состоянию на 01.01.2021г. составляет 607,117 км, в том числе 28,4 км – федеральная автомобильная автодорога «М-7 Волга» (без учета длины съездов и развязок), 101,376 км – автодороги республиканского значения, 477,341 км – местного значения (233,485 – районного значения, 243,485- внутрипоселенческие). Из 477,341 км автодорог местного значения 373,214км (78,2%) имеют твердое покрытие. На дорожной сети эксплуатируется 22 моста/3030,72.м. (2шт/1671,9м - на федеральной автодороге (в том числе новый мост – 1242м), 9шт/ 892,02м -на республиканской сети, 11шт/466,8м на местной сети автодорог). </w:t>
      </w:r>
    </w:p>
    <w:p>
      <w:pPr>
        <w:pStyle w:val="Style13"/>
        <w:spacing w:lineRule="atLeast" w:line="11"/>
        <w:jc w:val="both"/>
        <w:rPr/>
      </w:pPr>
      <w:r>
        <w:rPr/>
        <w:tab/>
        <w:t>Участок автомобильной дороги федерального значения М-7 «Волга» в границах Ядринского района (км 573 – км 601) обслуживает ООО «Воддорстрой» Работы финансируются за счет средств федерального бюджета, Заказчиком работ является ФКУ Упрдор «Волго-Вятскуправтодор».</w:t>
      </w:r>
    </w:p>
    <w:p>
      <w:pPr>
        <w:pStyle w:val="Style13"/>
        <w:spacing w:lineRule="atLeast" w:line="11"/>
        <w:jc w:val="both"/>
        <w:rPr/>
      </w:pPr>
      <w:r>
        <w:rPr/>
        <w:tab/>
        <w:t>По автодороге федерального значения в 2021г начато строительство нового (второго)  моста через р. Сура на км 582 автодороги М-7 «Волга». Подрядная организация определена по итогам конкурсного отбора – АО «Дороги и Мосты» (АО «ДиМ»), стоимость объекта составляет более 14,0 млрд. рублей, финансирование строительства объекта предусмотрено на 4 года, срок завершения работ – до 30 ноября 2024г.</w:t>
      </w:r>
    </w:p>
    <w:p>
      <w:pPr>
        <w:pStyle w:val="Style13"/>
        <w:spacing w:lineRule="atLeast" w:line="11"/>
        <w:jc w:val="both"/>
        <w:rPr/>
      </w:pPr>
      <w:r>
        <w:rPr/>
        <w:tab/>
        <w:t>Выполнено устройство защитного слоя покрытия на участке км 588 – км 596. (участок д. Сучково- д. М. Тюмерли)</w:t>
      </w:r>
    </w:p>
    <w:p>
      <w:pPr>
        <w:pStyle w:val="Style13"/>
        <w:spacing w:lineRule="atLeast" w:line="11"/>
        <w:jc w:val="both"/>
        <w:rPr/>
      </w:pPr>
      <w:r>
        <w:rPr/>
        <w:tab/>
        <w:t>По территории Ядринского района проходят 4 автомобильные дороги республиканского значения: автодорога «Сура» протяженностью 28,89 км, автодорога «Никольское-Ядрин-Калинино» протяженностью 40,884 км, автодорога «Ядрин-Канаш» протяженностью 12,002 км, автодорога «Ядрин-Николаевское-Новые Атаи» протяженностью 19,6 км. Указанные автодороги общей протяженностью 101,376км содержит ООО «ДорТех», балансодержателем является КУ «Чувашупрдор» Минтранса Чувашии. Работы финансируются за счет средств республиканского бюджета Чувашской Республики</w:t>
      </w:r>
    </w:p>
    <w:p>
      <w:pPr>
        <w:pStyle w:val="Style13"/>
        <w:spacing w:lineRule="atLeast" w:line="11"/>
        <w:jc w:val="both"/>
        <w:rPr/>
      </w:pPr>
      <w:r>
        <w:rPr/>
        <w:t>По автодорогам республиканского значения запланированы работы на следующих объектах:</w:t>
      </w:r>
    </w:p>
    <w:p>
      <w:pPr>
        <w:pStyle w:val="Style13"/>
        <w:spacing w:lineRule="atLeast" w:line="11"/>
        <w:jc w:val="both"/>
        <w:rPr/>
      </w:pPr>
      <w:r>
        <w:rPr/>
        <w:t xml:space="preserve">– </w:t>
      </w:r>
      <w:r>
        <w:rPr/>
        <w:t>Ремонт участка автодороги «Никольское-Ядрин-Калинино» на км 5+000 – км 9+300 (в пределах г. Ядрин до моста через р. Сура) протяженностью 4,3 км  с ремонтом тротуаров в г. Ядрин (срок завершения работ - до 30 сентября 2021г), подрядчик ООО «ДорТех», стоимость объекта составляет 65,7 млн. рублей. На данный момент на автодороге выполнена укладка выравнивающего слоя из асфальтобетона, на тротуарах подготовлено щебеночное основание с установкой поребриков.</w:t>
      </w:r>
    </w:p>
    <w:p>
      <w:pPr>
        <w:pStyle w:val="Style13"/>
        <w:spacing w:lineRule="atLeast" w:line="11"/>
        <w:jc w:val="both"/>
        <w:rPr/>
      </w:pPr>
      <w:r>
        <w:rPr/>
        <w:t>- Ремонт участка автодороги «Сура» на км 17+700 – 21+700 общей протяженностью 4,0 км, стоимость работ составляет 55 млн. рублей, подрядчик ООО «СтройКом», срок завершения работ – до 30 сентября 2021г. На данный момент на объекте уложен выравнивающий слой асфальтобетона.</w:t>
      </w:r>
    </w:p>
    <w:p>
      <w:pPr>
        <w:pStyle w:val="Style13"/>
        <w:spacing w:lineRule="atLeast" w:line="11"/>
        <w:jc w:val="both"/>
        <w:rPr/>
      </w:pPr>
      <w:r>
        <w:rPr/>
        <w:t>- Капитальный ремонт автодороги «Никольское-Ядрин-Калинино» на участке км 21+372 – км 31+660 общей протяженностью 10,3 км. Подрядчик определен (ООО «Автодор»), стоимость объекта составляет 456,8 млн. рублей. Финансирование объекта на данный момент предусмотрено на 3 года, срок завершения работ - до 31 октября 2023г. В текущем году подрядная организация выполняет замену водопропускных труб.</w:t>
      </w:r>
    </w:p>
    <w:p>
      <w:pPr>
        <w:pStyle w:val="Style13"/>
        <w:spacing w:lineRule="atLeast" w:line="11"/>
        <w:jc w:val="both"/>
        <w:rPr/>
      </w:pPr>
      <w:r>
        <w:rPr/>
        <w:t>- Корректировка проектно-сметной документации на строительство автодороги в обход г. Ядрин. Исполнитель – АО «Проектно-сметное бюро» (г. Чебоксары), стоимость работ 10,34 млн. рублей, срок завершения работ – ноябрь 2021г.</w:t>
      </w:r>
    </w:p>
    <w:p>
      <w:pPr>
        <w:pStyle w:val="Style13"/>
        <w:spacing w:lineRule="atLeast" w:line="11"/>
        <w:jc w:val="both"/>
        <w:rPr/>
      </w:pPr>
      <w:r>
        <w:rPr/>
        <w:t>- Строительство пункта весового контроля на автодороге «Никольское-Ядрин-Калинино» в районе с. Никольское на съезде с автодороги М-7 для обеспечения контроля за движением большегрузного транспорта (на км 1+700 автодороги, стоимость объекта составляет 47,4 млн. рублей – ПАО «Вымпел-коммуникации», срок завершения работ – октябрь 2021г). Работы на объекте начаты, выполнена разборка дорожной одежды на одной полосе автодороги, введено светофорное регулирование движения транспортных средств.</w:t>
      </w:r>
    </w:p>
    <w:p>
      <w:pPr>
        <w:pStyle w:val="Style13"/>
        <w:spacing w:lineRule="atLeast" w:line="11"/>
        <w:jc w:val="both"/>
        <w:rPr/>
      </w:pPr>
      <w:r>
        <w:rPr/>
        <w:t>- Разработка проектной документации на устройство искусственного освещения и тротуаров на автодороге «Ядрин-Николаевское-Н.Атаи» по всем населенным пунктам, через которые проходит дорога (в н.п. Козловка, Персирланы, Атликасы, М.Шемердяны, Б.Шемердяны, В.Ачаки, Бобылькасы, Николаевское», - Проектная организация ООО «Ладья»).</w:t>
      </w:r>
    </w:p>
    <w:p>
      <w:pPr>
        <w:pStyle w:val="Style13"/>
        <w:spacing w:lineRule="atLeast" w:line="11"/>
        <w:jc w:val="both"/>
        <w:rPr/>
      </w:pPr>
      <w:r>
        <w:rPr/>
        <w:tab/>
        <w:t xml:space="preserve">Всего на осуществление дорожной деятельности по местной сети автодорог в 2021г предусмотрены финансовые средства в размере 48630,809 тыс. рублей </w:t>
        <w:tab/>
        <w:t xml:space="preserve">Запланировано отремонтировать 1 дворовую территорию, 2,0 км автодорог поселений; 2,1 км автодорог районного значения, из них: </w:t>
      </w:r>
    </w:p>
    <w:p>
      <w:pPr>
        <w:pStyle w:val="Style13"/>
        <w:spacing w:lineRule="atLeast" w:line="11"/>
        <w:jc w:val="both"/>
        <w:rPr/>
      </w:pPr>
      <w:r>
        <w:rPr/>
        <w:t>-На содержание автодорог в границах населенных пунктов поселений в 2021г планируется выделить 3 877,000 тыс. рублей (3489,3 тыс. руб. (респ.) + 387,7 тыс. руб. (местн.)).</w:t>
      </w:r>
    </w:p>
    <w:p>
      <w:pPr>
        <w:pStyle w:val="Style13"/>
        <w:spacing w:lineRule="atLeast" w:line="11"/>
        <w:jc w:val="both"/>
        <w:rPr/>
      </w:pPr>
      <w:r>
        <w:rPr/>
        <w:t>-На ремонт автодорог в границах населенных пунктов поселений в 2021г планируется выделить 6125,499 тыс. рублей (5512,943 тыс. руб. (респ.) + 612,555 тыс. руб. (местн.)).</w:t>
      </w:r>
    </w:p>
    <w:p>
      <w:pPr>
        <w:pStyle w:val="Style13"/>
        <w:spacing w:lineRule="atLeast" w:line="11"/>
        <w:jc w:val="both"/>
        <w:rPr/>
      </w:pPr>
      <w:r>
        <w:rPr/>
        <w:t>-На содержание автодорог в границах муниципального района в 2021г планируется выделить 24 411,222 тыс. рублей (21 970,000 тыс. руб. (респ.) + 2 441,122 тыс. руб. (местн.)).</w:t>
      </w:r>
    </w:p>
    <w:p>
      <w:pPr>
        <w:pStyle w:val="Style13"/>
        <w:spacing w:lineRule="atLeast" w:line="11"/>
        <w:jc w:val="both"/>
        <w:rPr/>
      </w:pPr>
      <w:r>
        <w:rPr/>
        <w:t>-На ремонт автодорог в границах муниципального района в 2021г планируется выделить 13 030,666 тыс. рублей (11 727,600 тыс. руб. (респ.) + 1 303,066 тыс. руб. (местн.)).</w:t>
      </w:r>
    </w:p>
    <w:p>
      <w:pPr>
        <w:pStyle w:val="Style13"/>
        <w:spacing w:lineRule="atLeast" w:line="11"/>
        <w:jc w:val="both"/>
        <w:rPr/>
      </w:pPr>
      <w:r>
        <w:rPr/>
        <w:t>-На ремонт дворовых территорий и проездов к МКД планируется выделить 1186,422 тыс. рублей (1 127,1 тыс. руб. (респ.) + 59,322 тыс. руб. (местн.)).</w:t>
      </w:r>
    </w:p>
    <w:p>
      <w:pPr>
        <w:pStyle w:val="Style13"/>
        <w:spacing w:lineRule="atLeast" w:line="11"/>
        <w:jc w:val="both"/>
        <w:rPr/>
      </w:pPr>
      <w:r>
        <w:rPr/>
        <w:tab/>
        <w:t>По автодорогам местного (районного) значения:</w:t>
      </w:r>
    </w:p>
    <w:p>
      <w:pPr>
        <w:pStyle w:val="Style13"/>
        <w:spacing w:lineRule="atLeast" w:line="11"/>
        <w:jc w:val="both"/>
        <w:rPr/>
      </w:pPr>
      <w:r>
        <w:rPr/>
        <w:t>- Завершен ремонт участка автомобильной дороги «Подъезд к с.Чебаково №2» протяженностью 1,32 км. (стоимость работ по Контракту 5256,905 тыс. рублей) , подрядчик ООО «СК Алсер Строй».</w:t>
      </w:r>
    </w:p>
    <w:p>
      <w:pPr>
        <w:pStyle w:val="Style13"/>
        <w:spacing w:lineRule="atLeast" w:line="11"/>
        <w:jc w:val="both"/>
        <w:rPr/>
      </w:pPr>
      <w:r>
        <w:rPr/>
        <w:t>-Завершены работы по ремонту участка автомобильной дороги "Волга" - Чебаково - Кудаши - Алексеевка" протяженностью 2,8 км. -подъезд д. Кудаши (стоимость работ по Контракту 13098,546 тыс. рублей), подрядчик ООО «Дорсервис»..</w:t>
      </w:r>
    </w:p>
    <w:p>
      <w:pPr>
        <w:pStyle w:val="Style13"/>
        <w:spacing w:lineRule="atLeast" w:line="11"/>
        <w:jc w:val="both"/>
        <w:rPr/>
      </w:pPr>
      <w:r>
        <w:rPr/>
        <w:t>-Начаты работы по ремонту автодороги "Ядрин-Николаевское-Новые Атаи"-д. Верхние Ачаки протяженностью 0,815км. (стоимость работ 3525,839 тыс. руб., подрядчик ООО «ДРСУ»), за счет лимитов 2022г., срок завершения работ по Контракту  - июнь 2023г</w:t>
      </w:r>
    </w:p>
    <w:p>
      <w:pPr>
        <w:pStyle w:val="Style13"/>
        <w:spacing w:lineRule="atLeast" w:line="11"/>
        <w:jc w:val="both"/>
        <w:rPr/>
      </w:pPr>
      <w:r>
        <w:rPr/>
        <w:t>-Завершаются работы по ремонту автодороги «Ядрин-Николаевское-Новые Атаи»-Симекейкасы»-с.Хочашево протяженностью 2,6 км. (Подрядчик ООО «Дорсервис», стоимость работ 11526554,20 рублей), Контракт заключен за счет лимитов 2022г.</w:t>
      </w:r>
    </w:p>
    <w:p>
      <w:pPr>
        <w:pStyle w:val="Style13"/>
        <w:spacing w:lineRule="atLeast" w:line="11"/>
        <w:jc w:val="both"/>
        <w:rPr/>
      </w:pPr>
      <w:r>
        <w:rPr/>
        <w:tab/>
        <w:t>На всех объектах проводится строительный контроль с привлечением лаборатории.</w:t>
      </w:r>
    </w:p>
    <w:p>
      <w:pPr>
        <w:pStyle w:val="Style13"/>
        <w:spacing w:lineRule="atLeast" w:line="11"/>
        <w:jc w:val="both"/>
        <w:rPr/>
      </w:pPr>
      <w:r>
        <w:rPr/>
        <w:tab/>
        <w:t xml:space="preserve">Содержание автомобильных дорог районного значения по Ядринскому району осуществляют следующие подрядные организации: </w:t>
      </w:r>
    </w:p>
    <w:p>
      <w:pPr>
        <w:pStyle w:val="Style13"/>
        <w:spacing w:lineRule="atLeast" w:line="11"/>
        <w:jc w:val="both"/>
        <w:rPr/>
      </w:pPr>
      <w:r>
        <w:rPr/>
        <w:tab/>
        <w:t>ООО «Перспектива», – содержит 109,646 км автодорог;</w:t>
      </w:r>
    </w:p>
    <w:p>
      <w:pPr>
        <w:pStyle w:val="Style13"/>
        <w:spacing w:lineRule="atLeast" w:line="11"/>
        <w:jc w:val="both"/>
        <w:rPr/>
      </w:pPr>
      <w:r>
        <w:rPr/>
        <w:tab/>
        <w:t>ООО «Строй Сити»»– содержит 51,061 км автодорог;</w:t>
      </w:r>
    </w:p>
    <w:p>
      <w:pPr>
        <w:pStyle w:val="Style13"/>
        <w:spacing w:lineRule="atLeast" w:line="11"/>
        <w:jc w:val="both"/>
        <w:rPr/>
      </w:pPr>
      <w:r>
        <w:rPr/>
        <w:tab/>
        <w:t>ООО «Сурстройсервис»– содержит 61,2 км автодорог;</w:t>
      </w:r>
    </w:p>
    <w:p>
      <w:pPr>
        <w:pStyle w:val="Style13"/>
        <w:spacing w:lineRule="atLeast" w:line="11"/>
        <w:jc w:val="both"/>
        <w:rPr/>
      </w:pPr>
      <w:r>
        <w:rPr/>
        <w:tab/>
        <w:t xml:space="preserve">ООО «Автодорсервис»– содержит 36,114 км автодорог. </w:t>
      </w:r>
    </w:p>
    <w:p>
      <w:pPr>
        <w:pStyle w:val="Style13"/>
        <w:spacing w:lineRule="atLeast" w:line="11"/>
        <w:jc w:val="both"/>
        <w:rPr/>
      </w:pPr>
      <w:r>
        <w:rPr/>
        <w:tab/>
        <w:t xml:space="preserve">Общая стоимость заключенных контрактов на содержание автодорог районного значения составляет 23 965,299 тыс. рублей. </w:t>
      </w:r>
    </w:p>
    <w:p>
      <w:pPr>
        <w:pStyle w:val="Style13"/>
        <w:spacing w:lineRule="atLeast" w:line="11"/>
        <w:jc w:val="both"/>
        <w:rPr/>
      </w:pPr>
      <w:r>
        <w:rPr/>
        <w:tab/>
        <w:t>По автодорогам поселений:</w:t>
      </w:r>
    </w:p>
    <w:p>
      <w:pPr>
        <w:pStyle w:val="Style13"/>
        <w:spacing w:lineRule="atLeast" w:line="11"/>
        <w:jc w:val="both"/>
        <w:rPr/>
      </w:pPr>
      <w:r>
        <w:rPr/>
        <w:tab/>
        <w:t>По всем объектам, предусмотренных к ремонту, контракты заключены. По объектам, стоимость которых превышает 600 тыс. рублей проведены аукционы, большинство объектов размещаются через Тег-торг (до 600 тыс. рублей). По ремонту объектов поселений в щебеночном исполнении общей протяженностью 2,679 км обязательства выполнены в полном объеме: (Мочарское поселение (Чиганары участок до кладбища)– 0,150 км, Малокарачкинское поселение (ул. Набережная с. М. Карачкино) -0,2 км, Кукшумское поселение (ул. М.Белова д.Ойкасы) – 0,150км, Большесундырское поселение (ул. Зеленая с. И.Гора – 0,720 км, ул. Молодежная с. Б. Сундырь – 0,300км), Персирланское поселение (ул. Садовая д. Чербай – 0,155км, ул. Набережная д. Сареево – 0,290 км) , Большечурашевское поселение (с. Б. Чурашево ул. 50 лет Октября - 80 п.м.,), Большешемердянское поселение (М.Шемердяны ул. Луговая – 70п.м., Иваньковское поселение (с. Никольское, ул. Тенистая – 65п.м.), (Советское поселение (д. Олух-Шуматово ул. Советская – 50 п.м.), Старотиньгешское поселение (д. Выселок Багиши ул. Новая – 40 п.м.), Чебаковское поселение (с. Чебаково, ул. Ленина – 85 п.м.), Ядринское поселение (ВК Ядрино, ул. Мира – 150 п.м.), Ядринское городское поселение (ул. Полевая г. Ядрин – 300 п.м.), Ювановское (у. Качебай с. Юваново 0,1 км), Хочашевское (ул. Горького д. Лапракасы -0,035км), д. Стрелецкая ул. Толстова -0,1км), Иваньковское (с. Никольское ул. Тенистая – 0,065км), Кильдишевское (д. Ордашево ул Молодежная – 0,070 км), Николаевское (с. Николаевское ул. Молодежная – 0,024км).   Кроме этого за счет лимитов 2022-2023гг выполнен ремонт автодорог протяженностью 4,1 км.</w:t>
      </w:r>
    </w:p>
    <w:p>
      <w:pPr>
        <w:pStyle w:val="Style13"/>
        <w:spacing w:lineRule="atLeast" w:line="11"/>
        <w:jc w:val="both"/>
        <w:rPr/>
      </w:pPr>
      <w:r>
        <w:rPr/>
        <w:tab/>
        <w:t>Объявлен открытый конкурс на Выполнение инженерных изысканий и проектирование по объекту «Строительство автомобильной дороги по ул. Некрасова, проезд от ул. Некрасова до ул. А. Виноходова, ул. А. Виноходова, ул. Б. Яковлева, ул. А. Николаева, ул. К. Долбилова, проезд от ул. К. Долбилова до ул. А. Николаева в г. Ядрин Ядринского района Чувашской Республики». НМЦК – 2617599 руб.</w:t>
      </w:r>
    </w:p>
    <w:p>
      <w:pPr>
        <w:pStyle w:val="Style13"/>
        <w:spacing w:lineRule="atLeast" w:line="11"/>
        <w:jc w:val="both"/>
        <w:rPr/>
      </w:pPr>
      <w:r>
        <w:rPr/>
        <w:tab/>
        <w:t>Зимнее содержание автодорог в границах населенных пунктов поселений обеспечивается администрациями сельских поселений посредством заключения договоров на их содержание.</w:t>
      </w:r>
    </w:p>
    <w:p>
      <w:pPr>
        <w:pStyle w:val="Style13"/>
        <w:spacing w:lineRule="atLeast" w:line="11"/>
        <w:jc w:val="both"/>
        <w:rPr/>
      </w:pPr>
      <w:r>
        <w:rPr/>
        <w:tab/>
        <w:t>На ремонт дворовых территорий и проездов к МКД планируется выделить 1186,422 тыс. рублей (1 127,1 тыс. руб. (респ.) + 59,322 тыс. руб. (местн.)). Средства планируется направить на ремонт дворовых территорий в г. Ядрин (Верхний поселок -дворовых территорий многоквартирных жилых домов № 14, 14а,12а, 12б, 12в по ул. Чапаева). Аукцион проведен, подрядчик – ООО «Перспектива», срок завершения работ октябрь 2021г.</w:t>
      </w:r>
    </w:p>
    <w:p>
      <w:pPr>
        <w:pStyle w:val="Style13"/>
        <w:spacing w:lineRule="atLeast" w:line="11"/>
        <w:jc w:val="both"/>
        <w:rPr/>
      </w:pPr>
      <w:r>
        <w:rPr/>
        <w:tab/>
        <w:t>За 9 мес. 2021г на местной сети автомобильных дорог выполнены работы на сумму 40775,469 тыс. рублей.</w:t>
      </w:r>
    </w:p>
    <w:p>
      <w:pPr>
        <w:pStyle w:val="Style13"/>
        <w:spacing w:lineRule="atLeast" w:line="11"/>
        <w:jc w:val="both"/>
        <w:rPr/>
      </w:pPr>
      <w:r>
        <w:rPr/>
        <w:tab/>
      </w:r>
      <w:r>
        <w:rPr>
          <w:b/>
          <w:bCs/>
        </w:rPr>
        <w:t>Развитие образования</w:t>
      </w:r>
    </w:p>
    <w:p>
      <w:pPr>
        <w:pStyle w:val="Style13"/>
        <w:spacing w:lineRule="atLeast" w:line="11"/>
        <w:jc w:val="both"/>
        <w:rPr/>
      </w:pPr>
      <w:r>
        <w:rPr/>
        <w:tab/>
        <w:t xml:space="preserve">Система дошкольного образования представлена 6 дошкольными образовательными организациями и 14 дошкольными группами в 11 общеобразовательных организациях. МАДОУ «Детский сад «Аленушка» в данный момент  находится на капитальном ремонте. В целом дошкольным образованием охвачено 740 детей с 1,5 лет, из них в дошкольных образовательных организациях- 587 детей, в школах- 153.  На учете с 0 до 2-х лет на 1 августа 2021 года состоит  79  детей. </w:t>
      </w:r>
    </w:p>
    <w:p>
      <w:pPr>
        <w:pStyle w:val="Style13"/>
        <w:spacing w:lineRule="atLeast" w:line="11"/>
        <w:jc w:val="both"/>
        <w:rPr/>
      </w:pPr>
      <w:r>
        <w:rPr/>
        <w:tab/>
        <w:t>Средняя заработная плата педагогических работников дошкольных образовательных организаций за январь – август составила 26803,10  руб.</w:t>
      </w:r>
    </w:p>
    <w:p>
      <w:pPr>
        <w:pStyle w:val="Style13"/>
        <w:spacing w:lineRule="atLeast" w:line="11"/>
        <w:jc w:val="both"/>
        <w:rPr/>
      </w:pPr>
      <w:r>
        <w:rPr/>
        <w:t xml:space="preserve">В районе функционируют 16 общеобразовательных организаций, из них: 10 средних школ, 5 основных школ, 1 - начальная школа, в которых обучался  в 2020-2021 учебном  году 2651 ученик. </w:t>
      </w:r>
    </w:p>
    <w:p>
      <w:pPr>
        <w:pStyle w:val="Style13"/>
        <w:spacing w:lineRule="atLeast" w:line="11"/>
        <w:jc w:val="both"/>
        <w:rPr/>
      </w:pPr>
      <w:r>
        <w:rPr/>
        <w:tab/>
        <w:t>Все школы, дошкольные образовательные учреждения подключены к сети «Интернет», имеют обновляемые сайты.</w:t>
      </w:r>
    </w:p>
    <w:p>
      <w:pPr>
        <w:pStyle w:val="Style13"/>
        <w:spacing w:lineRule="atLeast" w:line="11"/>
        <w:jc w:val="both"/>
        <w:rPr/>
      </w:pPr>
      <w:r>
        <w:rPr/>
        <w:tab/>
        <w:t>Количество педагогических работников, работающих в общеобразовательных организациях, составляет 241 человек, в том числе 211 учителей. Доля учителей, имеющих стаж работы до 3 лет – 5 чел (2,3%),  (в 2019 году – 1,9%). Доля учителей в возрасте до 35 лет -20 чел 9,5% (в 2019 – 7,1%). За последние пять лет в район прибыло 6 молодых специалистов: в 2020-1 чел,  в 2019 - 1 чел, в 2018 - 1 чел, в 2017 - 2 чел, в 2016 - 1 чел.</w:t>
      </w:r>
    </w:p>
    <w:p>
      <w:pPr>
        <w:pStyle w:val="Style13"/>
        <w:spacing w:lineRule="atLeast" w:line="11"/>
        <w:jc w:val="both"/>
        <w:rPr/>
      </w:pPr>
      <w:r>
        <w:rPr/>
        <w:tab/>
        <w:t>За январь – август 2021 г. средняя заработная плата педагогических работников общеобразовательных учреждений составила  30286 руб.</w:t>
      </w:r>
    </w:p>
    <w:p>
      <w:pPr>
        <w:pStyle w:val="Style13"/>
        <w:spacing w:lineRule="atLeast" w:line="11"/>
        <w:jc w:val="both"/>
        <w:rPr/>
      </w:pPr>
      <w:r>
        <w:rPr/>
        <w:tab/>
        <w:t xml:space="preserve">В районе 3 учреждения дополнительного образования (МБУ ДО «Ядринский районный Дом детского творчества», МБУ ДО «Ядринская районная детская школа искусств им. А.В. Асламаса, МАО ДО Детско-юношеская спортивная школа «Физкультурно-спортивный комплекс «Присурье»). </w:t>
      </w:r>
    </w:p>
    <w:p>
      <w:pPr>
        <w:pStyle w:val="Style13"/>
        <w:spacing w:lineRule="atLeast" w:line="11"/>
        <w:jc w:val="both"/>
        <w:rPr/>
      </w:pPr>
      <w:r>
        <w:rPr/>
        <w:tab/>
        <w:t>За январь – август 2021 года средняя заработная плата педагогических работников учреждений дополнительного образования детей вместе с отпускными составила  30488,91   руб.</w:t>
      </w:r>
    </w:p>
    <w:p>
      <w:pPr>
        <w:pStyle w:val="Style13"/>
        <w:spacing w:lineRule="atLeast" w:line="11"/>
        <w:jc w:val="both"/>
        <w:rPr/>
      </w:pPr>
      <w:r>
        <w:rPr/>
        <w:tab/>
        <w:t xml:space="preserve">В 2021 году в рамках модернизации образовательных организаций, имеющих 50 % износа, проводится капитальный ремонт кровли и здания  МАОУ «СОШ № 3» г. Ядрин. Работы должны завершиться  в декабре 2021 года. По программе модернизации дошкольных образовательных учреждений продолжаются работы по ремонту фасада МАДОУ «Алёнушка». В МАОУ «СОШ № 3» и «СОШ № 2» г. Ядрина в рамках программы «Успех каждого ребёнка» проводились  работы по капитальному ремонту спортивных залов. </w:t>
      </w:r>
    </w:p>
    <w:p>
      <w:pPr>
        <w:pStyle w:val="Style13"/>
        <w:spacing w:lineRule="atLeast" w:line="11"/>
        <w:jc w:val="both"/>
        <w:rPr/>
      </w:pPr>
      <w:r>
        <w:rPr/>
        <w:tab/>
        <w:t xml:space="preserve">В 2021 году  созданы Центры образования гуманитарного и цифрового профилей «Точка роста» на базе МБОУ «Большечурашевская СОШ» и МБОУ «Селоядринская СОШ». </w:t>
      </w:r>
    </w:p>
    <w:p>
      <w:pPr>
        <w:pStyle w:val="Style13"/>
        <w:spacing w:lineRule="atLeast" w:line="11"/>
        <w:jc w:val="both"/>
        <w:rPr/>
      </w:pPr>
      <w:r>
        <w:rPr/>
        <w:tab/>
        <w:t>Горячее двухразовое питание организовано во всех школах. В 2020-2021 учебном году  горячим питанием охвачено 99,7 % учащихся школ района. Все учащиеся 1-4 классов школ района охвачены бесплатным одноразовым горячим питанием.</w:t>
      </w:r>
    </w:p>
    <w:p>
      <w:pPr>
        <w:pStyle w:val="Style13"/>
        <w:spacing w:lineRule="atLeast" w:line="11"/>
        <w:jc w:val="both"/>
        <w:rPr/>
      </w:pPr>
      <w:r>
        <w:rPr/>
        <w:tab/>
        <w:t>Проблемные вопросы и рекомендации по их решению</w:t>
      </w:r>
    </w:p>
    <w:p>
      <w:pPr>
        <w:pStyle w:val="Style13"/>
        <w:spacing w:lineRule="atLeast" w:line="11"/>
        <w:jc w:val="both"/>
        <w:rPr/>
      </w:pPr>
      <w:r>
        <w:rPr/>
        <w:t>О</w:t>
        <w:tab/>
        <w:t>сновной проблемой в развитии инфраструктуры муниципальной системы образования являются: недостаточный приток молодых педагогов в систему образования района, уменьшение количества детей в сельской местности.</w:t>
      </w:r>
    </w:p>
    <w:p>
      <w:pPr>
        <w:pStyle w:val="Style13"/>
        <w:spacing w:lineRule="atLeast" w:line="11"/>
        <w:jc w:val="both"/>
        <w:rPr/>
      </w:pPr>
      <w:r>
        <w:rPr/>
        <w:tab/>
        <w:t>Меры по решению основной проблемы:</w:t>
      </w:r>
    </w:p>
    <w:p>
      <w:pPr>
        <w:pStyle w:val="Style13"/>
        <w:spacing w:lineRule="atLeast" w:line="11"/>
        <w:jc w:val="both"/>
        <w:rPr/>
      </w:pPr>
      <w:r>
        <w:rPr/>
        <w:tab/>
        <w:t xml:space="preserve">Во исполнение постановлений Ядринской районной администрации №425 от 19.08.2016 г. «О внесении изменений и дополнений  в постановление Ядринской районной администрации Чувашской Республики от 30.09.2013 № 715» и №507 от 09.07.2018 «О внесении изменений в постановление Ядринской районной администрации Чувашской Республики от 30.09.2013 № 715» педагогическим работникам, которые являются молодыми специалистами, в 5 раз увеличен коэффициент к должностному окладу до наступления стажа 3 года. Кроме того, молодым специалистам, принятым на работу с 1 июня 2016 года, однократно выплачивается единовременное денежное пособие в размере 10 окладов. </w:t>
      </w:r>
    </w:p>
    <w:p>
      <w:pPr>
        <w:pStyle w:val="Style13"/>
        <w:spacing w:lineRule="atLeast" w:line="11"/>
        <w:jc w:val="both"/>
        <w:rPr/>
      </w:pPr>
      <w:r>
        <w:rPr/>
        <w:t>Муниципальной программой Ядринского района Чувашской Республики «Развитие образования» ежегодно в течение 5 лет в качестве материальной поддержки предусматривается денежная выплата молодым специалистам в сумме 20 000 рублей.</w:t>
      </w:r>
    </w:p>
    <w:p>
      <w:pPr>
        <w:pStyle w:val="Style13"/>
        <w:spacing w:lineRule="atLeast" w:line="11"/>
        <w:jc w:val="both"/>
        <w:rPr/>
      </w:pPr>
      <w:r>
        <w:rPr/>
        <w:tab/>
        <w:t xml:space="preserve">В целях обеспечения педагогическими кадрами на основании договора с Чувашским государственным педагогическим университетом им. И.Я. Яковлева ежегодно на обучение направляются выпускники  общеобразовательных школ района. С ними заключаются четырехсторонние договоры, предусматривающие выплату стипендии из бюджета района в сумме 1 тыс. рублей в течение двух последних лет обучения в вузе. </w:t>
      </w:r>
    </w:p>
    <w:p>
      <w:pPr>
        <w:pStyle w:val="Style13"/>
        <w:spacing w:lineRule="atLeast" w:line="11"/>
        <w:jc w:val="both"/>
        <w:rPr/>
      </w:pPr>
      <w:r>
        <w:rPr/>
        <w:tab/>
        <w:t xml:space="preserve">Планы на 2021 гг.: </w:t>
      </w:r>
    </w:p>
    <w:p>
      <w:pPr>
        <w:pStyle w:val="Style13"/>
        <w:spacing w:lineRule="atLeast" w:line="11"/>
        <w:jc w:val="both"/>
        <w:rPr/>
      </w:pPr>
      <w:r>
        <w:rPr/>
        <w:t>1.Капитальный ремонт МАОУ «СОШ №3 г.Ядрина» (2021-2022 г.);</w:t>
      </w:r>
    </w:p>
    <w:p>
      <w:pPr>
        <w:pStyle w:val="Style13"/>
        <w:spacing w:lineRule="atLeast" w:line="11"/>
        <w:jc w:val="both"/>
        <w:rPr/>
      </w:pPr>
      <w:r>
        <w:rPr/>
        <w:t>2.Завершение капитального ремонта  МАДОУ « Детский сад «Аленушка» г.Ядрин;</w:t>
      </w:r>
    </w:p>
    <w:p>
      <w:pPr>
        <w:pStyle w:val="Style13"/>
        <w:spacing w:lineRule="atLeast" w:line="11"/>
        <w:jc w:val="both"/>
        <w:rPr/>
      </w:pPr>
      <w:r>
        <w:rPr/>
        <w:t>3.Завершение капитального ремонта спортивного зала МАОУ СОШ №3 г.Ядрина;</w:t>
      </w:r>
    </w:p>
    <w:p>
      <w:pPr>
        <w:pStyle w:val="Style13"/>
        <w:spacing w:lineRule="atLeast" w:line="11"/>
        <w:jc w:val="both"/>
        <w:rPr/>
      </w:pPr>
      <w:r>
        <w:rPr/>
        <w:t>4.Закупка оборудования для кабинетов «Точки роста».</w:t>
      </w:r>
    </w:p>
    <w:p>
      <w:pPr>
        <w:pStyle w:val="Style13"/>
        <w:spacing w:lineRule="atLeast" w:line="11"/>
        <w:jc w:val="both"/>
        <w:rPr/>
      </w:pPr>
      <w:r>
        <w:rPr/>
        <w:t>5. Начать уточнение ПСД для капитального ремонта МБОУ «Гимназия №1» г.Ядрина.</w:t>
      </w:r>
    </w:p>
    <w:p>
      <w:pPr>
        <w:pStyle w:val="Style13"/>
        <w:spacing w:lineRule="atLeast" w:line="11"/>
        <w:jc w:val="both"/>
        <w:rPr/>
      </w:pPr>
      <w:r>
        <w:rPr/>
        <w:tab/>
        <w:t>Информация о деятельности в сфере культуры</w:t>
      </w:r>
    </w:p>
    <w:p>
      <w:pPr>
        <w:pStyle w:val="Style13"/>
        <w:spacing w:lineRule="atLeast" w:line="11"/>
        <w:jc w:val="both"/>
        <w:rPr/>
      </w:pPr>
      <w:r>
        <w:rPr/>
        <w:tab/>
        <w:t xml:space="preserve">В 2021 году начался 2-ой этап реставрационных работ объекта культурного наследия «Здание глазной лечебницы, 1911 г.», (ныне - Ядринский художественно-краеведческий музей — 12 млн 960 тыс. руб.), которые завершаться до конца октября текущего года. В июне этого года завершен 2-ой этап ремонта здания Ядринской центральной библиотеки (более 3 млн.), запланировано комплектование книжного фонда (200 тыс. руб.). Также, планируется провести реставрационные работы объекта культурного наследия «Дом, в котором родился Н.И. Ашмарин» (более 10 млн. руб.), по данному направлению разрабатывается проектно-сметная документация. </w:t>
      </w:r>
    </w:p>
    <w:p>
      <w:pPr>
        <w:pStyle w:val="Style13"/>
        <w:spacing w:lineRule="atLeast" w:line="11"/>
        <w:jc w:val="both"/>
        <w:rPr/>
      </w:pPr>
      <w:r>
        <w:rPr/>
        <w:tab/>
        <w:t>Ядринский район ЧР в 2020 году победил в федеральном конкурсе «Виртуальный концертный зал». На реализацию проекта в Ядринском РДК в 2021 году выделены средства — 2,5 млн. руб, подписано соглашение с Министерством культуры Чувашии. В настоящее время заключен контракт подрядчиком ООО «ОВЕРОН СТЕЙДЖ» (г. Москва), который уже поставил и провел монтажные работы по установке оборудования на сумму 1 812 500 руб. На оставшиеся от экономии средства также заключены контракты по поставке и установке дополнительного оборудования. 25 августа состоялось торжественное открытие, в котором приняла участие министр культуры, по делам национальностей и архивного дела Чувашской Республики Светлана Каликова.</w:t>
      </w:r>
    </w:p>
    <w:p>
      <w:pPr>
        <w:pStyle w:val="Style13"/>
        <w:spacing w:lineRule="atLeast" w:line="11"/>
        <w:jc w:val="both"/>
        <w:rPr/>
      </w:pPr>
      <w:r>
        <w:rPr/>
        <w:tab/>
        <w:t>В соответствии с федеральной целевой программой «Увековечение памяти погибших при защите Отечества на 2019-2024 годы» и письмом Министерства культуры, по делам национальностей и архивного дела Чувашской Республики от 12.10.2020 № 06/17-7277, были утверждено распределение субсидий бюджету Ядринского района Чувашской Республики в 2021 году на благоустройство воинских захоронений, находящиеся на территории Кильдишевского и Стрелецкого сельских поселений: Ядринского района Чувашской Республики (200 тыс руб.). Проведены электронные торги, заключены договора с подрядчиками. В Кильдишевском сельском поселении работы завершены, в Стрелецком сельском поселении - до конца октября 2021 года.</w:t>
      </w:r>
    </w:p>
    <w:p>
      <w:pPr>
        <w:pStyle w:val="Style13"/>
        <w:spacing w:lineRule="atLeast" w:line="11"/>
        <w:jc w:val="both"/>
        <w:rPr/>
      </w:pPr>
      <w:r>
        <w:rPr>
          <w:lang w:val="ru-RU"/>
        </w:rPr>
        <w:tab/>
        <w:t xml:space="preserve">В рамках </w:t>
      </w:r>
      <w:r>
        <w:rPr>
          <w:lang w:val="ru-RU" w:eastAsia="en-US"/>
        </w:rPr>
        <w:t xml:space="preserve">проекта «Местный дом культуры» на модернизацию </w:t>
      </w:r>
      <w:r>
        <w:rPr>
          <w:lang w:val="ru-RU" w:eastAsia="ru-RU"/>
        </w:rPr>
        <w:t>материально-технической базы прошли Советский СДК и Чебаковский СДК выделено 1 млн 209 тыс руб.  Заключен контракт с подрядной организацией ООО «Гарант» на ремонт помещений Чебаковского СДК, ремонтные работы завершены. На поставку музыкального оборудования для Советского СДК проведены электронные торги, заключены договора с подрядчиками. На пошив сценических костюмов заключен прямой договор на сумму 100 тыс. руб., услуги уже оплачены, костюмы предоставлены.</w:t>
      </w:r>
    </w:p>
    <w:p>
      <w:pPr>
        <w:pStyle w:val="Style13"/>
        <w:spacing w:lineRule="atLeast" w:line="11"/>
        <w:jc w:val="both"/>
        <w:rPr/>
      </w:pPr>
      <w:r>
        <w:rPr/>
        <w:tab/>
        <w:t>Кроме этого, ведется подготовительная работа по сбору документации на строительство в с. Ядрино и с. Большое Чурашево социально-культурных центров.</w:t>
      </w:r>
    </w:p>
    <w:p>
      <w:pPr>
        <w:pStyle w:val="Style13"/>
        <w:spacing w:lineRule="atLeast" w:line="11"/>
        <w:jc w:val="both"/>
        <w:rPr/>
      </w:pPr>
      <w:r>
        <w:rPr/>
        <w:t>Также требуется продолжение ремонта в Кукшумском, Персирланском и Стрелецком СДК. Требуется решить вопрос по благоустройству прилегающей территории к Ядринскому районному Дому культуры. По данным проблемным вопросам ведется соответствующая работа.</w:t>
      </w:r>
    </w:p>
    <w:p>
      <w:pPr>
        <w:pStyle w:val="Style13"/>
        <w:spacing w:lineRule="atLeast" w:line="11"/>
        <w:jc w:val="both"/>
        <w:rPr/>
      </w:pPr>
      <w:r>
        <w:rPr/>
        <w:tab/>
        <w:t>Кроме этого, ведется подготовительная работа по сбору документации на строительство в с. Ядрино и с. Большое Чурашево социально-культурных центров.</w:t>
      </w:r>
    </w:p>
    <w:p>
      <w:pPr>
        <w:pStyle w:val="Style13"/>
        <w:spacing w:lineRule="atLeast" w:line="11"/>
        <w:jc w:val="both"/>
        <w:rPr/>
      </w:pPr>
      <w:r>
        <w:rPr/>
        <w:t>Также требуется продолжение ремонта в Кукшумском, Персирланском и Стрелецком СДК. Требуется решить вопрос по благоустройству прилегающей территории к Ядринскому районному Дому культуры. По данным проблемным вопросам ведется соответствующая работа.</w:t>
      </w:r>
    </w:p>
    <w:p>
      <w:pPr>
        <w:pStyle w:val="Style13"/>
        <w:spacing w:lineRule="atLeast" w:line="11"/>
        <w:jc w:val="both"/>
        <w:rPr/>
      </w:pPr>
      <w:r>
        <w:rPr/>
        <w:tab/>
      </w:r>
    </w:p>
    <w:p>
      <w:pPr>
        <w:pStyle w:val="Style13"/>
        <w:spacing w:lineRule="atLeast" w:line="11"/>
        <w:jc w:val="both"/>
        <w:rPr/>
      </w:pPr>
      <w:r>
        <w:rPr/>
        <w:t>Отдел экономики и промышленности</w:t>
      </w:r>
    </w:p>
    <w:p>
      <w:pPr>
        <w:pStyle w:val="Style13"/>
        <w:spacing w:lineRule="atLeast" w:line="11"/>
        <w:jc w:val="both"/>
        <w:rPr/>
      </w:pPr>
      <w:r>
        <w:rPr/>
        <w:t>Ядринской районной администрации</w:t>
      </w:r>
    </w:p>
    <w:sectPr>
      <w:type w:val="nextPage"/>
      <w:pgSz w:w="11906" w:h="16838"/>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imesET">
    <w:altName w:val="Times New Roman"/>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17"/>
  <w:displayBackgroundShape/>
  <w:defaultTabStop w:val="4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04b"/>
    <w:pPr>
      <w:widowControl/>
      <w:suppressAutoHyphens w:val="true"/>
      <w:bidi w:val="0"/>
      <w:spacing w:before="0" w:after="0"/>
      <w:jc w:val="left"/>
    </w:pPr>
    <w:rPr>
      <w:rFonts w:ascii="Calibri" w:hAnsi="Calibri" w:eastAsia="Times New Roman" w:cs="Calibri"/>
      <w:color w:val="auto"/>
      <w:kern w:val="0"/>
      <w:sz w:val="24"/>
      <w:szCs w:val="24"/>
      <w:lang w:val="en-US" w:eastAsia="zh-CN" w:bidi="en-US"/>
    </w:rPr>
  </w:style>
  <w:style w:type="paragraph" w:styleId="1" w:customStyle="1">
    <w:name w:val="Heading 1"/>
    <w:basedOn w:val="Normal"/>
    <w:next w:val="Normal"/>
    <w:qFormat/>
    <w:rsid w:val="0051004b"/>
    <w:pPr>
      <w:keepNext w:val="true"/>
      <w:numPr>
        <w:ilvl w:val="0"/>
        <w:numId w:val="1"/>
      </w:numPr>
      <w:spacing w:before="240" w:after="60"/>
      <w:outlineLvl w:val="0"/>
    </w:pPr>
    <w:rPr>
      <w:rFonts w:ascii="Cambria" w:hAnsi="Cambria" w:cs="Cambria"/>
      <w:b/>
      <w:bCs/>
      <w:kern w:val="2"/>
      <w:sz w:val="32"/>
      <w:szCs w:val="32"/>
    </w:rPr>
  </w:style>
  <w:style w:type="paragraph" w:styleId="2" w:customStyle="1">
    <w:name w:val="Heading 2"/>
    <w:basedOn w:val="Normal"/>
    <w:next w:val="Normal"/>
    <w:qFormat/>
    <w:rsid w:val="0051004b"/>
    <w:pPr>
      <w:keepNext w:val="true"/>
      <w:numPr>
        <w:ilvl w:val="1"/>
        <w:numId w:val="1"/>
      </w:numPr>
      <w:spacing w:before="240" w:after="60"/>
      <w:outlineLvl w:val="1"/>
    </w:pPr>
    <w:rPr>
      <w:rFonts w:ascii="Cambria" w:hAnsi="Cambria" w:cs="Cambria"/>
      <w:b/>
      <w:bCs/>
      <w:i/>
      <w:iCs/>
      <w:sz w:val="28"/>
      <w:szCs w:val="28"/>
    </w:rPr>
  </w:style>
  <w:style w:type="paragraph" w:styleId="3" w:customStyle="1">
    <w:name w:val="Heading 3"/>
    <w:basedOn w:val="Normal"/>
    <w:next w:val="Normal"/>
    <w:qFormat/>
    <w:rsid w:val="0051004b"/>
    <w:pPr>
      <w:keepNext w:val="true"/>
      <w:numPr>
        <w:ilvl w:val="2"/>
        <w:numId w:val="1"/>
      </w:numPr>
      <w:spacing w:before="240" w:after="60"/>
      <w:outlineLvl w:val="2"/>
    </w:pPr>
    <w:rPr>
      <w:rFonts w:ascii="Cambria" w:hAnsi="Cambria" w:cs="Cambria"/>
      <w:b/>
      <w:bCs/>
      <w:sz w:val="26"/>
      <w:szCs w:val="26"/>
    </w:rPr>
  </w:style>
  <w:style w:type="paragraph" w:styleId="4" w:customStyle="1">
    <w:name w:val="Heading 4"/>
    <w:basedOn w:val="Normal"/>
    <w:next w:val="Normal"/>
    <w:qFormat/>
    <w:rsid w:val="0051004b"/>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51004b"/>
    <w:pPr>
      <w:numPr>
        <w:ilvl w:val="4"/>
        <w:numId w:val="1"/>
      </w:numPr>
      <w:spacing w:before="240" w:after="60"/>
      <w:outlineLvl w:val="4"/>
    </w:pPr>
    <w:rPr>
      <w:b/>
      <w:bCs/>
      <w:i/>
      <w:iCs/>
      <w:sz w:val="26"/>
      <w:szCs w:val="26"/>
    </w:rPr>
  </w:style>
  <w:style w:type="paragraph" w:styleId="6" w:customStyle="1">
    <w:name w:val="Heading 6"/>
    <w:basedOn w:val="Normal"/>
    <w:next w:val="Normal"/>
    <w:qFormat/>
    <w:rsid w:val="0051004b"/>
    <w:pPr>
      <w:numPr>
        <w:ilvl w:val="5"/>
        <w:numId w:val="1"/>
      </w:numPr>
      <w:spacing w:before="240" w:after="60"/>
      <w:outlineLvl w:val="5"/>
    </w:pPr>
    <w:rPr>
      <w:b/>
      <w:bCs/>
      <w:sz w:val="22"/>
      <w:szCs w:val="22"/>
    </w:rPr>
  </w:style>
  <w:style w:type="paragraph" w:styleId="7" w:customStyle="1">
    <w:name w:val="Heading 7"/>
    <w:basedOn w:val="Normal"/>
    <w:next w:val="Normal"/>
    <w:qFormat/>
    <w:rsid w:val="0051004b"/>
    <w:pPr>
      <w:numPr>
        <w:ilvl w:val="6"/>
        <w:numId w:val="1"/>
      </w:numPr>
      <w:spacing w:before="240" w:after="60"/>
      <w:outlineLvl w:val="6"/>
    </w:pPr>
    <w:rPr/>
  </w:style>
  <w:style w:type="paragraph" w:styleId="8" w:customStyle="1">
    <w:name w:val="Heading 8"/>
    <w:basedOn w:val="Normal"/>
    <w:next w:val="Normal"/>
    <w:qFormat/>
    <w:rsid w:val="0051004b"/>
    <w:pPr>
      <w:numPr>
        <w:ilvl w:val="7"/>
        <w:numId w:val="1"/>
      </w:numPr>
      <w:spacing w:before="240" w:after="60"/>
      <w:outlineLvl w:val="7"/>
    </w:pPr>
    <w:rPr>
      <w:i/>
      <w:iCs/>
    </w:rPr>
  </w:style>
  <w:style w:type="paragraph" w:styleId="9" w:customStyle="1">
    <w:name w:val="Heading 9"/>
    <w:basedOn w:val="Normal"/>
    <w:next w:val="Normal"/>
    <w:qFormat/>
    <w:rsid w:val="0051004b"/>
    <w:pPr>
      <w:numPr>
        <w:ilvl w:val="8"/>
        <w:numId w:val="1"/>
      </w:numPr>
      <w:spacing w:before="240" w:after="60"/>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51004b"/>
    <w:rPr/>
  </w:style>
  <w:style w:type="character" w:styleId="WW8Num1z1" w:customStyle="1">
    <w:name w:val="WW8Num1z1"/>
    <w:qFormat/>
    <w:rsid w:val="0051004b"/>
    <w:rPr/>
  </w:style>
  <w:style w:type="character" w:styleId="WW8Num1z2" w:customStyle="1">
    <w:name w:val="WW8Num1z2"/>
    <w:qFormat/>
    <w:rsid w:val="0051004b"/>
    <w:rPr/>
  </w:style>
  <w:style w:type="character" w:styleId="WW8Num1z3" w:customStyle="1">
    <w:name w:val="WW8Num1z3"/>
    <w:qFormat/>
    <w:rsid w:val="0051004b"/>
    <w:rPr/>
  </w:style>
  <w:style w:type="character" w:styleId="WW8Num1z4" w:customStyle="1">
    <w:name w:val="WW8Num1z4"/>
    <w:qFormat/>
    <w:rsid w:val="0051004b"/>
    <w:rPr/>
  </w:style>
  <w:style w:type="character" w:styleId="WW8Num1z5" w:customStyle="1">
    <w:name w:val="WW8Num1z5"/>
    <w:qFormat/>
    <w:rsid w:val="0051004b"/>
    <w:rPr/>
  </w:style>
  <w:style w:type="character" w:styleId="WW8Num1z6" w:customStyle="1">
    <w:name w:val="WW8Num1z6"/>
    <w:qFormat/>
    <w:rsid w:val="0051004b"/>
    <w:rPr/>
  </w:style>
  <w:style w:type="character" w:styleId="WW8Num1z7" w:customStyle="1">
    <w:name w:val="WW8Num1z7"/>
    <w:qFormat/>
    <w:rsid w:val="0051004b"/>
    <w:rPr/>
  </w:style>
  <w:style w:type="character" w:styleId="WW8Num1z8" w:customStyle="1">
    <w:name w:val="WW8Num1z8"/>
    <w:qFormat/>
    <w:rsid w:val="0051004b"/>
    <w:rPr/>
  </w:style>
  <w:style w:type="character" w:styleId="WW8Num2z0" w:customStyle="1">
    <w:name w:val="WW8Num2z0"/>
    <w:qFormat/>
    <w:rsid w:val="0051004b"/>
    <w:rPr>
      <w:rFonts w:ascii="Times New Roman" w:hAnsi="Times New Roman" w:eastAsia="Calibri" w:cs="Times New Roman"/>
      <w:b w:val="false"/>
      <w:bCs w:val="false"/>
      <w:i w:val="false"/>
      <w:iCs w:val="false"/>
      <w:color w:val="000000"/>
      <w:sz w:val="26"/>
      <w:szCs w:val="26"/>
    </w:rPr>
  </w:style>
  <w:style w:type="character" w:styleId="WW8Num2z1" w:customStyle="1">
    <w:name w:val="WW8Num2z1"/>
    <w:qFormat/>
    <w:rsid w:val="0051004b"/>
    <w:rPr/>
  </w:style>
  <w:style w:type="character" w:styleId="WW8Num2z2" w:customStyle="1">
    <w:name w:val="WW8Num2z2"/>
    <w:qFormat/>
    <w:rsid w:val="0051004b"/>
    <w:rPr/>
  </w:style>
  <w:style w:type="character" w:styleId="WW8Num2z3" w:customStyle="1">
    <w:name w:val="WW8Num2z3"/>
    <w:qFormat/>
    <w:rsid w:val="0051004b"/>
    <w:rPr/>
  </w:style>
  <w:style w:type="character" w:styleId="WW8Num2z4" w:customStyle="1">
    <w:name w:val="WW8Num2z4"/>
    <w:qFormat/>
    <w:rsid w:val="0051004b"/>
    <w:rPr/>
  </w:style>
  <w:style w:type="character" w:styleId="WW8Num2z5" w:customStyle="1">
    <w:name w:val="WW8Num2z5"/>
    <w:qFormat/>
    <w:rsid w:val="0051004b"/>
    <w:rPr/>
  </w:style>
  <w:style w:type="character" w:styleId="WW8Num2z6" w:customStyle="1">
    <w:name w:val="WW8Num2z6"/>
    <w:qFormat/>
    <w:rsid w:val="0051004b"/>
    <w:rPr/>
  </w:style>
  <w:style w:type="character" w:styleId="WW8Num2z7" w:customStyle="1">
    <w:name w:val="WW8Num2z7"/>
    <w:qFormat/>
    <w:rsid w:val="0051004b"/>
    <w:rPr/>
  </w:style>
  <w:style w:type="character" w:styleId="WW8Num2z8" w:customStyle="1">
    <w:name w:val="WW8Num2z8"/>
    <w:qFormat/>
    <w:rsid w:val="0051004b"/>
    <w:rPr/>
  </w:style>
  <w:style w:type="character" w:styleId="WW8Num3z0" w:customStyle="1">
    <w:name w:val="WW8Num3z0"/>
    <w:qFormat/>
    <w:rsid w:val="0051004b"/>
    <w:rPr>
      <w:rFonts w:ascii="OpenSymbol" w:hAnsi="OpenSymbol" w:eastAsia="OpenSymbol" w:cs="OpenSymbol"/>
    </w:rPr>
  </w:style>
  <w:style w:type="character" w:styleId="WW8Num4z0" w:customStyle="1">
    <w:name w:val="WW8Num4z0"/>
    <w:qFormat/>
    <w:rsid w:val="0051004b"/>
    <w:rPr/>
  </w:style>
  <w:style w:type="character" w:styleId="WW8Num4z1" w:customStyle="1">
    <w:name w:val="WW8Num4z1"/>
    <w:qFormat/>
    <w:rsid w:val="0051004b"/>
    <w:rPr/>
  </w:style>
  <w:style w:type="character" w:styleId="WW8Num4z2" w:customStyle="1">
    <w:name w:val="WW8Num4z2"/>
    <w:qFormat/>
    <w:rsid w:val="0051004b"/>
    <w:rPr/>
  </w:style>
  <w:style w:type="character" w:styleId="WW8Num4z3" w:customStyle="1">
    <w:name w:val="WW8Num4z3"/>
    <w:qFormat/>
    <w:rsid w:val="0051004b"/>
    <w:rPr/>
  </w:style>
  <w:style w:type="character" w:styleId="WW8Num4z4" w:customStyle="1">
    <w:name w:val="WW8Num4z4"/>
    <w:qFormat/>
    <w:rsid w:val="0051004b"/>
    <w:rPr/>
  </w:style>
  <w:style w:type="character" w:styleId="WW8Num4z5" w:customStyle="1">
    <w:name w:val="WW8Num4z5"/>
    <w:qFormat/>
    <w:rsid w:val="0051004b"/>
    <w:rPr/>
  </w:style>
  <w:style w:type="character" w:styleId="WW8Num4z6" w:customStyle="1">
    <w:name w:val="WW8Num4z6"/>
    <w:qFormat/>
    <w:rsid w:val="0051004b"/>
    <w:rPr/>
  </w:style>
  <w:style w:type="character" w:styleId="WW8Num4z7" w:customStyle="1">
    <w:name w:val="WW8Num4z7"/>
    <w:qFormat/>
    <w:rsid w:val="0051004b"/>
    <w:rPr/>
  </w:style>
  <w:style w:type="character" w:styleId="WW8Num4z8" w:customStyle="1">
    <w:name w:val="WW8Num4z8"/>
    <w:qFormat/>
    <w:rsid w:val="0051004b"/>
    <w:rPr/>
  </w:style>
  <w:style w:type="character" w:styleId="WW8Num5z0" w:customStyle="1">
    <w:name w:val="WW8Num5z0"/>
    <w:qFormat/>
    <w:rsid w:val="0051004b"/>
    <w:rPr>
      <w:rFonts w:ascii="OpenSymbol" w:hAnsi="OpenSymbol" w:eastAsia="OpenSymbol" w:cs="OpenSymbol"/>
    </w:rPr>
  </w:style>
  <w:style w:type="character" w:styleId="WW8Num6z0" w:customStyle="1">
    <w:name w:val="WW8Num6z0"/>
    <w:qFormat/>
    <w:rsid w:val="0051004b"/>
    <w:rPr>
      <w:rFonts w:ascii="Symbol" w:hAnsi="Symbol" w:cs="Symbol"/>
      <w:sz w:val="20"/>
    </w:rPr>
  </w:style>
  <w:style w:type="character" w:styleId="WW8Num6z1" w:customStyle="1">
    <w:name w:val="WW8Num6z1"/>
    <w:qFormat/>
    <w:rsid w:val="0051004b"/>
    <w:rPr>
      <w:rFonts w:ascii="Courier New" w:hAnsi="Courier New" w:cs="Courier New"/>
      <w:sz w:val="20"/>
    </w:rPr>
  </w:style>
  <w:style w:type="character" w:styleId="WW8Num6z2" w:customStyle="1">
    <w:name w:val="WW8Num6z2"/>
    <w:qFormat/>
    <w:rsid w:val="0051004b"/>
    <w:rPr>
      <w:rFonts w:ascii="Wingdings" w:hAnsi="Wingdings" w:cs="Wingdings"/>
      <w:sz w:val="20"/>
    </w:rPr>
  </w:style>
  <w:style w:type="character" w:styleId="WW8Num7z0" w:customStyle="1">
    <w:name w:val="WW8Num7z0"/>
    <w:qFormat/>
    <w:rsid w:val="0051004b"/>
    <w:rPr>
      <w:rFonts w:ascii="Symbol" w:hAnsi="Symbol" w:cs="Symbol"/>
      <w:sz w:val="20"/>
    </w:rPr>
  </w:style>
  <w:style w:type="character" w:styleId="WW8Num7z1" w:customStyle="1">
    <w:name w:val="WW8Num7z1"/>
    <w:qFormat/>
    <w:rsid w:val="0051004b"/>
    <w:rPr>
      <w:rFonts w:ascii="Courier New" w:hAnsi="Courier New" w:cs="Courier New"/>
      <w:sz w:val="20"/>
    </w:rPr>
  </w:style>
  <w:style w:type="character" w:styleId="WW8Num7z2" w:customStyle="1">
    <w:name w:val="WW8Num7z2"/>
    <w:qFormat/>
    <w:rsid w:val="0051004b"/>
    <w:rPr>
      <w:rFonts w:ascii="Wingdings" w:hAnsi="Wingdings" w:cs="Wingdings"/>
      <w:sz w:val="20"/>
    </w:rPr>
  </w:style>
  <w:style w:type="character" w:styleId="31" w:customStyle="1">
    <w:name w:val="Основной шрифт абзаца3"/>
    <w:qFormat/>
    <w:rsid w:val="0051004b"/>
    <w:rPr/>
  </w:style>
  <w:style w:type="character" w:styleId="WW8Num3z1" w:customStyle="1">
    <w:name w:val="WW8Num3z1"/>
    <w:qFormat/>
    <w:rsid w:val="0051004b"/>
    <w:rPr/>
  </w:style>
  <w:style w:type="character" w:styleId="WW8Num3z2" w:customStyle="1">
    <w:name w:val="WW8Num3z2"/>
    <w:qFormat/>
    <w:rsid w:val="0051004b"/>
    <w:rPr/>
  </w:style>
  <w:style w:type="character" w:styleId="WW8Num3z3" w:customStyle="1">
    <w:name w:val="WW8Num3z3"/>
    <w:qFormat/>
    <w:rsid w:val="0051004b"/>
    <w:rPr/>
  </w:style>
  <w:style w:type="character" w:styleId="WW8Num3z4" w:customStyle="1">
    <w:name w:val="WW8Num3z4"/>
    <w:qFormat/>
    <w:rsid w:val="0051004b"/>
    <w:rPr/>
  </w:style>
  <w:style w:type="character" w:styleId="WW8Num3z5" w:customStyle="1">
    <w:name w:val="WW8Num3z5"/>
    <w:qFormat/>
    <w:rsid w:val="0051004b"/>
    <w:rPr/>
  </w:style>
  <w:style w:type="character" w:styleId="WW8Num3z6" w:customStyle="1">
    <w:name w:val="WW8Num3z6"/>
    <w:qFormat/>
    <w:rsid w:val="0051004b"/>
    <w:rPr/>
  </w:style>
  <w:style w:type="character" w:styleId="WW8Num3z7" w:customStyle="1">
    <w:name w:val="WW8Num3z7"/>
    <w:qFormat/>
    <w:rsid w:val="0051004b"/>
    <w:rPr/>
  </w:style>
  <w:style w:type="character" w:styleId="WW8Num3z8" w:customStyle="1">
    <w:name w:val="WW8Num3z8"/>
    <w:qFormat/>
    <w:rsid w:val="0051004b"/>
    <w:rPr/>
  </w:style>
  <w:style w:type="character" w:styleId="WW8Num5z1" w:customStyle="1">
    <w:name w:val="WW8Num5z1"/>
    <w:qFormat/>
    <w:rsid w:val="0051004b"/>
    <w:rPr/>
  </w:style>
  <w:style w:type="character" w:styleId="WW8Num5z2" w:customStyle="1">
    <w:name w:val="WW8Num5z2"/>
    <w:qFormat/>
    <w:rsid w:val="0051004b"/>
    <w:rPr/>
  </w:style>
  <w:style w:type="character" w:styleId="WW8Num5z3" w:customStyle="1">
    <w:name w:val="WW8Num5z3"/>
    <w:qFormat/>
    <w:rsid w:val="0051004b"/>
    <w:rPr/>
  </w:style>
  <w:style w:type="character" w:styleId="WW8Num5z4" w:customStyle="1">
    <w:name w:val="WW8Num5z4"/>
    <w:qFormat/>
    <w:rsid w:val="0051004b"/>
    <w:rPr/>
  </w:style>
  <w:style w:type="character" w:styleId="WW8Num5z5" w:customStyle="1">
    <w:name w:val="WW8Num5z5"/>
    <w:qFormat/>
    <w:rsid w:val="0051004b"/>
    <w:rPr/>
  </w:style>
  <w:style w:type="character" w:styleId="WW8Num5z6" w:customStyle="1">
    <w:name w:val="WW8Num5z6"/>
    <w:qFormat/>
    <w:rsid w:val="0051004b"/>
    <w:rPr/>
  </w:style>
  <w:style w:type="character" w:styleId="WW8Num5z7" w:customStyle="1">
    <w:name w:val="WW8Num5z7"/>
    <w:qFormat/>
    <w:rsid w:val="0051004b"/>
    <w:rPr/>
  </w:style>
  <w:style w:type="character" w:styleId="WW8Num5z8" w:customStyle="1">
    <w:name w:val="WW8Num5z8"/>
    <w:qFormat/>
    <w:rsid w:val="0051004b"/>
    <w:rPr/>
  </w:style>
  <w:style w:type="character" w:styleId="21" w:customStyle="1">
    <w:name w:val="Основной шрифт абзаца2"/>
    <w:qFormat/>
    <w:rsid w:val="0051004b"/>
    <w:rPr/>
  </w:style>
  <w:style w:type="character" w:styleId="Style5" w:customStyle="1">
    <w:name w:val="Интернет-ссылка"/>
    <w:basedOn w:val="21"/>
    <w:rsid w:val="0051004b"/>
    <w:rPr>
      <w:rFonts w:cs="Times New Roman"/>
      <w:color w:val="000000"/>
      <w:u w:val="none"/>
    </w:rPr>
  </w:style>
  <w:style w:type="character" w:styleId="32" w:customStyle="1">
    <w:name w:val="Знак Знак3"/>
    <w:basedOn w:val="21"/>
    <w:qFormat/>
    <w:rsid w:val="0051004b"/>
    <w:rPr>
      <w:sz w:val="28"/>
      <w:szCs w:val="24"/>
      <w:lang w:val="ru-RU" w:bidi="ar-SA"/>
    </w:rPr>
  </w:style>
  <w:style w:type="character" w:styleId="HTMLCode">
    <w:name w:val="HTML Code"/>
    <w:basedOn w:val="21"/>
    <w:qFormat/>
    <w:rsid w:val="0051004b"/>
    <w:rPr>
      <w:rFonts w:ascii="Courier New" w:hAnsi="Courier New" w:cs="Courier New"/>
      <w:sz w:val="20"/>
      <w:szCs w:val="20"/>
    </w:rPr>
  </w:style>
  <w:style w:type="character" w:styleId="22" w:customStyle="1">
    <w:name w:val="Знак Знак2"/>
    <w:basedOn w:val="21"/>
    <w:qFormat/>
    <w:rsid w:val="0051004b"/>
    <w:rPr>
      <w:lang w:val="ru-RU" w:bidi="ar-SA"/>
    </w:rPr>
  </w:style>
  <w:style w:type="character" w:styleId="11" w:customStyle="1">
    <w:name w:val="Знак Знак1"/>
    <w:basedOn w:val="21"/>
    <w:qFormat/>
    <w:rsid w:val="0051004b"/>
    <w:rPr>
      <w:rFonts w:ascii="Courier New" w:hAnsi="Courier New" w:cs="Courier New"/>
      <w:lang w:val="ru-RU" w:bidi="ar-SA"/>
    </w:rPr>
  </w:style>
  <w:style w:type="character" w:styleId="Style6" w:customStyle="1">
    <w:name w:val="Выделение жирным"/>
    <w:basedOn w:val="DefaultParagraphFont"/>
    <w:qFormat/>
    <w:rsid w:val="0051004b"/>
    <w:rPr>
      <w:b/>
      <w:bCs/>
    </w:rPr>
  </w:style>
  <w:style w:type="character" w:styleId="12" w:customStyle="1">
    <w:name w:val="Основной шрифт абзаца1"/>
    <w:qFormat/>
    <w:rsid w:val="0051004b"/>
    <w:rPr/>
  </w:style>
  <w:style w:type="character" w:styleId="Style7" w:customStyle="1">
    <w:name w:val="Знак Знак"/>
    <w:basedOn w:val="21"/>
    <w:qFormat/>
    <w:rsid w:val="0051004b"/>
    <w:rPr>
      <w:sz w:val="24"/>
      <w:szCs w:val="24"/>
      <w:lang w:val="ru-RU" w:bidi="ar-SA"/>
    </w:rPr>
  </w:style>
  <w:style w:type="character" w:styleId="Style8">
    <w:name w:val="Выделение"/>
    <w:basedOn w:val="31"/>
    <w:qFormat/>
    <w:rsid w:val="0051004b"/>
    <w:rPr>
      <w:rFonts w:ascii="Calibri" w:hAnsi="Calibri" w:cs="Calibri"/>
      <w:b/>
      <w:i/>
      <w:iCs/>
    </w:rPr>
  </w:style>
  <w:style w:type="character" w:styleId="S1" w:customStyle="1">
    <w:name w:val="s1"/>
    <w:basedOn w:val="21"/>
    <w:qFormat/>
    <w:rsid w:val="0051004b"/>
    <w:rPr/>
  </w:style>
  <w:style w:type="character" w:styleId="Text1" w:customStyle="1">
    <w:name w:val="text1"/>
    <w:basedOn w:val="12"/>
    <w:qFormat/>
    <w:rsid w:val="0051004b"/>
    <w:rPr/>
  </w:style>
  <w:style w:type="character" w:styleId="13" w:customStyle="1">
    <w:name w:val="Заголовок 1 Знак"/>
    <w:basedOn w:val="31"/>
    <w:qFormat/>
    <w:rsid w:val="0051004b"/>
    <w:rPr>
      <w:rFonts w:ascii="Cambria" w:hAnsi="Cambria" w:eastAsia="Times New Roman" w:cs="Cambria"/>
      <w:b/>
      <w:bCs/>
      <w:kern w:val="2"/>
      <w:sz w:val="32"/>
      <w:szCs w:val="32"/>
    </w:rPr>
  </w:style>
  <w:style w:type="character" w:styleId="23" w:customStyle="1">
    <w:name w:val="Заголовок 2 Знак"/>
    <w:basedOn w:val="31"/>
    <w:qFormat/>
    <w:rsid w:val="0051004b"/>
    <w:rPr>
      <w:rFonts w:ascii="Cambria" w:hAnsi="Cambria" w:eastAsia="Times New Roman" w:cs="Cambria"/>
      <w:b/>
      <w:bCs/>
      <w:i/>
      <w:iCs/>
      <w:sz w:val="28"/>
      <w:szCs w:val="28"/>
    </w:rPr>
  </w:style>
  <w:style w:type="character" w:styleId="33" w:customStyle="1">
    <w:name w:val="Заголовок 3 Знак"/>
    <w:basedOn w:val="31"/>
    <w:qFormat/>
    <w:rsid w:val="0051004b"/>
    <w:rPr>
      <w:rFonts w:ascii="Cambria" w:hAnsi="Cambria" w:eastAsia="Times New Roman" w:cs="Cambria"/>
      <w:b/>
      <w:bCs/>
      <w:sz w:val="26"/>
      <w:szCs w:val="26"/>
    </w:rPr>
  </w:style>
  <w:style w:type="character" w:styleId="41" w:customStyle="1">
    <w:name w:val="Заголовок 4 Знак"/>
    <w:basedOn w:val="31"/>
    <w:qFormat/>
    <w:rsid w:val="0051004b"/>
    <w:rPr>
      <w:b/>
      <w:bCs/>
      <w:sz w:val="28"/>
      <w:szCs w:val="28"/>
    </w:rPr>
  </w:style>
  <w:style w:type="character" w:styleId="51" w:customStyle="1">
    <w:name w:val="Заголовок 5 Знак"/>
    <w:basedOn w:val="31"/>
    <w:qFormat/>
    <w:rsid w:val="0051004b"/>
    <w:rPr>
      <w:b/>
      <w:bCs/>
      <w:i/>
      <w:iCs/>
      <w:sz w:val="26"/>
      <w:szCs w:val="26"/>
    </w:rPr>
  </w:style>
  <w:style w:type="character" w:styleId="61" w:customStyle="1">
    <w:name w:val="Заголовок 6 Знак"/>
    <w:basedOn w:val="31"/>
    <w:qFormat/>
    <w:rsid w:val="0051004b"/>
    <w:rPr>
      <w:b/>
      <w:bCs/>
    </w:rPr>
  </w:style>
  <w:style w:type="character" w:styleId="71" w:customStyle="1">
    <w:name w:val="Заголовок 7 Знак"/>
    <w:basedOn w:val="31"/>
    <w:qFormat/>
    <w:rsid w:val="0051004b"/>
    <w:rPr>
      <w:sz w:val="24"/>
      <w:szCs w:val="24"/>
    </w:rPr>
  </w:style>
  <w:style w:type="character" w:styleId="81" w:customStyle="1">
    <w:name w:val="Заголовок 8 Знак"/>
    <w:basedOn w:val="31"/>
    <w:qFormat/>
    <w:rsid w:val="0051004b"/>
    <w:rPr>
      <w:i/>
      <w:iCs/>
      <w:sz w:val="24"/>
      <w:szCs w:val="24"/>
    </w:rPr>
  </w:style>
  <w:style w:type="character" w:styleId="91" w:customStyle="1">
    <w:name w:val="Заголовок 9 Знак"/>
    <w:basedOn w:val="31"/>
    <w:qFormat/>
    <w:rsid w:val="0051004b"/>
    <w:rPr>
      <w:rFonts w:ascii="Cambria" w:hAnsi="Cambria" w:eastAsia="Times New Roman" w:cs="Cambria"/>
    </w:rPr>
  </w:style>
  <w:style w:type="character" w:styleId="Style9" w:customStyle="1">
    <w:name w:val="Название Знак"/>
    <w:basedOn w:val="31"/>
    <w:qFormat/>
    <w:rsid w:val="0051004b"/>
    <w:rPr>
      <w:rFonts w:ascii="Cambria" w:hAnsi="Cambria" w:eastAsia="Times New Roman" w:cs="Cambria"/>
      <w:b/>
      <w:bCs/>
      <w:kern w:val="2"/>
      <w:sz w:val="32"/>
      <w:szCs w:val="32"/>
    </w:rPr>
  </w:style>
  <w:style w:type="character" w:styleId="Style10" w:customStyle="1">
    <w:name w:val="Подзаголовок Знак"/>
    <w:basedOn w:val="31"/>
    <w:qFormat/>
    <w:rsid w:val="0051004b"/>
    <w:rPr>
      <w:rFonts w:ascii="Cambria" w:hAnsi="Cambria" w:eastAsia="Times New Roman" w:cs="Arial"/>
      <w:sz w:val="24"/>
      <w:szCs w:val="24"/>
    </w:rPr>
  </w:style>
  <w:style w:type="character" w:styleId="24" w:customStyle="1">
    <w:name w:val="Цитата 2 Знак"/>
    <w:basedOn w:val="31"/>
    <w:qFormat/>
    <w:rsid w:val="0051004b"/>
    <w:rPr>
      <w:i/>
      <w:sz w:val="24"/>
      <w:szCs w:val="24"/>
    </w:rPr>
  </w:style>
  <w:style w:type="character" w:styleId="Style11" w:customStyle="1">
    <w:name w:val="Выделенная цитата Знак"/>
    <w:basedOn w:val="31"/>
    <w:qFormat/>
    <w:rsid w:val="0051004b"/>
    <w:rPr>
      <w:b/>
      <w:i/>
      <w:sz w:val="24"/>
    </w:rPr>
  </w:style>
  <w:style w:type="character" w:styleId="SubtleEmphasis">
    <w:name w:val="Subtle Emphasis"/>
    <w:qFormat/>
    <w:rsid w:val="0051004b"/>
    <w:rPr>
      <w:i/>
      <w:color w:val="5A5A5A"/>
    </w:rPr>
  </w:style>
  <w:style w:type="character" w:styleId="IntenseEmphasis">
    <w:name w:val="Intense Emphasis"/>
    <w:basedOn w:val="31"/>
    <w:qFormat/>
    <w:rsid w:val="0051004b"/>
    <w:rPr>
      <w:b/>
      <w:i/>
      <w:sz w:val="24"/>
      <w:szCs w:val="24"/>
      <w:u w:val="single"/>
    </w:rPr>
  </w:style>
  <w:style w:type="character" w:styleId="SubtleReference">
    <w:name w:val="Subtle Reference"/>
    <w:basedOn w:val="31"/>
    <w:qFormat/>
    <w:rsid w:val="0051004b"/>
    <w:rPr>
      <w:sz w:val="24"/>
      <w:szCs w:val="24"/>
      <w:u w:val="single"/>
    </w:rPr>
  </w:style>
  <w:style w:type="character" w:styleId="IntenseReference">
    <w:name w:val="Intense Reference"/>
    <w:basedOn w:val="31"/>
    <w:qFormat/>
    <w:rsid w:val="0051004b"/>
    <w:rPr>
      <w:b/>
      <w:sz w:val="24"/>
      <w:u w:val="single"/>
    </w:rPr>
  </w:style>
  <w:style w:type="character" w:styleId="BookTitle">
    <w:name w:val="Book Title"/>
    <w:basedOn w:val="31"/>
    <w:qFormat/>
    <w:rsid w:val="0051004b"/>
    <w:rPr>
      <w:rFonts w:ascii="Cambria" w:hAnsi="Cambria" w:eastAsia="Times New Roman" w:cs="Cambria"/>
      <w:b/>
      <w:i/>
      <w:sz w:val="24"/>
      <w:szCs w:val="24"/>
    </w:rPr>
  </w:style>
  <w:style w:type="character" w:styleId="Appleconvertedspace" w:customStyle="1">
    <w:name w:val="apple-converted-space"/>
    <w:basedOn w:val="12"/>
    <w:qFormat/>
    <w:rsid w:val="0051004b"/>
    <w:rPr/>
  </w:style>
  <w:style w:type="character" w:styleId="34" w:customStyle="1">
    <w:name w:val="Основной текст 3 Знак"/>
    <w:basedOn w:val="DefaultParagraphFont"/>
    <w:qFormat/>
    <w:rsid w:val="0051004b"/>
    <w:rPr>
      <w:rFonts w:ascii="Calibri" w:hAnsi="Calibri" w:cs="Calibri"/>
      <w:sz w:val="16"/>
      <w:szCs w:val="16"/>
      <w:lang w:val="en-US" w:eastAsia="zh-CN" w:bidi="en-US"/>
    </w:rPr>
  </w:style>
  <w:style w:type="paragraph" w:styleId="Style12" w:customStyle="1">
    <w:name w:val="Заголовок"/>
    <w:basedOn w:val="Normal"/>
    <w:next w:val="Style13"/>
    <w:qFormat/>
    <w:rsid w:val="0051004b"/>
    <w:pPr>
      <w:keepNext w:val="true"/>
      <w:spacing w:before="240" w:after="120"/>
    </w:pPr>
    <w:rPr>
      <w:rFonts w:ascii="Arial" w:hAnsi="Arial" w:eastAsia="Microsoft YaHei" w:cs="Mangal"/>
      <w:sz w:val="28"/>
      <w:szCs w:val="28"/>
    </w:rPr>
  </w:style>
  <w:style w:type="paragraph" w:styleId="Style13">
    <w:name w:val="Body Text"/>
    <w:basedOn w:val="Normal"/>
    <w:rsid w:val="0051004b"/>
    <w:pPr>
      <w:spacing w:before="0" w:after="0"/>
      <w:ind w:left="0" w:hanging="0"/>
    </w:pPr>
    <w:rPr>
      <w:rFonts w:ascii="Times New Roman" w:hAnsi="Times New Roman"/>
      <w:sz w:val="26"/>
      <w:szCs w:val="26"/>
    </w:rPr>
  </w:style>
  <w:style w:type="paragraph" w:styleId="Style14">
    <w:name w:val="List"/>
    <w:basedOn w:val="Style13"/>
    <w:rsid w:val="0051004b"/>
    <w:pPr/>
    <w:rPr>
      <w:rFonts w:cs="Mangal"/>
    </w:rPr>
  </w:style>
  <w:style w:type="paragraph" w:styleId="Style15" w:customStyle="1">
    <w:name w:val="Caption"/>
    <w:basedOn w:val="Normal"/>
    <w:qFormat/>
    <w:rsid w:val="0051004b"/>
    <w:pPr>
      <w:suppressLineNumbers/>
      <w:spacing w:before="120" w:after="120"/>
    </w:pPr>
    <w:rPr>
      <w:rFonts w:cs="Arial"/>
      <w:i/>
      <w:iCs/>
    </w:rPr>
  </w:style>
  <w:style w:type="paragraph" w:styleId="Style16">
    <w:name w:val="Указатель"/>
    <w:basedOn w:val="Normal"/>
    <w:qFormat/>
    <w:pPr>
      <w:suppressLineNumbers/>
    </w:pPr>
    <w:rPr>
      <w:rFonts w:cs="Arial"/>
    </w:rPr>
  </w:style>
  <w:style w:type="paragraph" w:styleId="Indexheading">
    <w:name w:val="index heading"/>
    <w:basedOn w:val="Normal"/>
    <w:qFormat/>
    <w:rsid w:val="0051004b"/>
    <w:pPr>
      <w:suppressLineNumbers/>
    </w:pPr>
    <w:rPr>
      <w:rFonts w:cs="Arial"/>
    </w:rPr>
  </w:style>
  <w:style w:type="paragraph" w:styleId="Caption">
    <w:name w:val="caption"/>
    <w:basedOn w:val="Normal"/>
    <w:next w:val="Normal"/>
    <w:qFormat/>
    <w:rsid w:val="0051004b"/>
    <w:pPr>
      <w:spacing w:before="240" w:after="60"/>
      <w:jc w:val="center"/>
    </w:pPr>
    <w:rPr>
      <w:rFonts w:ascii="Cambria" w:hAnsi="Cambria" w:cs="Cambria"/>
      <w:b/>
      <w:bCs/>
      <w:kern w:val="2"/>
      <w:sz w:val="32"/>
      <w:szCs w:val="32"/>
    </w:rPr>
  </w:style>
  <w:style w:type="paragraph" w:styleId="35" w:customStyle="1">
    <w:name w:val="Указатель3"/>
    <w:basedOn w:val="Normal"/>
    <w:qFormat/>
    <w:rsid w:val="0051004b"/>
    <w:pPr>
      <w:suppressLineNumbers/>
    </w:pPr>
    <w:rPr>
      <w:rFonts w:cs="Arial"/>
    </w:rPr>
  </w:style>
  <w:style w:type="paragraph" w:styleId="25" w:customStyle="1">
    <w:name w:val="Название2"/>
    <w:basedOn w:val="Normal"/>
    <w:qFormat/>
    <w:rsid w:val="0051004b"/>
    <w:pPr>
      <w:suppressLineNumbers/>
      <w:spacing w:before="120" w:after="120"/>
    </w:pPr>
    <w:rPr>
      <w:rFonts w:cs="Mangal"/>
      <w:i/>
      <w:iCs/>
    </w:rPr>
  </w:style>
  <w:style w:type="paragraph" w:styleId="26" w:customStyle="1">
    <w:name w:val="Указатель2"/>
    <w:basedOn w:val="Normal"/>
    <w:qFormat/>
    <w:rsid w:val="0051004b"/>
    <w:pPr>
      <w:suppressLineNumbers/>
    </w:pPr>
    <w:rPr>
      <w:rFonts w:cs="Mangal"/>
    </w:rPr>
  </w:style>
  <w:style w:type="paragraph" w:styleId="14" w:customStyle="1">
    <w:name w:val="Название1"/>
    <w:basedOn w:val="Normal"/>
    <w:qFormat/>
    <w:rsid w:val="0051004b"/>
    <w:pPr>
      <w:suppressLineNumbers/>
      <w:spacing w:before="120" w:after="120"/>
    </w:pPr>
    <w:rPr>
      <w:rFonts w:cs="Mangal"/>
      <w:i/>
      <w:iCs/>
    </w:rPr>
  </w:style>
  <w:style w:type="paragraph" w:styleId="15" w:customStyle="1">
    <w:name w:val="Указатель1"/>
    <w:basedOn w:val="Normal"/>
    <w:qFormat/>
    <w:rsid w:val="0051004b"/>
    <w:pPr>
      <w:suppressLineNumbers/>
    </w:pPr>
    <w:rPr>
      <w:rFonts w:cs="Mangal"/>
    </w:rPr>
  </w:style>
  <w:style w:type="paragraph" w:styleId="Style17">
    <w:name w:val="Body Text Indent"/>
    <w:basedOn w:val="Normal"/>
    <w:rsid w:val="0051004b"/>
    <w:pPr>
      <w:spacing w:before="0" w:after="120"/>
      <w:ind w:left="283" w:hanging="0"/>
    </w:pPr>
    <w:rPr/>
  </w:style>
  <w:style w:type="paragraph" w:styleId="Style18">
    <w:name w:val="Subtitle"/>
    <w:basedOn w:val="Normal"/>
    <w:next w:val="Normal"/>
    <w:qFormat/>
    <w:rsid w:val="0051004b"/>
    <w:pPr>
      <w:spacing w:before="0" w:after="60"/>
      <w:jc w:val="center"/>
    </w:pPr>
    <w:rPr>
      <w:rFonts w:ascii="Cambria" w:hAnsi="Cambria" w:cs="Arial"/>
    </w:rPr>
  </w:style>
  <w:style w:type="paragraph" w:styleId="211" w:customStyle="1">
    <w:name w:val="Основной текст с отступом 21"/>
    <w:basedOn w:val="Normal"/>
    <w:qFormat/>
    <w:rsid w:val="0051004b"/>
    <w:pPr>
      <w:spacing w:lineRule="auto" w:line="480" w:before="0" w:after="120"/>
      <w:ind w:left="283" w:hanging="0"/>
    </w:pPr>
    <w:rPr>
      <w:sz w:val="20"/>
      <w:szCs w:val="20"/>
    </w:rPr>
  </w:style>
  <w:style w:type="paragraph" w:styleId="311" w:customStyle="1">
    <w:name w:val="Основной текст с отступом 31"/>
    <w:basedOn w:val="Normal"/>
    <w:qFormat/>
    <w:rsid w:val="0051004b"/>
    <w:pPr>
      <w:spacing w:before="0" w:after="120"/>
      <w:ind w:left="283" w:hanging="0"/>
    </w:pPr>
    <w:rPr>
      <w:sz w:val="16"/>
      <w:szCs w:val="16"/>
    </w:rPr>
  </w:style>
  <w:style w:type="paragraph" w:styleId="Style19" w:customStyle="1">
    <w:name w:val="Знак"/>
    <w:basedOn w:val="Normal"/>
    <w:qFormat/>
    <w:rsid w:val="0051004b"/>
    <w:pPr>
      <w:widowControl w:val="false"/>
      <w:spacing w:lineRule="exact" w:line="240" w:before="0" w:after="160"/>
      <w:jc w:val="right"/>
    </w:pPr>
    <w:rPr>
      <w:sz w:val="20"/>
      <w:szCs w:val="20"/>
      <w:lang w:val="en-GB"/>
    </w:rPr>
  </w:style>
  <w:style w:type="paragraph" w:styleId="16" w:customStyle="1">
    <w:name w:val="Текст1"/>
    <w:basedOn w:val="Normal"/>
    <w:qFormat/>
    <w:rsid w:val="0051004b"/>
    <w:pPr/>
    <w:rPr>
      <w:rFonts w:ascii="Courier New" w:hAnsi="Courier New" w:cs="Courier New"/>
      <w:sz w:val="20"/>
      <w:szCs w:val="20"/>
    </w:rPr>
  </w:style>
  <w:style w:type="paragraph" w:styleId="17" w:customStyle="1">
    <w:name w:val="Знак Знак1 Знак"/>
    <w:basedOn w:val="Normal"/>
    <w:qFormat/>
    <w:rsid w:val="0051004b"/>
    <w:pPr>
      <w:widowControl w:val="false"/>
      <w:spacing w:lineRule="exact" w:line="240" w:before="0" w:after="160"/>
      <w:jc w:val="right"/>
    </w:pPr>
    <w:rPr>
      <w:sz w:val="20"/>
      <w:szCs w:val="20"/>
      <w:lang w:val="en-GB"/>
    </w:rPr>
  </w:style>
  <w:style w:type="paragraph" w:styleId="NormalWeb">
    <w:name w:val="Normal (Web)"/>
    <w:basedOn w:val="Normal"/>
    <w:uiPriority w:val="99"/>
    <w:qFormat/>
    <w:rsid w:val="0051004b"/>
    <w:pPr>
      <w:suppressAutoHyphens w:val="false"/>
      <w:spacing w:before="280" w:after="119"/>
    </w:pPr>
    <w:rPr>
      <w:rFonts w:ascii="Times New Roman" w:hAnsi="Times New Roman" w:cs="Times New Roman"/>
      <w:lang w:val="ru-RU" w:bidi="ar-SA"/>
    </w:rPr>
  </w:style>
  <w:style w:type="paragraph" w:styleId="Style20" w:customStyle="1">
    <w:name w:val="Содержимое таблицы"/>
    <w:basedOn w:val="Normal"/>
    <w:qFormat/>
    <w:rsid w:val="0051004b"/>
    <w:pPr>
      <w:suppressLineNumbers/>
    </w:pPr>
    <w:rPr/>
  </w:style>
  <w:style w:type="paragraph" w:styleId="212" w:customStyle="1">
    <w:name w:val="Основной текст 21"/>
    <w:basedOn w:val="Normal"/>
    <w:qFormat/>
    <w:rsid w:val="0051004b"/>
    <w:pPr>
      <w:spacing w:lineRule="auto" w:line="480" w:before="0" w:after="120"/>
    </w:pPr>
    <w:rPr/>
  </w:style>
  <w:style w:type="paragraph" w:styleId="NoSpacing">
    <w:name w:val="No Spacing"/>
    <w:uiPriority w:val="1"/>
    <w:qFormat/>
    <w:rsid w:val="0051004b"/>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18" w:customStyle="1">
    <w:name w:val="Маркированный список1"/>
    <w:basedOn w:val="Normal"/>
    <w:qFormat/>
    <w:rsid w:val="0051004b"/>
    <w:pPr>
      <w:jc w:val="center"/>
    </w:pPr>
    <w:rPr>
      <w:sz w:val="26"/>
      <w:lang w:val="ru-RU"/>
    </w:rPr>
  </w:style>
  <w:style w:type="paragraph" w:styleId="ListParagraph">
    <w:name w:val="List Paragraph"/>
    <w:basedOn w:val="Normal"/>
    <w:qFormat/>
    <w:rsid w:val="0051004b"/>
    <w:pPr>
      <w:widowControl w:val="false"/>
      <w:spacing w:lineRule="atLeast" w:line="100"/>
      <w:ind w:left="720" w:hanging="0"/>
    </w:pPr>
    <w:rPr>
      <w:rFonts w:ascii="Times New Roman" w:hAnsi="Times New Roman" w:cs="Times New Roman"/>
      <w:kern w:val="2"/>
      <w:szCs w:val="20"/>
      <w:lang w:val="ru-RU" w:bidi="ar-SA"/>
    </w:rPr>
  </w:style>
  <w:style w:type="paragraph" w:styleId="Quote">
    <w:name w:val="Quote"/>
    <w:basedOn w:val="Normal"/>
    <w:next w:val="Normal"/>
    <w:qFormat/>
    <w:rsid w:val="0051004b"/>
    <w:pPr/>
    <w:rPr>
      <w:i/>
    </w:rPr>
  </w:style>
  <w:style w:type="paragraph" w:styleId="IntenseQuote">
    <w:name w:val="Intense Quote"/>
    <w:basedOn w:val="Normal"/>
    <w:next w:val="Normal"/>
    <w:qFormat/>
    <w:rsid w:val="0051004b"/>
    <w:pPr>
      <w:ind w:left="720" w:right="720" w:hanging="0"/>
    </w:pPr>
    <w:rPr>
      <w:b/>
      <w:i/>
      <w:szCs w:val="22"/>
    </w:rPr>
  </w:style>
  <w:style w:type="paragraph" w:styleId="Style21" w:customStyle="1">
    <w:name w:val="Index Heading"/>
    <w:basedOn w:val="Style12"/>
    <w:rsid w:val="0051004b"/>
    <w:pPr>
      <w:suppressLineNumbers/>
    </w:pPr>
    <w:rPr>
      <w:b/>
      <w:bCs/>
      <w:sz w:val="32"/>
      <w:szCs w:val="32"/>
    </w:rPr>
  </w:style>
  <w:style w:type="paragraph" w:styleId="TOAHeading" w:customStyle="1">
    <w:name w:val="TOA Heading"/>
    <w:basedOn w:val="1"/>
    <w:next w:val="Normal"/>
    <w:qFormat/>
    <w:rsid w:val="0051004b"/>
    <w:pPr>
      <w:numPr>
        <w:ilvl w:val="0"/>
        <w:numId w:val="0"/>
      </w:numPr>
    </w:pPr>
    <w:rPr/>
  </w:style>
  <w:style w:type="paragraph" w:styleId="Western1" w:customStyle="1">
    <w:name w:val="western1"/>
    <w:basedOn w:val="Normal"/>
    <w:qFormat/>
    <w:rsid w:val="0051004b"/>
    <w:pPr>
      <w:ind w:left="100" w:right="100" w:firstLine="200"/>
    </w:pPr>
    <w:rPr>
      <w:rFonts w:ascii="Times New Roman" w:hAnsi="Times New Roman" w:eastAsia="Calibri" w:cs="Times New Roman"/>
      <w:lang w:val="ru-RU" w:bidi="ar-SA"/>
    </w:rPr>
  </w:style>
  <w:style w:type="paragraph" w:styleId="Standard" w:customStyle="1">
    <w:name w:val="Standard"/>
    <w:qFormat/>
    <w:rsid w:val="0051004b"/>
    <w:pPr>
      <w:widowControl w:val="false"/>
      <w:suppressAutoHyphens w:val="true"/>
      <w:bidi w:val="0"/>
      <w:spacing w:lineRule="auto" w:line="276" w:before="0" w:after="200"/>
      <w:jc w:val="left"/>
      <w:textAlignment w:val="baseline"/>
    </w:pPr>
    <w:rPr>
      <w:rFonts w:ascii="Times New Roman" w:hAnsi="Times New Roman" w:eastAsia="SimSun;宋体" w:cs="Mangal"/>
      <w:color w:val="auto"/>
      <w:kern w:val="2"/>
      <w:sz w:val="24"/>
      <w:szCs w:val="24"/>
      <w:lang w:val="ru-RU" w:eastAsia="zh-CN" w:bidi="hi-IN"/>
    </w:rPr>
  </w:style>
  <w:style w:type="paragraph" w:styleId="Style22" w:customStyle="1">
    <w:name w:val="?????"/>
    <w:basedOn w:val="Normal"/>
    <w:qFormat/>
    <w:rsid w:val="0051004b"/>
    <w:pPr>
      <w:widowControl w:val="false"/>
      <w:spacing w:lineRule="atLeast" w:line="100"/>
    </w:pPr>
    <w:rPr>
      <w:rFonts w:ascii="Courier New" w:hAnsi="Courier New" w:cs="Courier New"/>
      <w:kern w:val="2"/>
      <w:sz w:val="20"/>
      <w:szCs w:val="20"/>
      <w:lang w:val="ru-RU" w:bidi="ar-SA"/>
    </w:rPr>
  </w:style>
  <w:style w:type="paragraph" w:styleId="P5" w:customStyle="1">
    <w:name w:val="p5"/>
    <w:basedOn w:val="Standard"/>
    <w:qFormat/>
    <w:rsid w:val="0051004b"/>
    <w:pPr>
      <w:widowControl/>
      <w:spacing w:lineRule="auto" w:line="240" w:before="280" w:after="280"/>
    </w:pPr>
    <w:rPr>
      <w:rFonts w:eastAsia="Times New Roman" w:cs="Times New Roman"/>
      <w:lang w:bidi="ar-SA"/>
    </w:rPr>
  </w:style>
  <w:style w:type="paragraph" w:styleId="Msonormalmailrucssattributepostfix" w:customStyle="1">
    <w:name w:val="msonormal_mailru_css_attribute_postfix"/>
    <w:basedOn w:val="Normal"/>
    <w:qFormat/>
    <w:rsid w:val="0051004b"/>
    <w:pPr/>
    <w:rPr>
      <w:rFonts w:ascii="TimesET;Times New Roman" w:hAnsi="TimesET;Times New Roman" w:cs="TimesET;Times New Roman"/>
      <w:kern w:val="2"/>
      <w:sz w:val="20"/>
      <w:szCs w:val="20"/>
      <w:lang w:val="ru-RU" w:bidi="ar-SA"/>
    </w:rPr>
  </w:style>
  <w:style w:type="paragraph" w:styleId="Western" w:customStyle="1">
    <w:name w:val="western"/>
    <w:basedOn w:val="Normal"/>
    <w:qFormat/>
    <w:rsid w:val="0051004b"/>
    <w:pPr>
      <w:suppressAutoHyphens w:val="false"/>
      <w:spacing w:lineRule="atLeast" w:line="363" w:before="280" w:after="119"/>
      <w:jc w:val="both"/>
    </w:pPr>
    <w:rPr>
      <w:rFonts w:ascii="Times New Roman" w:hAnsi="Times New Roman" w:cs="Times New Roman"/>
      <w:color w:val="000000"/>
      <w:lang w:val="ru-RU" w:bidi="ar-SA"/>
    </w:rPr>
  </w:style>
  <w:style w:type="paragraph" w:styleId="BodyText3">
    <w:name w:val="Body Text 3"/>
    <w:basedOn w:val="Normal"/>
    <w:qFormat/>
    <w:rsid w:val="0051004b"/>
    <w:pPr>
      <w:spacing w:before="0" w:after="120"/>
    </w:pPr>
    <w:rPr>
      <w:sz w:val="16"/>
      <w:szCs w:val="16"/>
    </w:rPr>
  </w:style>
  <w:style w:type="paragraph" w:styleId="Bodytext">
    <w:name w:val="Body text"/>
    <w:basedOn w:val="Normal"/>
    <w:qFormat/>
    <w:pPr>
      <w:spacing w:lineRule="exact" w:line="365"/>
      <w:jc w:val="both"/>
    </w:pPr>
    <w:rPr>
      <w:rFonts w:ascii="Times New Roman" w:hAnsi="Times New Roman" w:eastAsia="Times New Roman" w:cs="Times New Roman"/>
      <w:color w:val="auto"/>
      <w:sz w:val="31"/>
      <w:lang w:eastAsia="ru-RU"/>
    </w:rPr>
  </w:style>
  <w:style w:type="paragraph" w:styleId="Style23">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24">
    <w:name w:val="Текст в заданном формате"/>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numbering" w:styleId="WW8Num1" w:customStyle="1">
    <w:name w:val="WW8Num1"/>
    <w:qFormat/>
    <w:rsid w:val="0051004b"/>
  </w:style>
  <w:style w:type="numbering" w:styleId="WW8Num2" w:customStyle="1">
    <w:name w:val="WW8Num2"/>
    <w:qFormat/>
    <w:rsid w:val="0051004b"/>
  </w:style>
  <w:style w:type="numbering" w:styleId="WW8Num3" w:customStyle="1">
    <w:name w:val="WW8Num3"/>
    <w:qFormat/>
    <w:rsid w:val="0051004b"/>
  </w:style>
  <w:style w:type="numbering" w:styleId="WW8Num4" w:customStyle="1">
    <w:name w:val="WW8Num4"/>
    <w:qFormat/>
    <w:rsid w:val="0051004b"/>
  </w:style>
  <w:style w:type="numbering" w:styleId="WW8Num5" w:customStyle="1">
    <w:name w:val="WW8Num5"/>
    <w:qFormat/>
    <w:rsid w:val="0051004b"/>
  </w:style>
  <w:style w:type="numbering" w:styleId="WW8Num6" w:customStyle="1">
    <w:name w:val="WW8Num6"/>
    <w:qFormat/>
    <w:rsid w:val="0051004b"/>
  </w:style>
  <w:style w:type="numbering" w:styleId="WW8Num7" w:customStyle="1">
    <w:name w:val="WW8Num7"/>
    <w:qFormat/>
    <w:rsid w:val="0051004b"/>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Application>LibreOffice/7.0.3.1$Windows_X86_64 LibreOffice_project/d7547858d014d4cf69878db179d326fc3483e082</Application>
  <Pages>8</Pages>
  <Words>4491</Words>
  <Characters>29847</Characters>
  <CharactersWithSpaces>34442</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2021-06-09T13:13:00Z</dcterms:created>
  <dc:creator>org</dc:creator>
  <dc:description/>
  <dc:language>ru-RU</dc:language>
  <cp:lastModifiedBy/>
  <cp:lastPrinted>2021-06-09T15:35:00Z</cp:lastPrinted>
  <dcterms:modified xsi:type="dcterms:W3CDTF">2021-10-14T14:55:02Z</dcterms:modified>
  <cp:revision>108</cp:revision>
  <dc:subject/>
  <dc:title>Доклад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