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Извещение №1</w:t>
      </w:r>
    </w:p>
    <w:p>
      <w:pPr>
        <w:pStyle w:val="Style18"/>
        <w:rPr/>
      </w:pPr>
      <w:r>
        <w:rPr/>
        <w:t>о проведении аукциона на право размещения нестационарного торгового объекта на территории Ядринского района Чувашской Республики.</w:t>
      </w:r>
    </w:p>
    <w:p>
      <w:pPr>
        <w:pStyle w:val="Style23"/>
        <w:widowControl w:val="false"/>
        <w:jc w:val="both"/>
        <w:rPr/>
      </w:pPr>
      <w:r>
        <w:rPr/>
      </w:r>
    </w:p>
    <w:p>
      <w:pPr>
        <w:pStyle w:val="Style23"/>
        <w:widowControl w:val="false"/>
        <w:jc w:val="both"/>
        <w:rPr/>
      </w:pPr>
      <w:r>
        <w:rPr/>
        <w:tab/>
        <w:t xml:space="preserve"> Аукцион проводится соответствии с п</w:t>
      </w:r>
      <w:r>
        <w:rPr>
          <w:bCs/>
        </w:rPr>
        <w:t>остановлением Ядринской районной администрации Чувашской Республики от 29 июня 2018 года № 482 «О Порядке организации и проведения аукциона на право размещения нестационарных торговых объектов на территории Ядринского района Чувашской Республики»</w:t>
      </w:r>
      <w:r>
        <w:rPr/>
        <w:t>.</w:t>
      </w:r>
    </w:p>
    <w:p>
      <w:pPr>
        <w:pStyle w:val="Style23"/>
        <w:widowControl w:val="false"/>
        <w:jc w:val="both"/>
        <w:rPr/>
      </w:pPr>
      <w:r>
        <w:rPr>
          <w:b/>
          <w:u w:val="single"/>
        </w:rPr>
        <w:t>Сведения об организаторе аукциона:</w:t>
      </w:r>
    </w:p>
    <w:p>
      <w:pPr>
        <w:pStyle w:val="Normal"/>
        <w:jc w:val="both"/>
        <w:rPr/>
      </w:pPr>
      <w:r>
        <w:rPr/>
        <w:t>Наименование: Ядринская районная администрация Чувашской Республики.</w:t>
      </w:r>
    </w:p>
    <w:p>
      <w:pPr>
        <w:pStyle w:val="Normal"/>
        <w:jc w:val="both"/>
        <w:rPr/>
      </w:pPr>
      <w:r>
        <w:rPr/>
        <w:t>Адрес: 429060, г. Ядрин, ул. 30 лет Победы, д. 1</w:t>
      </w:r>
    </w:p>
    <w:p>
      <w:pPr>
        <w:pStyle w:val="Normal"/>
        <w:jc w:val="both"/>
        <w:rPr/>
      </w:pPr>
      <w:r>
        <w:rPr/>
        <w:t>Тел.: (8-83547) 22-350, 22-245, факс: (8-83547) 22-511</w:t>
      </w:r>
    </w:p>
    <w:p>
      <w:pPr>
        <w:pStyle w:val="Normal"/>
        <w:jc w:val="both"/>
        <w:rPr/>
      </w:pPr>
      <w:r>
        <w:rPr/>
        <w:t xml:space="preserve">Адрес электронной почты: </w:t>
      </w:r>
      <w:r>
        <w:rPr>
          <w:w w:val="110"/>
          <w:lang w:val="en-US"/>
        </w:rPr>
        <w:t>yadrin</w:t>
      </w:r>
      <w:r>
        <w:rPr>
          <w:w w:val="110"/>
        </w:rPr>
        <w:t>@</w:t>
      </w:r>
      <w:r>
        <w:rPr>
          <w:w w:val="110"/>
          <w:lang w:val="en-US"/>
        </w:rPr>
        <w:t>cap</w:t>
      </w:r>
      <w:r>
        <w:rPr>
          <w:w w:val="110"/>
        </w:rPr>
        <w:t>.</w:t>
      </w:r>
      <w:r>
        <w:rPr>
          <w:w w:val="110"/>
          <w:lang w:val="en-US"/>
        </w:rPr>
        <w:t>ru</w:t>
      </w:r>
    </w:p>
    <w:p>
      <w:pPr>
        <w:pStyle w:val="Normal"/>
        <w:jc w:val="both"/>
        <w:rPr/>
      </w:pPr>
      <w:r>
        <w:rPr/>
        <w:t>Официальный сайт: http://yadrin.cap.ru/</w:t>
      </w:r>
    </w:p>
    <w:p>
      <w:pPr>
        <w:pStyle w:val="Normal"/>
        <w:jc w:val="both"/>
        <w:rPr/>
      </w:pPr>
      <w:r>
        <w:rPr/>
        <w:t>Контактное лицо: Ильина Инна Геннадиевна, тел. (883547) 22-231</w:t>
      </w:r>
    </w:p>
    <w:p>
      <w:pPr>
        <w:pStyle w:val="Normal"/>
        <w:jc w:val="both"/>
        <w:rPr/>
      </w:pPr>
      <w:r>
        <w:rPr/>
      </w:r>
    </w:p>
    <w:p>
      <w:pPr>
        <w:pStyle w:val="4"/>
        <w:spacing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Предмет аукциона: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Лот № 1 Право на размещение</w:t>
      </w:r>
    </w:p>
    <w:tbl>
      <w:tblPr>
        <w:tblW w:w="952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12"/>
        <w:gridCol w:w="4375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п/п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Информация об НТО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Параметры НТО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Номер по схеме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Месторасположение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tabs>
                <w:tab w:val="clear" w:pos="708"/>
                <w:tab w:val="left" w:pos="0" w:leader="none"/>
                <w:tab w:val="left" w:pos="851" w:leader="none"/>
              </w:tabs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Чувашская Республика, г. Ядрин, ул. Шоссейная, напротив дома №23, участок 2 (кадастровый номер земельного участка 21:24:120202:6)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Размер площади места размещения НТО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20</w:t>
            </w:r>
            <w:r>
              <w:rPr/>
              <w:t> кв. м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Тип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торговый павильон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Специализация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Продовольственные и непродовольственные  товары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Срок действия договора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5 лет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 xml:space="preserve">Начальный размер платы за право </w:t>
            </w:r>
            <w:r>
              <w:rPr>
                <w:bCs/>
              </w:rPr>
              <w:t>размещения нестационарного торгового  объекта</w:t>
            </w:r>
            <w:r>
              <w:rPr>
                <w:iCs/>
              </w:rPr>
              <w:t xml:space="preserve"> за указанный период осуществления торговой деятельности (на 5 лет), руб.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i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val="ru-RU" w:bidi="ar-SA"/>
              </w:rPr>
              <w:t>34 000,00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 xml:space="preserve">Начальный размер ежегодной платы за право </w:t>
            </w:r>
            <w:r>
              <w:rPr>
                <w:bCs/>
              </w:rPr>
              <w:t>размещения нестационарного торгового  объекта</w:t>
            </w:r>
            <w:r>
              <w:rPr>
                <w:iCs/>
              </w:rPr>
              <w:t xml:space="preserve"> за указанный период, руб.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i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val="ru-RU" w:bidi="ar-SA"/>
              </w:rPr>
              <w:t>6300,00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Размер задатка, руб.</w:t>
            </w:r>
          </w:p>
          <w:p>
            <w:pPr>
              <w:pStyle w:val="Normal"/>
              <w:rPr/>
            </w:pPr>
            <w:r>
              <w:rPr>
                <w:i/>
              </w:rPr>
              <w:t>(</w:t>
            </w:r>
            <w:r>
              <w:rPr>
                <w:rStyle w:val="FontStyle11"/>
                <w:i/>
                <w:sz w:val="24"/>
              </w:rPr>
              <w:t>в размере 50 процентов от начальной цены предмета аукциона)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i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val="ru-RU" w:bidi="ar-SA"/>
              </w:rPr>
              <w:t>3150,00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Величина повышения начальной цены права на размещение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(«шаг аукциона»), руб.</w:t>
            </w:r>
          </w:p>
          <w:p>
            <w:pPr>
              <w:pStyle w:val="Normal"/>
              <w:rPr/>
            </w:pPr>
            <w:r>
              <w:rPr>
                <w:i/>
                <w:iCs/>
              </w:rPr>
              <w:t xml:space="preserve">(в размере 10 процентов </w:t>
            </w:r>
            <w:r>
              <w:rPr>
                <w:rStyle w:val="FontStyle11"/>
                <w:i/>
                <w:sz w:val="24"/>
              </w:rPr>
              <w:t>от начальной цены предмета аукциона)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i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  <w:lang w:val="ru-RU" w:bidi="ar-SA"/>
              </w:rPr>
              <w:t>630,00</w:t>
            </w:r>
          </w:p>
        </w:tc>
      </w:tr>
    </w:tbl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>
          <w:b/>
        </w:rPr>
        <w:t>Дата и время начала приема заяво</w:t>
      </w:r>
      <w:r>
        <w:rPr>
          <w:b/>
          <w:shd w:fill="auto" w:val="clear"/>
        </w:rPr>
        <w:t xml:space="preserve">к – 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07</w:t>
      </w:r>
      <w:r>
        <w:rPr>
          <w:b/>
          <w:shd w:fill="auto" w:val="clear"/>
        </w:rPr>
        <w:t>.1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2</w:t>
      </w:r>
      <w:r>
        <w:rPr>
          <w:b/>
          <w:shd w:fill="auto" w:val="clear"/>
        </w:rPr>
        <w:t xml:space="preserve">.2021г. с 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09</w:t>
      </w:r>
      <w:r>
        <w:rPr>
          <w:b/>
          <w:shd w:fill="auto" w:val="clear"/>
        </w:rPr>
        <w:t>.00 час.</w:t>
      </w:r>
    </w:p>
    <w:p>
      <w:pPr>
        <w:pStyle w:val="Normal"/>
        <w:autoSpaceDE w:val="false"/>
        <w:jc w:val="both"/>
        <w:rPr/>
      </w:pPr>
      <w:r>
        <w:rPr>
          <w:b/>
          <w:shd w:fill="auto" w:val="clear"/>
        </w:rPr>
        <w:t xml:space="preserve">Дата и время окончания приема заявок – 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12</w:t>
      </w:r>
      <w:r>
        <w:rPr>
          <w:b/>
          <w:shd w:fill="auto" w:val="clear"/>
        </w:rPr>
        <w:t>.01.2022г. до 16.00 час.</w:t>
      </w:r>
    </w:p>
    <w:p>
      <w:pPr>
        <w:pStyle w:val="Normal"/>
        <w:autoSpaceDE w:val="false"/>
        <w:jc w:val="both"/>
        <w:rPr/>
      </w:pPr>
      <w:r>
        <w:rPr>
          <w:b/>
          <w:shd w:fill="auto" w:val="clear"/>
        </w:rPr>
        <w:t xml:space="preserve">Поступление задатка на счет организатора аукциона – не позднее 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11</w:t>
      </w:r>
      <w:r>
        <w:rPr>
          <w:b/>
          <w:shd w:fill="auto" w:val="clear"/>
        </w:rPr>
        <w:t>.01.2022г.</w:t>
      </w:r>
    </w:p>
    <w:p>
      <w:pPr>
        <w:pStyle w:val="Normal"/>
        <w:autoSpaceDE w:val="false"/>
        <w:jc w:val="both"/>
        <w:rPr/>
      </w:pPr>
      <w:r>
        <w:rPr>
          <w:b/>
          <w:shd w:fill="auto" w:val="clear"/>
        </w:rPr>
        <w:t xml:space="preserve">Дата и время начала рассмотрения заявок на участие в аукционе – 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13</w:t>
      </w:r>
      <w:r>
        <w:rPr>
          <w:b/>
          <w:shd w:fill="auto" w:val="clear"/>
        </w:rPr>
        <w:t>.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01</w:t>
      </w:r>
      <w:r>
        <w:rPr>
          <w:b/>
          <w:shd w:fill="auto" w:val="clear"/>
        </w:rPr>
        <w:t>.202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2</w:t>
      </w:r>
      <w:r>
        <w:rPr>
          <w:b/>
          <w:shd w:fill="auto" w:val="clear"/>
        </w:rPr>
        <w:t xml:space="preserve"> в 10.00 час.</w:t>
      </w:r>
    </w:p>
    <w:p>
      <w:pPr>
        <w:pStyle w:val="Normal"/>
        <w:autoSpaceDE w:val="false"/>
        <w:jc w:val="both"/>
        <w:rPr/>
      </w:pPr>
      <w:r>
        <w:rPr>
          <w:b/>
        </w:rPr>
        <w:t>Место, дата и время проведения аукциона: г. Ядрин</w:t>
      </w:r>
      <w:r>
        <w:rPr>
          <w:b/>
          <w:shd w:fill="auto" w:val="clear"/>
        </w:rPr>
        <w:t xml:space="preserve">, ул. 30 лет Победы, д. 1, 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18</w:t>
      </w:r>
      <w:r>
        <w:rPr>
          <w:b/>
          <w:shd w:fill="auto" w:val="clear"/>
        </w:rPr>
        <w:t>.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01</w:t>
      </w:r>
      <w:r>
        <w:rPr>
          <w:b/>
          <w:shd w:fill="auto" w:val="clear"/>
        </w:rPr>
        <w:t>.2022, в 10.00 час. в зале заседаний Ядринской районной администрации Чувашской Республики.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  <w:shd w:fill="auto" w:val="clear"/>
        </w:rPr>
        <w:t xml:space="preserve">Регистрация участников аукциона производится 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val="ru-RU" w:eastAsia="zh-CN" w:bidi="ar-SA"/>
        </w:rPr>
        <w:t>18</w:t>
      </w:r>
      <w:r>
        <w:rPr>
          <w:b/>
          <w:shd w:fill="auto" w:val="clear"/>
        </w:rPr>
        <w:t>.01.2022 с 09.00 до 09.45 час. по адресу: г. Ядрин, ул. 30 лет Победы, д. 1, каб. №302.</w:t>
      </w:r>
    </w:p>
    <w:p>
      <w:pPr>
        <w:pStyle w:val="Normal"/>
        <w:jc w:val="both"/>
        <w:rPr/>
      </w:pPr>
      <w:r>
        <w:rPr/>
        <w:tab/>
        <w:t>Прием заявок на участие в аукционе осуществляется по рабочим дням с 09.00 до 16.00 по адресу: г. Ядрин, ул. 30 лет Победы, д. 1, каб. №304. Справки по тел. 22-231, 22-38</w:t>
      </w:r>
      <w:bookmarkStart w:id="0" w:name="sub_1020"/>
      <w:r>
        <w:rPr/>
        <w:t>4.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Заявка на участие в аукционе подается в срок и по форме, которая установлена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before="5" w:after="0"/>
        <w:jc w:val="both"/>
        <w:rPr/>
      </w:pPr>
      <w:r>
        <w:rPr/>
        <w:tab/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b/>
          <w:b/>
        </w:rPr>
      </w:pPr>
      <w:r>
        <w:rPr/>
        <w:tab/>
      </w:r>
      <w:r>
        <w:rPr>
          <w:b/>
        </w:rPr>
        <w:t>Порядок проведения аукциона.</w:t>
      </w:r>
      <w:bookmarkEnd w:id="0"/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>
          <w:b/>
        </w:rPr>
        <w:tab/>
      </w:r>
      <w:r>
        <w:rPr/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426" w:leader="none"/>
          <w:tab w:val="left" w:pos="998" w:leader="none"/>
        </w:tabs>
        <w:ind w:firstLine="709"/>
        <w:jc w:val="both"/>
        <w:rPr/>
      </w:pPr>
      <w:r>
        <w:rPr/>
        <w:t>заявка на участие в аукционе по форме, установленной аукционной документацией;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426" w:leader="none"/>
          <w:tab w:val="left" w:pos="1051" w:leader="none"/>
        </w:tabs>
        <w:spacing w:before="5" w:after="0"/>
        <w:ind w:firstLine="709"/>
        <w:jc w:val="both"/>
        <w:rPr/>
      </w:pPr>
      <w:r>
        <w:rPr/>
        <w:t>документ, подтверждающий внесение задатка.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/>
        <w:tab/>
        <w:t xml:space="preserve">Прием заявок прекращается не ранее чем за пять дней до дня проведения аукциона.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/>
        <w:tab/>
        <w:t>Заявитель вправе подать только одну заявку в отношении каждого предмета аукциона (лота).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/>
        <w:tab/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/>
        <w:tab/>
        <w:t xml:space="preserve"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</w:t>
      </w:r>
      <w:r>
        <w:rPr>
          <w:spacing w:val="10"/>
        </w:rPr>
        <w:t xml:space="preserve">регистрации </w:t>
      </w:r>
      <w:r>
        <w:rPr/>
        <w:t>заявки на участие в аукционе (далее - журнал).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/>
        <w:tab/>
        <w:t xml:space="preserve">Заявитель не допускается к участию в аукционе по следующим основаниям: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426" w:leader="none"/>
        </w:tabs>
        <w:ind w:firstLine="709"/>
        <w:jc w:val="both"/>
        <w:rPr/>
      </w:pPr>
      <w:r>
        <w:rPr/>
        <w:t>непредставление необходимых для участия в аукционе документов или представление недостоверных сведений (заявка на участие в аукционе по форме, установленной аукционной документацией; документ, подтверждающий внесение задатка);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426" w:leader="none"/>
          <w:tab w:val="left" w:pos="1205" w:leader="none"/>
        </w:tabs>
        <w:ind w:firstLine="709"/>
        <w:jc w:val="both"/>
        <w:rPr/>
      </w:pPr>
      <w:r>
        <w:rPr/>
        <w:t xml:space="preserve">непоступление задатка </w:t>
      </w:r>
      <w:r>
        <w:rPr>
          <w:spacing w:val="10"/>
        </w:rPr>
        <w:t xml:space="preserve">на </w:t>
      </w:r>
      <w:r>
        <w:rPr/>
        <w:t xml:space="preserve">счет, указанный в извещении о проведении аукциона, до дня </w:t>
      </w:r>
      <w:r>
        <w:rPr>
          <w:spacing w:val="10"/>
        </w:rPr>
        <w:t xml:space="preserve">окончания </w:t>
      </w:r>
      <w:r>
        <w:rPr/>
        <w:t>приема заявок для участия в аукционе.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/>
        <w:tab/>
        <w:t>Отказ в допуске к участию в аукционе по иным основаниям не допускается.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1838" w:leader="none"/>
        </w:tabs>
        <w:spacing w:before="67" w:after="0"/>
        <w:jc w:val="both"/>
        <w:rPr/>
      </w:pPr>
      <w:r>
        <w:rPr/>
        <w:tab/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1838" w:leader="none"/>
        </w:tabs>
        <w:jc w:val="both"/>
        <w:rPr/>
      </w:pPr>
      <w:r>
        <w:rPr/>
        <w:tab/>
        <w:t>Аукционная комиссия ведет протокол рассмотрения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Протокол рассмотрения заявок подписывается аукционной комиссией в течение трех дней со дня окончания срока приема заявок. Заявитель становится участником аукциона с момента подписания аукционной комиссией протокола рассмотрения заявок.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1838" w:leader="none"/>
        </w:tabs>
        <w:jc w:val="both"/>
        <w:rPr/>
      </w:pPr>
      <w:r>
        <w:rPr/>
        <w:tab/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на участие в аукционе, путем направления заказного письма. 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1838" w:leader="none"/>
        </w:tabs>
        <w:jc w:val="both"/>
        <w:rPr/>
      </w:pPr>
      <w:r>
        <w:rPr/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1747" w:leader="none"/>
        </w:tabs>
        <w:jc w:val="both"/>
        <w:rPr/>
      </w:pPr>
      <w:r>
        <w:rPr/>
        <w:tab/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1733" w:leader="none"/>
        </w:tabs>
        <w:jc w:val="both"/>
        <w:rPr/>
      </w:pPr>
      <w:r>
        <w:rPr/>
        <w:tab/>
        <w:t>Аукцион начинается с оглашения аукционистом номера лота, его содержания, начальной цены и шага аукциона.</w:t>
      </w:r>
    </w:p>
    <w:p>
      <w:pPr>
        <w:pStyle w:val="Normal"/>
        <w:tabs>
          <w:tab w:val="clear" w:pos="708"/>
          <w:tab w:val="left" w:pos="0" w:leader="none"/>
          <w:tab w:val="left" w:pos="426" w:leader="none"/>
          <w:tab w:val="left" w:pos="1733" w:leader="none"/>
          <w:tab w:val="left" w:pos="5640" w:leader="none"/>
        </w:tabs>
        <w:jc w:val="both"/>
        <w:rPr/>
      </w:pPr>
      <w:r>
        <w:rPr/>
        <w:tab/>
        <w:t xml:space="preserve">Участники аукциона сигнализируют о готовности купить </w:t>
      </w:r>
      <w:r>
        <w:rPr>
          <w:rStyle w:val="FontStyle11"/>
          <w:sz w:val="24"/>
        </w:rPr>
        <w:t xml:space="preserve">право на размещение нестационарного торгового объекта </w:t>
      </w:r>
      <w:r>
        <w:rPr/>
        <w:t xml:space="preserve">по данной цене поднятием </w:t>
      </w:r>
      <w:r>
        <w:rPr>
          <w:iCs/>
          <w:spacing w:val="-20"/>
        </w:rPr>
        <w:t>карточки</w:t>
      </w:r>
      <w:r>
        <w:rPr/>
        <w:t xml:space="preserve">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</w:t>
      </w:r>
      <w:r>
        <w:rPr>
          <w:spacing w:val="30"/>
        </w:rPr>
        <w:t>аукциона.</w:t>
      </w:r>
      <w:r>
        <w:rPr/>
        <w:t xml:space="preserve">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/>
      </w:pPr>
      <w:r>
        <w:rPr/>
        <w:tab/>
        <w:t xml:space="preserve">По завершении аукциона аукционист объявляет о продаже права </w:t>
      </w:r>
      <w:r>
        <w:rPr>
          <w:rStyle w:val="FontStyle11"/>
          <w:sz w:val="24"/>
        </w:rPr>
        <w:t>на размещение нестационарных торговых объектов</w:t>
      </w:r>
      <w:r>
        <w:rPr/>
        <w:t>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lang w:eastAsia="en-US"/>
        </w:rPr>
      </w:pPr>
      <w:r>
        <w:rPr>
          <w:lang w:eastAsia="en-US"/>
        </w:rPr>
        <w:tab/>
        <w:t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  <w:bookmarkStart w:id="1" w:name="sub_242"/>
      <w:bookmarkStart w:id="2" w:name="sub_4603"/>
      <w:bookmarkEnd w:id="1"/>
      <w:bookmarkEnd w:id="2"/>
    </w:p>
    <w:p>
      <w:pPr>
        <w:pStyle w:val="Normal"/>
        <w:jc w:val="both"/>
        <w:rPr>
          <w:b/>
          <w:b/>
        </w:rPr>
      </w:pPr>
      <w:r>
        <w:rPr>
          <w:b/>
        </w:rPr>
        <w:t>Порядок возврата задатка: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rStyle w:val="FontStyle11"/>
          <w:sz w:val="24"/>
        </w:rPr>
      </w:pPr>
      <w:r>
        <w:rPr>
          <w:lang w:eastAsia="en-US"/>
        </w:rPr>
        <w:tab/>
      </w:r>
      <w:r>
        <w:rPr>
          <w:rStyle w:val="FontStyle11"/>
          <w:sz w:val="24"/>
        </w:rPr>
        <w:t xml:space="preserve">Сумма задатка за участие в аукционе устанавливается Организатором аукциона в размере 50 процентов от начальной цены предмета аукциона.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lang w:eastAsia="en-US"/>
        </w:rPr>
      </w:pPr>
      <w:r>
        <w:rPr>
          <w:rStyle w:val="FontStyle11"/>
          <w:sz w:val="24"/>
        </w:rPr>
        <w:tab/>
      </w:r>
      <w:r>
        <w:rPr>
          <w:lang w:eastAsia="en-US"/>
        </w:rPr>
        <w:t>Победитель аукциона при уклонении от подписания протокола о результатах аукциона утрачивает внесенный им задаток. Сумма задатка подлежит перечислению Организатору аукциона.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lang w:eastAsia="en-US"/>
        </w:rPr>
      </w:pPr>
      <w:r>
        <w:rPr>
          <w:lang w:eastAsia="en-US"/>
        </w:rPr>
        <w:tab/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lang w:eastAsia="en-US"/>
        </w:rPr>
      </w:pPr>
      <w:r>
        <w:rPr>
          <w:lang w:eastAsia="en-US"/>
        </w:rPr>
        <w:tab/>
        <w:t xml:space="preserve">Участнику аукциона, сделавшему предпоследнее предложение о цене </w:t>
      </w:r>
      <w:r>
        <w:rPr>
          <w:rStyle w:val="FontStyle11"/>
          <w:sz w:val="24"/>
        </w:rPr>
        <w:t xml:space="preserve">за право размещения нестационарных торговых объектов </w:t>
      </w:r>
      <w:r>
        <w:rPr>
          <w:lang w:eastAsia="en-US"/>
        </w:rPr>
        <w:t>задаток возвращается в течение пяти рабочих дней с даты подписания договора с победителем аукциона.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lang w:eastAsia="en-US"/>
        </w:rPr>
      </w:pPr>
      <w:r>
        <w:rPr>
          <w:lang w:eastAsia="en-US"/>
        </w:rPr>
        <w:tab/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>Банковские реквизиты для перечисления задатка:</w:t>
      </w:r>
    </w:p>
    <w:p>
      <w:pPr>
        <w:pStyle w:val="Normal"/>
        <w:autoSpaceDE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ИНН 2119003281 КПП 211901001</w:t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 xml:space="preserve">Казначейский счет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03232643976530001500   </w:t>
      </w:r>
    </w:p>
    <w:p>
      <w:pPr>
        <w:pStyle w:val="Normal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Лицевой счет 05153003160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ОТДЕЛЕНИЕ-НБ ЧУВАШСКАЯ РЕСПУБЛИКА БАНКА РОССИИ//УФК по Чувашской Республике, г.Чебоксары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Единый казначейский счет 40102810945370000084  </w:t>
      </w:r>
    </w:p>
    <w:p>
      <w:pPr>
        <w:pStyle w:val="Normal"/>
        <w:tabs>
          <w:tab w:val="clear" w:pos="708"/>
          <w:tab w:val="left" w:pos="900" w:leader="none"/>
        </w:tabs>
        <w:jc w:val="both"/>
        <w:rPr/>
      </w:pPr>
      <w:r>
        <w:rPr>
          <w:rFonts w:cs="Times New Roman"/>
          <w:bCs/>
          <w:sz w:val="24"/>
          <w:szCs w:val="24"/>
          <w:shd w:fill="auto" w:val="clear"/>
        </w:rPr>
        <w:t xml:space="preserve">БИК 019706900 </w:t>
      </w:r>
      <w:r>
        <w:rPr>
          <w:bCs/>
          <w:sz w:val="24"/>
          <w:szCs w:val="24"/>
          <w:shd w:fill="auto" w:val="clear"/>
        </w:rPr>
        <w:t>Назначение платежа: задаток для участия в открытом аукционе ____________ (</w:t>
      </w:r>
      <w:r>
        <w:rPr>
          <w:sz w:val="24"/>
          <w:szCs w:val="24"/>
          <w:shd w:fill="auto" w:val="clear"/>
        </w:rPr>
        <w:t>с обязательным указанием адреса тор</w:t>
      </w:r>
      <w:r>
        <w:rPr>
          <w:shd w:fill="auto" w:val="clear"/>
        </w:rPr>
        <w:t>гового места и номера в Схеме размещения нестационарных торговых объектов в соответствии с параметрами НТО</w:t>
      </w:r>
      <w:r>
        <w:rPr>
          <w:bCs/>
          <w:shd w:fill="auto" w:val="clear"/>
        </w:rPr>
        <w:t xml:space="preserve">). 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b/>
          <w:b/>
        </w:rPr>
      </w:pPr>
      <w:r>
        <w:rPr>
          <w:b/>
          <w:bCs/>
        </w:rPr>
        <w:t xml:space="preserve">    </w:t>
      </w:r>
      <w:r>
        <w:rPr>
          <w:b w:val="false"/>
          <w:bCs w:val="false"/>
        </w:rPr>
        <w:t>Задаток вносится единым платежом по каждому лоту отдельно и должен быть перечислен не позднее последнего дня приема заявок на участие в открытом аукционе.</w:t>
      </w:r>
    </w:p>
    <w:p>
      <w:pPr>
        <w:pStyle w:val="Normal"/>
        <w:jc w:val="both"/>
        <w:rPr>
          <w:bCs/>
        </w:rPr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nsultant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36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0"/>
    <w:qFormat/>
    <w:rsid w:val="00422ea5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c0736b"/>
    <w:rPr>
      <w:color w:val="0000FF" w:themeColor="hyperlink"/>
      <w:u w:val="single"/>
    </w:rPr>
  </w:style>
  <w:style w:type="character" w:styleId="Style14" w:customStyle="1">
    <w:name w:val="Основной текст Знак"/>
    <w:basedOn w:val="DefaultParagraphFont"/>
    <w:link w:val="a4"/>
    <w:semiHidden/>
    <w:qFormat/>
    <w:rsid w:val="00c0736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f525bb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Нижний колонтитул Знак"/>
    <w:basedOn w:val="DefaultParagraphFont"/>
    <w:link w:val="a8"/>
    <w:qFormat/>
    <w:rsid w:val="00422ea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422ea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FontStyle11" w:customStyle="1">
    <w:name w:val="Font Style11"/>
    <w:uiPriority w:val="99"/>
    <w:qFormat/>
    <w:rsid w:val="00005ce3"/>
    <w:rPr>
      <w:rFonts w:ascii="Times New Roman" w:hAnsi="Times New Roman"/>
      <w:sz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semiHidden/>
    <w:unhideWhenUsed/>
    <w:rsid w:val="00c0736b"/>
    <w:pPr>
      <w:jc w:val="center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qFormat/>
    <w:rsid w:val="00c0736b"/>
    <w:pPr>
      <w:widowControl w:val="false"/>
      <w:bidi w:val="0"/>
      <w:snapToGrid w:val="false"/>
      <w:spacing w:lineRule="auto" w:line="240" w:before="0" w:after="0"/>
      <w:ind w:firstLine="720"/>
      <w:jc w:val="left"/>
    </w:pPr>
    <w:rPr>
      <w:rFonts w:ascii="Consultant" w:hAnsi="Consultant" w:eastAsia="Times New Roman" w:cs="Times New Roman"/>
      <w:color w:val="auto"/>
      <w:kern w:val="0"/>
      <w:sz w:val="16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525bb"/>
    <w:pPr/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9"/>
    <w:rsid w:val="00422e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0d780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Cell" w:customStyle="1">
    <w:name w:val="ConsCell"/>
    <w:qFormat/>
    <w:rsid w:val="00e33a35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LibreOffice/7.0.3.1$Windows_X86_64 LibreOffice_project/d7547858d014d4cf69878db179d326fc3483e082</Application>
  <Pages>3</Pages>
  <Words>1185</Words>
  <Characters>7794</Characters>
  <CharactersWithSpaces>8938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2020-10-08T06:45:00Z</dcterms:created>
  <dc:creator>pressa4</dc:creator>
  <dc:description/>
  <dc:language>ru-RU</dc:language>
  <cp:lastModifiedBy/>
  <cp:lastPrinted>2016-06-07T07:29:00Z</cp:lastPrinted>
  <dcterms:modified xsi:type="dcterms:W3CDTF">2021-12-07T08:54:59Z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