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0" w:firstLine="72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ПРОЕКТ</w:t>
      </w:r>
    </w:p>
    <w:tbl>
      <w:tblPr>
        <w:tblW w:w="9486" w:type="dxa"/>
        <w:jc w:val="left"/>
        <w:tblInd w:w="-7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52"/>
        <w:gridCol w:w="1433"/>
        <w:gridCol w:w="3901"/>
      </w:tblGrid>
      <w:tr>
        <w:trPr>
          <w:trHeight w:val="435" w:hRule="atLeast"/>
          <w:cantSplit w:val="true"/>
        </w:trPr>
        <w:tc>
          <w:tcPr>
            <w:tcW w:w="4152" w:type="dxa"/>
            <w:tcBorders/>
          </w:tcPr>
          <w:p>
            <w:pPr>
              <w:pStyle w:val="Style25"/>
              <w:widowControl w:val="false"/>
              <w:tabs>
                <w:tab w:val="clear" w:pos="708"/>
                <w:tab w:val="left" w:pos="4285" w:leader="none"/>
              </w:tabs>
              <w:spacing w:lineRule="auto" w:line="192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2"/>
              </w:rPr>
              <w:t>ЧĂВАШ РЕСПУБЛИКИ</w:t>
            </w:r>
          </w:p>
          <w:p>
            <w:pPr>
              <w:pStyle w:val="Style25"/>
              <w:widowControl w:val="false"/>
              <w:tabs>
                <w:tab w:val="clear" w:pos="708"/>
                <w:tab w:val="left" w:pos="4285" w:leader="none"/>
              </w:tabs>
              <w:spacing w:lineRule="auto" w:line="192"/>
              <w:jc w:val="center"/>
              <w:rPr/>
            </w:pPr>
            <w:r>
              <w:rPr>
                <w:rFonts w:cs="Baltica Chv" w:ascii="Baltica Chv" w:hAnsi="Baltica Chv"/>
                <w:b/>
                <w:bCs/>
                <w:color w:val="000000"/>
                <w:sz w:val="22"/>
              </w:rPr>
              <w:t xml:space="preserve">ЕТЕРНЕ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2"/>
              </w:rPr>
              <w:t>РАЙОНĚ</w:t>
            </w:r>
          </w:p>
        </w:tc>
        <w:tc>
          <w:tcPr>
            <w:tcW w:w="1433" w:type="dxa"/>
            <w:vMerge w:val="restart"/>
            <w:tcBorders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151130</wp:posOffset>
                  </wp:positionV>
                  <wp:extent cx="713740" cy="713740"/>
                  <wp:effectExtent l="0" t="0" r="0" b="0"/>
                  <wp:wrapNone/>
                  <wp:docPr id="1" name="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740" cy="713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901" w:type="dxa"/>
            <w:tcBorders/>
          </w:tcPr>
          <w:p>
            <w:pPr>
              <w:pStyle w:val="Style25"/>
              <w:widowControl w:val="false"/>
              <w:spacing w:lineRule="auto" w:line="192"/>
              <w:jc w:val="center"/>
              <w:rPr>
                <w:rFonts w:ascii="Times New Roman" w:hAnsi="Times New Roman" w:cs="Times New Roman"/>
                <w:b/>
                <w:b/>
                <w:bCs/>
                <w:sz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</w:rPr>
              <w:t>ЧУВАШСКАЯ РЕСПУБЛИКА</w:t>
            </w:r>
          </w:p>
          <w:p>
            <w:pPr>
              <w:pStyle w:val="Style25"/>
              <w:widowControl w:val="false"/>
              <w:spacing w:lineRule="auto" w:line="192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2"/>
              </w:rPr>
              <w:t>ЯДРИНСКИЙ РАЙОН</w:t>
            </w:r>
          </w:p>
        </w:tc>
      </w:tr>
      <w:tr>
        <w:trPr>
          <w:trHeight w:val="1975" w:hRule="atLeast"/>
          <w:cantSplit w:val="true"/>
        </w:trPr>
        <w:tc>
          <w:tcPr>
            <w:tcW w:w="4152" w:type="dxa"/>
            <w:tcBorders/>
          </w:tcPr>
          <w:p>
            <w:pPr>
              <w:pStyle w:val="Style25"/>
              <w:widowControl w:val="false"/>
              <w:tabs>
                <w:tab w:val="clear" w:pos="708"/>
                <w:tab w:val="left" w:pos="4285" w:leader="none"/>
              </w:tabs>
              <w:spacing w:lineRule="auto" w:line="192" w:before="8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</w:rPr>
              <w:t>ЕТЕРНЕ РАЙОН</w:t>
            </w:r>
          </w:p>
          <w:p>
            <w:pPr>
              <w:pStyle w:val="Style25"/>
              <w:widowControl w:val="false"/>
              <w:tabs>
                <w:tab w:val="clear" w:pos="708"/>
                <w:tab w:val="left" w:pos="4285" w:leader="none"/>
              </w:tabs>
              <w:spacing w:lineRule="auto" w:line="192" w:before="8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</w:rPr>
              <w:t>АДМИНИСТРАЦИЙĚ</w:t>
            </w:r>
          </w:p>
          <w:p>
            <w:pPr>
              <w:pStyle w:val="Style25"/>
              <w:widowControl w:val="false"/>
              <w:tabs>
                <w:tab w:val="clear" w:pos="708"/>
                <w:tab w:val="left" w:pos="4285" w:leader="none"/>
              </w:tabs>
              <w:spacing w:lineRule="auto" w:line="192"/>
              <w:ind w:left="0" w:right="0" w:firstLine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5"/>
              <w:widowControl w:val="false"/>
              <w:tabs>
                <w:tab w:val="clear" w:pos="708"/>
                <w:tab w:val="left" w:pos="4285" w:leader="none"/>
              </w:tabs>
              <w:spacing w:lineRule="auto" w:line="192"/>
              <w:jc w:val="center"/>
              <w:rPr/>
            </w:pPr>
            <w:r>
              <w:rPr>
                <w:rStyle w:val="Style12"/>
                <w:rFonts w:cs="Times New Roman" w:ascii="Times New Roman" w:hAnsi="Times New Roman"/>
                <w:color w:val="000000"/>
              </w:rPr>
              <w:t>ЙЫШАНУ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5"/>
              <w:widowControl w:val="false"/>
              <w:ind w:left="0" w:right="-35" w:hanging="0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</w:rPr>
              <w:t xml:space="preserve">             </w:t>
            </w:r>
            <w:r>
              <w:rPr>
                <w:rFonts w:cs="Times New Roman" w:ascii="Times New Roman" w:hAnsi="Times New Roman"/>
                <w:color w:val="000000"/>
                <w:sz w:val="26"/>
              </w:rPr>
              <w:t>.03.2022   №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Етерне хули</w:t>
            </w:r>
          </w:p>
        </w:tc>
        <w:tc>
          <w:tcPr>
            <w:tcW w:w="1433" w:type="dxa"/>
            <w:vMerge w:val="continue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01" w:type="dxa"/>
            <w:tcBorders/>
          </w:tcPr>
          <w:p>
            <w:pPr>
              <w:pStyle w:val="Style25"/>
              <w:widowControl w:val="false"/>
              <w:spacing w:lineRule="auto" w:line="192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2"/>
              </w:rPr>
            </w:r>
          </w:p>
          <w:p>
            <w:pPr>
              <w:pStyle w:val="Style25"/>
              <w:widowControl w:val="false"/>
              <w:spacing w:lineRule="auto" w:line="192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2"/>
              </w:rPr>
              <w:t>ЯДРИНСКАЯ РАЙОННАЯ</w:t>
            </w:r>
          </w:p>
          <w:p>
            <w:pPr>
              <w:pStyle w:val="Style25"/>
              <w:widowControl w:val="false"/>
              <w:spacing w:lineRule="auto" w:line="192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2"/>
              </w:rPr>
              <w:t>АДМИНИСТРАЦИЯ</w:t>
            </w:r>
          </w:p>
          <w:p>
            <w:pPr>
              <w:pStyle w:val="Style25"/>
              <w:widowControl w:val="false"/>
              <w:spacing w:lineRule="auto" w:line="1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5"/>
              <w:widowControl w:val="false"/>
              <w:spacing w:lineRule="auto" w:line="192"/>
              <w:jc w:val="center"/>
              <w:rPr/>
            </w:pPr>
            <w:r>
              <w:rPr>
                <w:rStyle w:val="Style12"/>
                <w:rFonts w:cs="Times New Roman" w:ascii="Times New Roman" w:hAnsi="Times New Roman"/>
                <w:color w:val="000000"/>
              </w:rPr>
              <w:t>ПОСТАНОВЛЕНИЕ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5"/>
              <w:widowControl w:val="false"/>
              <w:ind w:left="0" w:right="-35" w:hanging="0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</w:rPr>
              <w:t xml:space="preserve">             </w:t>
            </w:r>
            <w:r>
              <w:rPr>
                <w:rFonts w:cs="Times New Roman" w:ascii="Times New Roman" w:hAnsi="Times New Roman"/>
                <w:color w:val="000000"/>
                <w:sz w:val="26"/>
              </w:rPr>
              <w:t>.03.2022   №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город Ядрин</w:t>
            </w:r>
          </w:p>
        </w:tc>
      </w:tr>
    </w:tbl>
    <w:p>
      <w:pPr>
        <w:pStyle w:val="Normal"/>
        <w:ind w:left="0" w:right="0" w:firstLine="72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4723" w:type="dxa"/>
        <w:jc w:val="left"/>
        <w:tblInd w:w="-18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3"/>
      </w:tblGrid>
      <w:tr>
        <w:trPr/>
        <w:tc>
          <w:tcPr>
            <w:tcW w:w="472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767" w:leader="none"/>
              </w:tabs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 внесении изменений в муниципальную программу Ядринского района Чувашской Республики «Модернизация и развитие сферы жилищно-коммунального хозяйства» на 2019-2035 годы</w:t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</w:t>
      </w:r>
    </w:p>
    <w:p>
      <w:pPr>
        <w:pStyle w:val="Normal"/>
        <w:widowControl/>
        <w:suppressAutoHyphens w:val="true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</w:t>
      </w:r>
      <w:r>
        <w:rPr>
          <w:rFonts w:cs="Times New Roman" w:ascii="Times New Roman" w:hAnsi="Times New Roman"/>
        </w:rPr>
        <w:t>В соответствии с Соглашением от 02.07.2020 № 19/17-33 «О представлении субсидии из республиканского бюджета Чувашской Республики бюджетам муниципальных районов и городских округов на реализацию отдельных полномочий в области обращения с твердыми коммунальными отходами», Ядринская районная администрация Чувашской Республики п о с т а н о в л я е т:</w:t>
      </w:r>
    </w:p>
    <w:p>
      <w:pPr>
        <w:pStyle w:val="Normal"/>
        <w:tabs>
          <w:tab w:val="clear" w:pos="708"/>
          <w:tab w:val="left" w:pos="767" w:leader="none"/>
        </w:tabs>
        <w:ind w:left="-66" w:right="0" w:hanging="0"/>
        <w:jc w:val="both"/>
        <w:rPr/>
      </w:pPr>
      <w:r>
        <w:rPr>
          <w:rFonts w:cs="Times New Roman" w:ascii="Times New Roman" w:hAnsi="Times New Roman"/>
        </w:rPr>
        <w:t xml:space="preserve">        </w:t>
      </w:r>
      <w:r>
        <w:rPr>
          <w:rFonts w:cs="Times New Roman" w:ascii="Times New Roman" w:hAnsi="Times New Roman"/>
        </w:rPr>
        <w:t>1. Утвердить прилагаемые изменения, которые вносятся в муниципальную программу Ядринского района Чувашской Республики «Модернизация и развитие сферы жилищно-коммунального хозяйства» на 2019-2035 годы, утвержденного постановлением Ядринской районной администрацией Чувашской Республики от 06.10.2021 № 635</w:t>
      </w:r>
      <w:r>
        <w:rPr>
          <w:rFonts w:cs="Times New Roman" w:ascii="Times New Roman" w:hAnsi="Times New Roman"/>
          <w:b/>
        </w:rPr>
        <w:t xml:space="preserve"> «</w:t>
      </w:r>
      <w:r>
        <w:rPr>
          <w:rFonts w:cs="Times New Roman" w:ascii="Times New Roman" w:hAnsi="Times New Roman"/>
        </w:rPr>
        <w:t>Об утверждении муниципальной программы Ядринского района Чувашской Республики «Модернизация и развитие сферы жилищно-коммунального хозяйства</w:t>
      </w:r>
      <w:r>
        <w:rPr>
          <w:rFonts w:cs="Times New Roman" w:ascii="Times New Roman" w:hAnsi="Times New Roman"/>
          <w:b/>
        </w:rPr>
        <w:t>»</w:t>
      </w:r>
      <w:r>
        <w:rPr>
          <w:rFonts w:cs="Times New Roman" w:ascii="Times New Roman" w:hAnsi="Times New Roman"/>
        </w:rPr>
        <w:t>.</w:t>
      </w:r>
    </w:p>
    <w:p>
      <w:pPr>
        <w:pStyle w:val="Normal"/>
        <w:tabs>
          <w:tab w:val="clear" w:pos="708"/>
          <w:tab w:val="left" w:pos="767" w:leader="none"/>
        </w:tabs>
        <w:ind w:left="-66" w:right="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</w:t>
      </w:r>
      <w:r>
        <w:rPr>
          <w:rFonts w:cs="Times New Roman" w:ascii="Times New Roman" w:hAnsi="Times New Roman"/>
        </w:rPr>
        <w:t>2. Контроль за исполнением настоящего постановления возложить на отдел строительства, дорожного хозяйства и ЖКХ Ядринской районной администрации Чувашской Республики.</w:t>
      </w:r>
    </w:p>
    <w:p>
      <w:pPr>
        <w:pStyle w:val="Normal"/>
        <w:tabs>
          <w:tab w:val="clear" w:pos="708"/>
          <w:tab w:val="left" w:pos="767" w:leader="none"/>
        </w:tabs>
        <w:ind w:left="-66" w:right="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</w:t>
      </w:r>
      <w:r>
        <w:rPr>
          <w:rFonts w:cs="Times New Roman" w:ascii="Times New Roman" w:hAnsi="Times New Roman"/>
        </w:rPr>
        <w:t xml:space="preserve">3. Настоящее постановление вступает в силу со дня его официального опубликования. </w:t>
      </w:r>
    </w:p>
    <w:p>
      <w:pPr>
        <w:pStyle w:val="Normal"/>
        <w:tabs>
          <w:tab w:val="clear" w:pos="708"/>
          <w:tab w:val="left" w:pos="767" w:leader="none"/>
        </w:tabs>
        <w:ind w:left="-66" w:right="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9600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0"/>
        <w:gridCol w:w="1532"/>
        <w:gridCol w:w="2688"/>
      </w:tblGrid>
      <w:tr>
        <w:trPr>
          <w:trHeight w:val="581" w:hRule="atLeast"/>
        </w:trPr>
        <w:tc>
          <w:tcPr>
            <w:tcW w:w="5380" w:type="dxa"/>
            <w:tcBorders/>
            <w:vAlign w:val="bottom"/>
          </w:tcPr>
          <w:p>
            <w:pPr>
              <w:pStyle w:val="Normal"/>
              <w:widowControl w:val="false"/>
              <w:ind w:left="0" w:right="545" w:hang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ind w:left="0" w:right="545" w:hanging="0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Глава Ядринской районной </w:t>
            </w:r>
            <w:r>
              <w:rPr>
                <w:rFonts w:cs="Times New Roman" w:ascii="Times New Roman" w:hAnsi="Times New Roman"/>
              </w:rPr>
              <w:t>администрации Чувашской Республики</w:t>
            </w:r>
          </w:p>
        </w:tc>
        <w:tc>
          <w:tcPr>
            <w:tcW w:w="1532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88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             </w:t>
            </w:r>
            <w:r>
              <w:rPr>
                <w:rFonts w:cs="Times New Roman" w:ascii="Times New Roman" w:hAnsi="Times New Roman"/>
              </w:rPr>
              <w:t>А.А.Семенов</w:t>
            </w:r>
          </w:p>
        </w:tc>
      </w:tr>
    </w:tbl>
    <w:p>
      <w:pPr>
        <w:pStyle w:val="Normal"/>
        <w:tabs>
          <w:tab w:val="clear" w:pos="708"/>
          <w:tab w:val="left" w:pos="767" w:leader="none"/>
        </w:tabs>
        <w:ind w:left="-66" w:right="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767" w:leader="none"/>
        </w:tabs>
        <w:ind w:left="-12" w:right="0" w:hanging="0"/>
        <w:jc w:val="both"/>
        <w:rPr/>
      </w:pPr>
      <w:r>
        <w:rPr/>
      </w:r>
    </w:p>
    <w:p>
      <w:pPr>
        <w:pStyle w:val="Normal"/>
        <w:tabs>
          <w:tab w:val="clear" w:pos="708"/>
          <w:tab w:val="left" w:pos="767" w:leader="none"/>
        </w:tabs>
        <w:ind w:left="-12" w:right="0" w:hanging="0"/>
        <w:jc w:val="both"/>
        <w:rPr/>
      </w:pPr>
      <w:r>
        <w:rPr/>
      </w:r>
    </w:p>
    <w:p>
      <w:pPr>
        <w:pStyle w:val="Normal"/>
        <w:tabs>
          <w:tab w:val="clear" w:pos="708"/>
          <w:tab w:val="left" w:pos="767" w:leader="none"/>
        </w:tabs>
        <w:ind w:left="-12" w:right="0" w:hanging="0"/>
        <w:jc w:val="both"/>
        <w:rPr/>
      </w:pPr>
      <w:r>
        <w:rPr/>
      </w:r>
    </w:p>
    <w:p>
      <w:pPr>
        <w:pStyle w:val="Normal"/>
        <w:tabs>
          <w:tab w:val="clear" w:pos="708"/>
          <w:tab w:val="left" w:pos="767" w:leader="none"/>
        </w:tabs>
        <w:ind w:left="-12" w:right="0" w:hanging="0"/>
        <w:jc w:val="both"/>
        <w:rPr/>
      </w:pPr>
      <w:r>
        <w:rPr/>
      </w:r>
    </w:p>
    <w:p>
      <w:pPr>
        <w:pStyle w:val="Normal"/>
        <w:ind w:left="0" w:right="0" w:firstLine="72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left="0" w:right="0" w:firstLine="72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left="0" w:right="0" w:firstLine="72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left="0" w:right="0" w:firstLine="72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left="0" w:right="0" w:firstLine="72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left="0" w:right="0" w:firstLine="72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left="0" w:right="0" w:firstLine="72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left="0" w:right="0" w:firstLine="72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left="0" w:right="0" w:firstLine="72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Утверждены постановлением</w:t>
      </w:r>
    </w:p>
    <w:p>
      <w:pPr>
        <w:pStyle w:val="Normal"/>
        <w:ind w:left="0" w:right="0" w:firstLine="72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Ядринской районной администрации </w:t>
      </w:r>
    </w:p>
    <w:p>
      <w:pPr>
        <w:pStyle w:val="Normal"/>
        <w:ind w:left="0" w:right="0" w:firstLine="72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Чувашской Республики</w:t>
      </w:r>
    </w:p>
    <w:p>
      <w:pPr>
        <w:pStyle w:val="Normal"/>
        <w:ind w:left="0" w:right="0" w:firstLine="72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2"/>
          <w:szCs w:val="22"/>
        </w:rPr>
        <w:t xml:space="preserve">от .03.2022  №          </w:t>
      </w:r>
    </w:p>
    <w:p>
      <w:pPr>
        <w:pStyle w:val="Normal"/>
        <w:ind w:left="0" w:right="0"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widowControl/>
        <w:ind w:left="0" w:right="0" w:firstLine="72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widowControl/>
        <w:ind w:left="0" w:right="0" w:firstLine="72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И З М Е Н Е Н И Я,</w:t>
      </w:r>
    </w:p>
    <w:p>
      <w:pPr>
        <w:pStyle w:val="Normal"/>
        <w:widowControl/>
        <w:ind w:left="0" w:right="0" w:firstLine="72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которые вносятся в муниципальную программу  </w:t>
      </w:r>
    </w:p>
    <w:p>
      <w:pPr>
        <w:pStyle w:val="Normal"/>
        <w:widowControl/>
        <w:ind w:left="0" w:right="0" w:firstLine="720"/>
        <w:jc w:val="center"/>
        <w:rPr/>
      </w:pPr>
      <w:r>
        <w:rPr>
          <w:rFonts w:cs="Times New Roman" w:ascii="Times New Roman" w:hAnsi="Times New Roman"/>
          <w:b/>
        </w:rPr>
        <w:t>Ядринского района</w:t>
      </w:r>
      <w:r>
        <w:rPr>
          <w:rFonts w:cs="Times New Roman" w:ascii="Times New Roman" w:hAnsi="Times New Roman"/>
          <w:b/>
          <w:bCs/>
          <w:lang w:eastAsia="en-US"/>
        </w:rPr>
        <w:t xml:space="preserve"> Чувашской Республики  «Модернизация и развитие сферы жилищного </w:t>
      </w:r>
      <w:r>
        <w:rPr>
          <w:rFonts w:cs="Times New Roman" w:ascii="Times New Roman" w:hAnsi="Times New Roman"/>
          <w:b/>
          <w:bCs/>
          <w:color w:val="26282F"/>
          <w:lang w:eastAsia="en-US"/>
        </w:rPr>
        <w:t>- коммунального хозяйства» на 2019-2035 годы</w:t>
      </w:r>
    </w:p>
    <w:p>
      <w:pPr>
        <w:pStyle w:val="Normal"/>
        <w:widowControl/>
        <w:ind w:left="0" w:right="0" w:firstLine="72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  <w:bookmarkStart w:id="0" w:name="_GoBack"/>
      <w:bookmarkStart w:id="1" w:name="_GoBack"/>
      <w:bookmarkEnd w:id="1"/>
    </w:p>
    <w:p>
      <w:pPr>
        <w:pStyle w:val="1"/>
        <w:jc w:val="both"/>
        <w:rPr/>
      </w:pPr>
      <w:r>
        <w:rPr>
          <w:rFonts w:cs="Times New Roman" w:ascii="Times New Roman" w:hAnsi="Times New Roman"/>
          <w:color w:val="00000A"/>
          <w:sz w:val="26"/>
          <w:szCs w:val="26"/>
        </w:rPr>
        <w:t xml:space="preserve">1. </w:t>
      </w:r>
      <w:r>
        <w:rPr>
          <w:rFonts w:cs="Times New Roman" w:ascii="Times New Roman" w:hAnsi="Times New Roman"/>
          <w:b w:val="false"/>
          <w:color w:val="00000A"/>
          <w:sz w:val="26"/>
          <w:szCs w:val="26"/>
        </w:rPr>
        <w:t>В паспорте муниципальной программы Ядринского района Чувашской Республики «Модернизация и развитие сферы жилищно-коммунального хозяйства»</w:t>
      </w:r>
      <w:r>
        <w:rPr>
          <w:rFonts w:cs="Times New Roman" w:ascii="Times New Roman" w:hAnsi="Times New Roman"/>
          <w:b w:val="false"/>
          <w:bCs w:val="false"/>
          <w:color w:val="00000A"/>
          <w:sz w:val="26"/>
          <w:szCs w:val="26"/>
          <w:lang w:eastAsia="en-US"/>
        </w:rPr>
        <w:t xml:space="preserve"> на 2019-2035 годы (далее – программа)</w:t>
      </w:r>
      <w:r>
        <w:rPr>
          <w:rFonts w:cs="Times New Roman" w:ascii="Times New Roman" w:hAnsi="Times New Roman"/>
          <w:b w:val="false"/>
          <w:color w:val="00000A"/>
          <w:sz w:val="26"/>
          <w:szCs w:val="26"/>
        </w:rPr>
        <w:t>:</w:t>
      </w:r>
    </w:p>
    <w:p>
      <w:pPr>
        <w:pStyle w:val="Normal"/>
        <w:rPr/>
      </w:pPr>
      <w:r>
        <w:rPr/>
      </w:r>
    </w:p>
    <w:p>
      <w:pPr>
        <w:pStyle w:val="1"/>
        <w:jc w:val="both"/>
        <w:rPr/>
      </w:pPr>
      <w:r>
        <w:rPr>
          <w:rFonts w:cs="Times New Roman" w:ascii="Times New Roman" w:hAnsi="Times New Roman"/>
          <w:color w:val="00000A"/>
          <w:sz w:val="26"/>
          <w:szCs w:val="26"/>
        </w:rPr>
        <w:t>1.1.</w:t>
      </w:r>
      <w:r>
        <w:rPr>
          <w:rFonts w:cs="Times New Roman" w:ascii="Times New Roman" w:hAnsi="Times New Roman"/>
          <w:b w:val="false"/>
          <w:color w:val="00000A"/>
          <w:sz w:val="26"/>
          <w:szCs w:val="26"/>
        </w:rPr>
        <w:t xml:space="preserve"> Позицию «Объемы финансирования программы с разбивкой по годам реализации» изложить в следующей редакции: </w:t>
      </w:r>
    </w:p>
    <w:p>
      <w:pPr>
        <w:pStyle w:val="Normal"/>
        <w:rPr/>
      </w:pPr>
      <w:r>
        <w:rPr/>
      </w:r>
      <w:bookmarkStart w:id="2" w:name="sub_410"/>
      <w:bookmarkStart w:id="3" w:name="sub_410"/>
      <w:bookmarkEnd w:id="3"/>
    </w:p>
    <w:tbl>
      <w:tblPr>
        <w:tblW w:w="10220" w:type="dxa"/>
        <w:jc w:val="left"/>
        <w:tblInd w:w="-3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39"/>
        <w:gridCol w:w="280"/>
        <w:gridCol w:w="7001"/>
      </w:tblGrid>
      <w:tr>
        <w:trPr/>
        <w:tc>
          <w:tcPr>
            <w:tcW w:w="293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80" w:type="dxa"/>
            <w:tcBorders/>
          </w:tcPr>
          <w:p>
            <w:pPr>
              <w:pStyle w:val="Style24"/>
              <w:widowControl w:val="fals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7001" w:type="dxa"/>
            <w:tcBorders/>
          </w:tcPr>
          <w:p>
            <w:pPr>
              <w:pStyle w:val="Style24"/>
              <w:widowControl w:val="fals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2939" w:type="dxa"/>
            <w:tcBorders/>
          </w:tcPr>
          <w:p>
            <w:pPr>
              <w:pStyle w:val="Style24"/>
              <w:widowControl w:val="fals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«Объемы финансирования программы с разбивкой по годам реализации</w:t>
            </w:r>
          </w:p>
        </w:tc>
        <w:tc>
          <w:tcPr>
            <w:tcW w:w="280" w:type="dxa"/>
            <w:tcBorders/>
          </w:tcPr>
          <w:p>
            <w:pPr>
              <w:pStyle w:val="Style24"/>
              <w:widowControl w:val="fals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001" w:type="dxa"/>
            <w:tcBorders/>
          </w:tcPr>
          <w:p>
            <w:pPr>
              <w:pStyle w:val="Style24"/>
              <w:widowControl w:val="fals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прогнозируемые объемы финансирования мероприятий подпрограммы в 2019 - 2035 годах составляют</w:t>
            </w:r>
          </w:p>
          <w:p>
            <w:pPr>
              <w:pStyle w:val="Style24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6"/>
                <w:szCs w:val="26"/>
                <w:lang w:val="ru-RU" w:eastAsia="ru-RU" w:bidi="ar-SA"/>
              </w:rPr>
              <w:t xml:space="preserve">43 734,1 тыс.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рублей, в том числе:</w:t>
            </w:r>
          </w:p>
          <w:p>
            <w:pPr>
              <w:pStyle w:val="Style24"/>
              <w:widowControl w:val="fals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 2019 году – 6 902,6 тыс. рублей;</w:t>
            </w:r>
          </w:p>
          <w:p>
            <w:pPr>
              <w:pStyle w:val="Style24"/>
              <w:widowControl w:val="fals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 2020 году – 7 964,4 тыс. рублей;</w:t>
            </w:r>
          </w:p>
          <w:p>
            <w:pPr>
              <w:pStyle w:val="Style24"/>
              <w:widowControl w:val="false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 2021 году – 12 138,7</w:t>
            </w: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6"/>
                <w:szCs w:val="26"/>
                <w:lang w:val="ru-RU" w:eastAsia="ru-RU" w:bidi="ar-SA"/>
              </w:rPr>
              <w:t xml:space="preserve">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тыс. рублей;</w:t>
            </w:r>
          </w:p>
          <w:p>
            <w:pPr>
              <w:pStyle w:val="Style24"/>
              <w:widowControl w:val="fals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 2022 году – 16 293,4 тыс. рублей;</w:t>
            </w:r>
          </w:p>
          <w:p>
            <w:pPr>
              <w:pStyle w:val="Style24"/>
              <w:widowControl w:val="fals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 2023 году –  217,5 тыс. рублей;</w:t>
            </w:r>
          </w:p>
          <w:p>
            <w:pPr>
              <w:pStyle w:val="Style24"/>
              <w:widowControl w:val="fals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 2024 году — 217,5 тыс. рублей;</w:t>
            </w:r>
          </w:p>
          <w:p>
            <w:pPr>
              <w:pStyle w:val="Style24"/>
              <w:widowControl w:val="fals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 2025 году — 0 тыс. рублей;</w:t>
            </w:r>
          </w:p>
          <w:p>
            <w:pPr>
              <w:pStyle w:val="Style24"/>
              <w:widowControl w:val="fals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 2026 — 2030 годах — 0 тыс. рублей;</w:t>
            </w:r>
          </w:p>
          <w:p>
            <w:pPr>
              <w:pStyle w:val="Style24"/>
              <w:widowControl w:val="fals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 2031 - 2035 годах — 0 тыс. рублей;</w:t>
            </w:r>
          </w:p>
          <w:p>
            <w:pPr>
              <w:pStyle w:val="Style24"/>
              <w:widowControl w:val="fals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из них средства:</w:t>
            </w:r>
          </w:p>
          <w:p>
            <w:pPr>
              <w:pStyle w:val="Style24"/>
              <w:widowControl w:val="fals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федерального бюджета – 0 тыс. рублей, в том числе:</w:t>
            </w:r>
          </w:p>
          <w:p>
            <w:pPr>
              <w:pStyle w:val="Style24"/>
              <w:widowControl w:val="fals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 2019 году – 0 тыс. рублей;</w:t>
            </w:r>
          </w:p>
          <w:p>
            <w:pPr>
              <w:pStyle w:val="Style24"/>
              <w:widowControl w:val="fals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 2020 году – 0 тыс. рублей;</w:t>
            </w:r>
          </w:p>
          <w:p>
            <w:pPr>
              <w:pStyle w:val="Style24"/>
              <w:widowControl w:val="fals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 2021 году – 0 тыс. рублей;</w:t>
            </w:r>
          </w:p>
          <w:p>
            <w:pPr>
              <w:pStyle w:val="Style24"/>
              <w:widowControl w:val="fals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 2022 году – 0 тыс. рублей;</w:t>
            </w:r>
          </w:p>
          <w:p>
            <w:pPr>
              <w:pStyle w:val="Style24"/>
              <w:widowControl w:val="fals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 2023 году - 0 тыс. рублей;</w:t>
            </w:r>
          </w:p>
          <w:p>
            <w:pPr>
              <w:pStyle w:val="Style24"/>
              <w:widowControl w:val="fals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 2024 году - 0 тыс. рублей;</w:t>
            </w:r>
          </w:p>
          <w:p>
            <w:pPr>
              <w:pStyle w:val="Style24"/>
              <w:widowControl w:val="fals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 2025 году - 0 тыс. рублей;</w:t>
            </w:r>
          </w:p>
          <w:p>
            <w:pPr>
              <w:pStyle w:val="Style24"/>
              <w:widowControl w:val="fals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 2026 - 2030 годах - 0 тыс. рублей;</w:t>
            </w:r>
          </w:p>
          <w:p>
            <w:pPr>
              <w:pStyle w:val="Style24"/>
              <w:widowControl w:val="fals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 2031 - 2035 годах - 0 тыс. рублей;</w:t>
            </w:r>
          </w:p>
          <w:p>
            <w:pPr>
              <w:pStyle w:val="Style24"/>
              <w:widowControl w:val="false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республиканского   бюджета   Чувашской   Республики  – </w:t>
            </w: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6"/>
                <w:szCs w:val="26"/>
                <w:lang w:val="ru-RU" w:eastAsia="ru-RU" w:bidi="ar-SA"/>
              </w:rPr>
              <w:t xml:space="preserve">  42 164,7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тыс. рублей, в том числе:</w:t>
            </w:r>
          </w:p>
          <w:p>
            <w:pPr>
              <w:pStyle w:val="Style24"/>
              <w:widowControl w:val="fals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 2019 году –6 800,6 тыс. рублей;</w:t>
            </w:r>
          </w:p>
          <w:p>
            <w:pPr>
              <w:pStyle w:val="Style24"/>
              <w:widowControl w:val="false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 2020 году –7 6</w:t>
            </w: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6"/>
                <w:szCs w:val="26"/>
                <w:lang w:val="ru-RU" w:eastAsia="ru-RU" w:bidi="ar-SA"/>
              </w:rPr>
              <w:t xml:space="preserve">57,7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тыс. рублей;</w:t>
            </w:r>
          </w:p>
          <w:p>
            <w:pPr>
              <w:pStyle w:val="Style24"/>
              <w:widowControl w:val="false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в 2021 году – </w:t>
            </w: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6"/>
                <w:szCs w:val="26"/>
                <w:lang w:val="ru-RU" w:eastAsia="ru-RU" w:bidi="ar-SA"/>
              </w:rPr>
              <w:t xml:space="preserve">11 896,7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тыс. рублей;</w:t>
            </w:r>
          </w:p>
          <w:p>
            <w:pPr>
              <w:pStyle w:val="Style24"/>
              <w:widowControl w:val="fals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 2022 году — 15 809,7 тыс. рублей;</w:t>
            </w:r>
          </w:p>
          <w:p>
            <w:pPr>
              <w:pStyle w:val="Style24"/>
              <w:widowControl w:val="fals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 2023 году - 0 тыс. рублей;</w:t>
            </w:r>
          </w:p>
          <w:p>
            <w:pPr>
              <w:pStyle w:val="Style24"/>
              <w:widowControl w:val="fals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 2024 году - 0 тыс. рублей;</w:t>
            </w:r>
          </w:p>
          <w:p>
            <w:pPr>
              <w:pStyle w:val="Style24"/>
              <w:widowControl w:val="fals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 2025 году - 0 тыс. рублей;</w:t>
            </w:r>
          </w:p>
          <w:p>
            <w:pPr>
              <w:pStyle w:val="Style24"/>
              <w:widowControl w:val="fals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 2026 - 2030 годах - 0 тыс. рублей;</w:t>
            </w:r>
          </w:p>
          <w:p>
            <w:pPr>
              <w:pStyle w:val="Style24"/>
              <w:widowControl w:val="fals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 2031 - 2035 годах - 0 тыс. рублей;</w:t>
            </w:r>
          </w:p>
          <w:p>
            <w:pPr>
              <w:pStyle w:val="Style24"/>
              <w:widowControl w:val="false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местных бюджетов – 1 569,4</w:t>
            </w: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6"/>
                <w:szCs w:val="26"/>
                <w:lang w:val="ru-RU" w:eastAsia="ru-RU" w:bidi="ar-SA"/>
              </w:rPr>
              <w:t xml:space="preserve">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тыс. рублей, в том числе:</w:t>
            </w:r>
          </w:p>
          <w:p>
            <w:pPr>
              <w:pStyle w:val="Style24"/>
              <w:widowControl w:val="fals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 2019 году – 101,9 тыс. рублей;</w:t>
            </w:r>
          </w:p>
          <w:p>
            <w:pPr>
              <w:pStyle w:val="Style24"/>
              <w:widowControl w:val="false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в 2020 году – </w:t>
            </w: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6"/>
                <w:szCs w:val="26"/>
                <w:lang w:val="ru-RU" w:eastAsia="ru-RU" w:bidi="ar-SA"/>
              </w:rPr>
              <w:t>306,7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 тыс. рублей;</w:t>
            </w:r>
          </w:p>
          <w:p>
            <w:pPr>
              <w:pStyle w:val="Style24"/>
              <w:widowControl w:val="false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 2021 году – 242</w:t>
            </w: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6"/>
                <w:szCs w:val="26"/>
                <w:lang w:val="ru-RU" w:eastAsia="ru-RU" w:bidi="ar-SA"/>
              </w:rPr>
              <w:t>,1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 тыс. рублей;</w:t>
            </w:r>
          </w:p>
          <w:p>
            <w:pPr>
              <w:pStyle w:val="Style24"/>
              <w:widowControl w:val="false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в 2022 году – 483,7 </w:t>
            </w: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6"/>
                <w:szCs w:val="26"/>
                <w:lang w:val="ru-RU" w:eastAsia="ru-RU" w:bidi="ar-SA"/>
              </w:rPr>
              <w:t xml:space="preserve">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тыс. рублей;</w:t>
            </w:r>
          </w:p>
          <w:p>
            <w:pPr>
              <w:pStyle w:val="Style24"/>
              <w:widowControl w:val="fals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 2023 году — 217,5 тыс. рублей;</w:t>
            </w:r>
          </w:p>
          <w:p>
            <w:pPr>
              <w:pStyle w:val="Style24"/>
              <w:widowControl w:val="fals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 2024 году — 217,5 тыс. рублей;</w:t>
            </w:r>
          </w:p>
          <w:p>
            <w:pPr>
              <w:pStyle w:val="Style24"/>
              <w:widowControl w:val="fals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 2025 году - 0 тыс. рублей;</w:t>
            </w:r>
          </w:p>
          <w:p>
            <w:pPr>
              <w:pStyle w:val="Style24"/>
              <w:widowControl w:val="fals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 2026 - 2030 годах - 0 тыс. рублей;</w:t>
            </w:r>
          </w:p>
          <w:p>
            <w:pPr>
              <w:pStyle w:val="Style24"/>
              <w:widowControl w:val="fals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 2031 - 2035 годах - 0 тыс. рублей;</w:t>
            </w:r>
          </w:p>
          <w:p>
            <w:pPr>
              <w:pStyle w:val="Style24"/>
              <w:widowControl w:val="fals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внебюджетных источников – 0 тыс. рублей, в том числе:</w:t>
            </w:r>
          </w:p>
          <w:p>
            <w:pPr>
              <w:pStyle w:val="Style24"/>
              <w:widowControl w:val="fals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 2019 году – 0 тыс. рублей;</w:t>
            </w:r>
          </w:p>
          <w:p>
            <w:pPr>
              <w:pStyle w:val="Style24"/>
              <w:widowControl w:val="fals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 2020 году - 0 тыс. рублей;</w:t>
            </w:r>
          </w:p>
          <w:p>
            <w:pPr>
              <w:pStyle w:val="Style24"/>
              <w:widowControl w:val="fals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 2021 году - 0 тыс. рублей;</w:t>
            </w:r>
          </w:p>
          <w:p>
            <w:pPr>
              <w:pStyle w:val="Style24"/>
              <w:widowControl w:val="fals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 2022 году - 0 тыс. рублей;</w:t>
            </w:r>
          </w:p>
          <w:p>
            <w:pPr>
              <w:pStyle w:val="Style24"/>
              <w:widowControl w:val="fals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 2023 году - 0 тыс. рублей;</w:t>
            </w:r>
          </w:p>
          <w:p>
            <w:pPr>
              <w:pStyle w:val="Style24"/>
              <w:widowControl w:val="fals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 2024 году - 0 тыс. рублей;</w:t>
            </w:r>
          </w:p>
          <w:p>
            <w:pPr>
              <w:pStyle w:val="Style24"/>
              <w:widowControl w:val="fals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 2025 году - 0 тыс. рублей;</w:t>
            </w:r>
          </w:p>
          <w:p>
            <w:pPr>
              <w:pStyle w:val="Style24"/>
              <w:widowControl w:val="fals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 2026 - 2030 годах - 0 тыс. рублей;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2031 - 2035 годах - 0 тыс. рублей.»</w:t>
            </w:r>
          </w:p>
          <w:p>
            <w:pPr>
              <w:pStyle w:val="Style24"/>
              <w:widowControl w:val="fals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</w:tbl>
    <w:p>
      <w:pPr>
        <w:pStyle w:val="1"/>
        <w:jc w:val="both"/>
        <w:rPr/>
      </w:pPr>
      <w:r>
        <w:rPr>
          <w:rFonts w:cs="Times New Roman" w:ascii="Times New Roman" w:hAnsi="Times New Roman"/>
          <w:color w:val="00000A"/>
          <w:sz w:val="26"/>
          <w:szCs w:val="26"/>
        </w:rPr>
        <w:t>1.2.</w:t>
      </w:r>
      <w:r>
        <w:rPr>
          <w:rFonts w:cs="Times New Roman" w:ascii="Times New Roman" w:hAnsi="Times New Roman"/>
          <w:b w:val="false"/>
          <w:color w:val="00000A"/>
          <w:sz w:val="26"/>
          <w:szCs w:val="26"/>
        </w:rPr>
        <w:t xml:space="preserve"> Раздел III. «Обоснование объема финансовых ресурсов, необходимых для реализации муниципальной программы (с расшифровкой по источникам финансирования, этапам и годам реализации муниципальной программы)» изложить в следующей редакции:</w:t>
      </w:r>
      <w:bookmarkStart w:id="4" w:name="sub_1003"/>
      <w:bookmarkEnd w:id="4"/>
    </w:p>
    <w:p>
      <w:pPr>
        <w:pStyle w:val="Style24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«Общий объем финансирования </w:t>
      </w:r>
      <w:r>
        <w:rPr>
          <w:rFonts w:cs="Times New Roman" w:ascii="Times New Roman" w:hAnsi="Times New Roman"/>
        </w:rPr>
        <w:t>муниципальной</w:t>
      </w:r>
      <w:r>
        <w:rPr>
          <w:rFonts w:cs="Times New Roman" w:ascii="Times New Roman" w:hAnsi="Times New Roman"/>
          <w:sz w:val="26"/>
          <w:szCs w:val="26"/>
        </w:rPr>
        <w:t xml:space="preserve"> программы в 2019 - 2035 годах составит </w:t>
      </w:r>
      <w:r>
        <w:rPr>
          <w:rFonts w:eastAsia="Times New Roman" w:cs="Times New Roman" w:ascii="Times New Roman" w:hAnsi="Times New Roman"/>
          <w:color w:val="00000A"/>
          <w:kern w:val="2"/>
          <w:sz w:val="26"/>
          <w:szCs w:val="26"/>
          <w:lang w:val="ru-RU" w:eastAsia="ru-RU" w:bidi="ar-SA"/>
        </w:rPr>
        <w:t xml:space="preserve">43 734,1 тыс. </w:t>
      </w:r>
      <w:r>
        <w:rPr>
          <w:rFonts w:cs="Times New Roman" w:ascii="Times New Roman" w:hAnsi="Times New Roman"/>
          <w:sz w:val="26"/>
          <w:szCs w:val="26"/>
        </w:rPr>
        <w:t>рублей, в том числе:</w:t>
      </w:r>
    </w:p>
    <w:p>
      <w:pPr>
        <w:pStyle w:val="Style24"/>
        <w:widowControl w:val="false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2019 году – 6 902,6 тыс. рублей;</w:t>
      </w:r>
    </w:p>
    <w:p>
      <w:pPr>
        <w:pStyle w:val="Style24"/>
        <w:widowControl w:val="false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2020 году – 7 964,4 тыс. рублей;</w:t>
      </w:r>
    </w:p>
    <w:p>
      <w:pPr>
        <w:pStyle w:val="Style24"/>
        <w:widowControl w:val="false"/>
        <w:rPr/>
      </w:pPr>
      <w:r>
        <w:rPr>
          <w:rFonts w:cs="Times New Roman" w:ascii="Times New Roman" w:hAnsi="Times New Roman"/>
          <w:sz w:val="26"/>
          <w:szCs w:val="26"/>
        </w:rPr>
        <w:t>в 2021 году – 12 138,7</w:t>
      </w:r>
      <w:r>
        <w:rPr>
          <w:rFonts w:eastAsia="Times New Roman" w:cs="Times New Roman" w:ascii="Times New Roman" w:hAnsi="Times New Roman"/>
          <w:color w:val="00000A"/>
          <w:kern w:val="2"/>
          <w:sz w:val="26"/>
          <w:szCs w:val="26"/>
          <w:lang w:val="ru-RU" w:eastAsia="ru-RU" w:bidi="ar-SA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тыс. рублей;</w:t>
      </w:r>
    </w:p>
    <w:p>
      <w:pPr>
        <w:pStyle w:val="Style24"/>
        <w:widowControl w:val="false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2022 году – 16 293,4 тыс. рублей;</w:t>
      </w:r>
    </w:p>
    <w:p>
      <w:pPr>
        <w:pStyle w:val="Style24"/>
        <w:widowControl w:val="false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2023 году –  217,5 тыс. рублей;</w:t>
      </w:r>
    </w:p>
    <w:p>
      <w:pPr>
        <w:pStyle w:val="Style24"/>
        <w:widowControl w:val="false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2024 году — 217,5 тыс. рублей;</w:t>
      </w:r>
    </w:p>
    <w:p>
      <w:pPr>
        <w:pStyle w:val="Style24"/>
        <w:widowControl w:val="false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2025 году — 0 тыс. рублей;</w:t>
      </w:r>
    </w:p>
    <w:p>
      <w:pPr>
        <w:pStyle w:val="Style24"/>
        <w:widowControl w:val="false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2026 — 2030 годах — 0 тыс. рублей;</w:t>
      </w:r>
    </w:p>
    <w:p>
      <w:pPr>
        <w:pStyle w:val="Style24"/>
        <w:widowControl w:val="false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2031 - 2035 годах — 0 тыс. рублей;</w:t>
      </w:r>
    </w:p>
    <w:p>
      <w:pPr>
        <w:pStyle w:val="Style24"/>
        <w:widowControl w:val="false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из них средства:</w:t>
      </w:r>
    </w:p>
    <w:p>
      <w:pPr>
        <w:pStyle w:val="Style24"/>
        <w:widowControl w:val="false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федерального бюджета – 0 тыс. рублей, в том числе:</w:t>
      </w:r>
    </w:p>
    <w:p>
      <w:pPr>
        <w:pStyle w:val="Style24"/>
        <w:widowControl w:val="false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2019 году – 0 тыс. рублей;</w:t>
      </w:r>
    </w:p>
    <w:p>
      <w:pPr>
        <w:pStyle w:val="Style24"/>
        <w:widowControl w:val="false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2020 году – 0 тыс. рублей;</w:t>
      </w:r>
    </w:p>
    <w:p>
      <w:pPr>
        <w:pStyle w:val="Style24"/>
        <w:widowControl w:val="false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2021 году – 0 тыс. рублей;</w:t>
      </w:r>
    </w:p>
    <w:p>
      <w:pPr>
        <w:pStyle w:val="Style24"/>
        <w:widowControl w:val="false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2022 году – 0 тыс. рублей;</w:t>
      </w:r>
    </w:p>
    <w:p>
      <w:pPr>
        <w:pStyle w:val="Style24"/>
        <w:widowControl w:val="false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2023 году - 0 тыс. рублей;</w:t>
      </w:r>
    </w:p>
    <w:p>
      <w:pPr>
        <w:pStyle w:val="Style24"/>
        <w:widowControl w:val="false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2024 году - 0 тыс. рублей;</w:t>
      </w:r>
    </w:p>
    <w:p>
      <w:pPr>
        <w:pStyle w:val="Style24"/>
        <w:widowControl w:val="false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2025 году - 0 тыс. рублей;</w:t>
      </w:r>
    </w:p>
    <w:p>
      <w:pPr>
        <w:pStyle w:val="Style24"/>
        <w:widowControl w:val="false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2026 - 2030 годах - 0 тыс. рублей;</w:t>
      </w:r>
    </w:p>
    <w:p>
      <w:pPr>
        <w:pStyle w:val="Style24"/>
        <w:widowControl w:val="false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2031 - 2035 годах - 0 тыс. рублей;</w:t>
      </w:r>
    </w:p>
    <w:p>
      <w:pPr>
        <w:pStyle w:val="Style24"/>
        <w:widowControl w:val="false"/>
        <w:rPr/>
      </w:pPr>
      <w:r>
        <w:rPr>
          <w:rFonts w:cs="Times New Roman" w:ascii="Times New Roman" w:hAnsi="Times New Roman"/>
          <w:sz w:val="26"/>
          <w:szCs w:val="26"/>
        </w:rPr>
        <w:t xml:space="preserve">республиканского   бюджета   Чувашской   Республики  – </w:t>
      </w:r>
      <w:r>
        <w:rPr>
          <w:rFonts w:eastAsia="Times New Roman" w:cs="Times New Roman" w:ascii="Times New Roman" w:hAnsi="Times New Roman"/>
          <w:color w:val="00000A"/>
          <w:kern w:val="2"/>
          <w:sz w:val="26"/>
          <w:szCs w:val="26"/>
          <w:lang w:val="ru-RU" w:eastAsia="ru-RU" w:bidi="ar-SA"/>
        </w:rPr>
        <w:t xml:space="preserve">  42 164,7 </w:t>
      </w:r>
      <w:r>
        <w:rPr>
          <w:rFonts w:cs="Times New Roman" w:ascii="Times New Roman" w:hAnsi="Times New Roman"/>
          <w:sz w:val="26"/>
          <w:szCs w:val="26"/>
        </w:rPr>
        <w:t>тыс. рублей, в том числе:</w:t>
      </w:r>
    </w:p>
    <w:p>
      <w:pPr>
        <w:pStyle w:val="Style24"/>
        <w:widowControl w:val="false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2019 году –6 800,6 тыс. рублей;</w:t>
      </w:r>
    </w:p>
    <w:p>
      <w:pPr>
        <w:pStyle w:val="Style24"/>
        <w:widowControl w:val="false"/>
        <w:rPr/>
      </w:pPr>
      <w:r>
        <w:rPr>
          <w:rFonts w:cs="Times New Roman" w:ascii="Times New Roman" w:hAnsi="Times New Roman"/>
          <w:sz w:val="26"/>
          <w:szCs w:val="26"/>
        </w:rPr>
        <w:t>в 2020 году –7 6</w:t>
      </w:r>
      <w:r>
        <w:rPr>
          <w:rFonts w:eastAsia="Times New Roman" w:cs="Times New Roman" w:ascii="Times New Roman" w:hAnsi="Times New Roman"/>
          <w:color w:val="00000A"/>
          <w:kern w:val="2"/>
          <w:sz w:val="26"/>
          <w:szCs w:val="26"/>
          <w:lang w:val="ru-RU" w:eastAsia="ru-RU" w:bidi="ar-SA"/>
        </w:rPr>
        <w:t xml:space="preserve">57,7 </w:t>
      </w:r>
      <w:r>
        <w:rPr>
          <w:rFonts w:cs="Times New Roman" w:ascii="Times New Roman" w:hAnsi="Times New Roman"/>
          <w:sz w:val="26"/>
          <w:szCs w:val="26"/>
        </w:rPr>
        <w:t>тыс. рублей;</w:t>
      </w:r>
    </w:p>
    <w:p>
      <w:pPr>
        <w:pStyle w:val="Style24"/>
        <w:widowControl w:val="false"/>
        <w:rPr/>
      </w:pPr>
      <w:r>
        <w:rPr>
          <w:rFonts w:cs="Times New Roman" w:ascii="Times New Roman" w:hAnsi="Times New Roman"/>
          <w:sz w:val="26"/>
          <w:szCs w:val="26"/>
        </w:rPr>
        <w:t xml:space="preserve">в 2021 году – </w:t>
      </w:r>
      <w:r>
        <w:rPr>
          <w:rFonts w:eastAsia="Times New Roman" w:cs="Times New Roman" w:ascii="Times New Roman" w:hAnsi="Times New Roman"/>
          <w:color w:val="000000"/>
          <w:kern w:val="2"/>
          <w:sz w:val="26"/>
          <w:szCs w:val="26"/>
          <w:lang w:val="ru-RU" w:eastAsia="ru-RU" w:bidi="ar-SA"/>
        </w:rPr>
        <w:t xml:space="preserve">11 896,7 </w:t>
      </w:r>
      <w:r>
        <w:rPr>
          <w:rFonts w:cs="Times New Roman" w:ascii="Times New Roman" w:hAnsi="Times New Roman"/>
          <w:sz w:val="26"/>
          <w:szCs w:val="26"/>
        </w:rPr>
        <w:t>тыс. рублей;</w:t>
      </w:r>
    </w:p>
    <w:p>
      <w:pPr>
        <w:pStyle w:val="Style24"/>
        <w:widowControl w:val="false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2022 году — 15 809,7 тыс. рублей;</w:t>
      </w:r>
    </w:p>
    <w:p>
      <w:pPr>
        <w:pStyle w:val="Style24"/>
        <w:widowControl w:val="false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2023 году - 0 тыс. рублей;</w:t>
      </w:r>
    </w:p>
    <w:p>
      <w:pPr>
        <w:pStyle w:val="Style24"/>
        <w:widowControl w:val="false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2024 году - 0 тыс. рублей;</w:t>
      </w:r>
    </w:p>
    <w:p>
      <w:pPr>
        <w:pStyle w:val="Style24"/>
        <w:widowControl w:val="false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2025 году - 0 тыс. рублей;</w:t>
      </w:r>
    </w:p>
    <w:p>
      <w:pPr>
        <w:pStyle w:val="Style24"/>
        <w:widowControl w:val="false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2026 - 2030 годах - 0 тыс. рублей;</w:t>
      </w:r>
    </w:p>
    <w:p>
      <w:pPr>
        <w:pStyle w:val="Style24"/>
        <w:widowControl w:val="false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2031 - 2035 годах - 0 тыс. рублей;</w:t>
      </w:r>
    </w:p>
    <w:p>
      <w:pPr>
        <w:pStyle w:val="Style24"/>
        <w:widowControl w:val="false"/>
        <w:rPr/>
      </w:pPr>
      <w:r>
        <w:rPr>
          <w:rFonts w:cs="Times New Roman" w:ascii="Times New Roman" w:hAnsi="Times New Roman"/>
          <w:sz w:val="26"/>
          <w:szCs w:val="26"/>
        </w:rPr>
        <w:t>местных бюджетов – 1 569,4</w:t>
      </w:r>
      <w:r>
        <w:rPr>
          <w:rFonts w:eastAsia="Times New Roman" w:cs="Times New Roman" w:ascii="Times New Roman" w:hAnsi="Times New Roman"/>
          <w:color w:val="00000A"/>
          <w:kern w:val="2"/>
          <w:sz w:val="26"/>
          <w:szCs w:val="26"/>
          <w:lang w:val="ru-RU" w:eastAsia="ru-RU" w:bidi="ar-SA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тыс. рублей, в том числе:</w:t>
      </w:r>
    </w:p>
    <w:p>
      <w:pPr>
        <w:pStyle w:val="Style24"/>
        <w:widowControl w:val="false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2019 году – 101,9 тыс. рублей;</w:t>
      </w:r>
    </w:p>
    <w:p>
      <w:pPr>
        <w:pStyle w:val="Style24"/>
        <w:widowControl w:val="false"/>
        <w:rPr/>
      </w:pPr>
      <w:r>
        <w:rPr>
          <w:rFonts w:cs="Times New Roman" w:ascii="Times New Roman" w:hAnsi="Times New Roman"/>
          <w:sz w:val="26"/>
          <w:szCs w:val="26"/>
        </w:rPr>
        <w:t xml:space="preserve">в 2020 году – </w:t>
      </w:r>
      <w:r>
        <w:rPr>
          <w:rFonts w:eastAsia="Times New Roman" w:cs="Times New Roman" w:ascii="Times New Roman" w:hAnsi="Times New Roman"/>
          <w:color w:val="00000A"/>
          <w:kern w:val="2"/>
          <w:sz w:val="26"/>
          <w:szCs w:val="26"/>
          <w:lang w:val="ru-RU" w:eastAsia="ru-RU" w:bidi="ar-SA"/>
        </w:rPr>
        <w:t>306,7</w:t>
      </w:r>
      <w:r>
        <w:rPr>
          <w:rFonts w:cs="Times New Roman" w:ascii="Times New Roman" w:hAnsi="Times New Roman"/>
          <w:sz w:val="26"/>
          <w:szCs w:val="26"/>
        </w:rPr>
        <w:t> тыс. рублей;</w:t>
      </w:r>
    </w:p>
    <w:p>
      <w:pPr>
        <w:pStyle w:val="Style24"/>
        <w:widowControl w:val="false"/>
        <w:rPr/>
      </w:pPr>
      <w:r>
        <w:rPr>
          <w:rFonts w:cs="Times New Roman" w:ascii="Times New Roman" w:hAnsi="Times New Roman"/>
          <w:sz w:val="26"/>
          <w:szCs w:val="26"/>
        </w:rPr>
        <w:t>в 2021 году – 242</w:t>
      </w:r>
      <w:r>
        <w:rPr>
          <w:rFonts w:eastAsia="Times New Roman" w:cs="Times New Roman" w:ascii="Times New Roman" w:hAnsi="Times New Roman"/>
          <w:color w:val="000000"/>
          <w:kern w:val="2"/>
          <w:sz w:val="26"/>
          <w:szCs w:val="26"/>
          <w:lang w:val="ru-RU" w:eastAsia="ru-RU" w:bidi="ar-SA"/>
        </w:rPr>
        <w:t>,1</w:t>
      </w:r>
      <w:r>
        <w:rPr>
          <w:rFonts w:cs="Times New Roman" w:ascii="Times New Roman" w:hAnsi="Times New Roman"/>
          <w:sz w:val="26"/>
          <w:szCs w:val="26"/>
        </w:rPr>
        <w:t> тыс. рублей;</w:t>
      </w:r>
    </w:p>
    <w:p>
      <w:pPr>
        <w:pStyle w:val="Style24"/>
        <w:widowControl w:val="false"/>
        <w:rPr/>
      </w:pPr>
      <w:r>
        <w:rPr>
          <w:rFonts w:cs="Times New Roman" w:ascii="Times New Roman" w:hAnsi="Times New Roman"/>
          <w:sz w:val="26"/>
          <w:szCs w:val="26"/>
        </w:rPr>
        <w:t xml:space="preserve">в 2022 году – 483,7 </w:t>
      </w:r>
      <w:r>
        <w:rPr>
          <w:rFonts w:eastAsia="Times New Roman" w:cs="Times New Roman" w:ascii="Times New Roman" w:hAnsi="Times New Roman"/>
          <w:color w:val="00000A"/>
          <w:kern w:val="2"/>
          <w:sz w:val="26"/>
          <w:szCs w:val="26"/>
          <w:lang w:val="ru-RU" w:eastAsia="ru-RU" w:bidi="ar-SA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тыс. рублей;</w:t>
      </w:r>
    </w:p>
    <w:p>
      <w:pPr>
        <w:pStyle w:val="Style24"/>
        <w:widowControl w:val="false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2023 году — 217,5 тыс. рублей;</w:t>
      </w:r>
    </w:p>
    <w:p>
      <w:pPr>
        <w:pStyle w:val="Style24"/>
        <w:widowControl w:val="false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2024 году — 217,5 тыс. рублей;</w:t>
      </w:r>
    </w:p>
    <w:p>
      <w:pPr>
        <w:pStyle w:val="Style24"/>
        <w:widowControl w:val="false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2025 году - 0 тыс. рублей;</w:t>
      </w:r>
    </w:p>
    <w:p>
      <w:pPr>
        <w:pStyle w:val="Style24"/>
        <w:widowControl w:val="false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2026 - 2030 годах - 0 тыс. рублей;</w:t>
      </w:r>
    </w:p>
    <w:p>
      <w:pPr>
        <w:pStyle w:val="Style24"/>
        <w:widowControl w:val="false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2031 - 2035 годах - 0 тыс. рублей;</w:t>
      </w:r>
    </w:p>
    <w:p>
      <w:pPr>
        <w:pStyle w:val="Style24"/>
        <w:widowControl w:val="false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внебюджетных источников – 0 тыс. рублей, в том числе:</w:t>
      </w:r>
    </w:p>
    <w:p>
      <w:pPr>
        <w:pStyle w:val="Style24"/>
        <w:widowControl w:val="false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2019 году – 0 тыс. рублей;</w:t>
      </w:r>
    </w:p>
    <w:p>
      <w:pPr>
        <w:pStyle w:val="Style24"/>
        <w:widowControl w:val="false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2020 году - 0 тыс. рублей;</w:t>
      </w:r>
    </w:p>
    <w:p>
      <w:pPr>
        <w:pStyle w:val="Style24"/>
        <w:widowControl w:val="false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2021 году - 0 тыс. рублей;</w:t>
      </w:r>
    </w:p>
    <w:p>
      <w:pPr>
        <w:pStyle w:val="Style24"/>
        <w:widowControl w:val="false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2022 году - 0 тыс. рублей;</w:t>
      </w:r>
    </w:p>
    <w:p>
      <w:pPr>
        <w:pStyle w:val="Style24"/>
        <w:widowControl w:val="false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2023 году - 0 тыс. рублей;</w:t>
      </w:r>
    </w:p>
    <w:p>
      <w:pPr>
        <w:pStyle w:val="Style24"/>
        <w:widowControl w:val="false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2024 году - 0 тыс. рублей;</w:t>
      </w:r>
    </w:p>
    <w:p>
      <w:pPr>
        <w:pStyle w:val="Style24"/>
        <w:widowControl w:val="false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2025 году - 0 тыс. рублей;</w:t>
      </w:r>
    </w:p>
    <w:p>
      <w:pPr>
        <w:pStyle w:val="Style24"/>
        <w:widowControl w:val="false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2026 - 2030 годах - 0 тыс. рублей;</w:t>
      </w:r>
    </w:p>
    <w:p>
      <w:pPr>
        <w:pStyle w:val="Style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2031 - 2035 годах - 0 тыс. рублей.»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 xml:space="preserve">Ресурсное обеспечение реализации программы за счет всех источников финансирования приведено в приложении № 2 </w:t>
      </w:r>
      <w:r>
        <w:rPr>
          <w:rFonts w:cs="Times New Roman" w:ascii="Times New Roman" w:hAnsi="Times New Roman"/>
          <w:color w:val="000000"/>
        </w:rPr>
        <w:t>к</w:t>
      </w:r>
      <w:r>
        <w:rPr>
          <w:rFonts w:cs="Times New Roman" w:ascii="Times New Roman" w:hAnsi="Times New Roman"/>
        </w:rPr>
        <w:t xml:space="preserve"> программе.»</w:t>
      </w:r>
    </w:p>
    <w:p>
      <w:pPr>
        <w:pStyle w:val="Normal"/>
        <w:ind w:left="0" w:right="0" w:firstLine="5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sectPr>
          <w:type w:val="nextPage"/>
          <w:pgSz w:w="11906" w:h="16838"/>
          <w:pgMar w:left="1474" w:right="794" w:header="0" w:top="539" w:footer="0" w:bottom="720" w:gutter="0"/>
          <w:pgNumType w:fmt="decimal"/>
          <w:formProt w:val="false"/>
          <w:textDirection w:val="lrTb"/>
          <w:docGrid w:type="default" w:linePitch="360" w:charSpace="4294957055"/>
        </w:sectPr>
        <w:pStyle w:val="Normal"/>
        <w:jc w:val="both"/>
        <w:rPr/>
      </w:pPr>
      <w:r>
        <w:rPr>
          <w:rFonts w:cs="Times New Roman" w:ascii="Times New Roman" w:hAnsi="Times New Roman"/>
          <w:b/>
        </w:rPr>
        <w:t xml:space="preserve">1.3. </w:t>
      </w:r>
      <w:r>
        <w:rPr>
          <w:rFonts w:cs="Times New Roman" w:ascii="Times New Roman" w:hAnsi="Times New Roman"/>
        </w:rPr>
        <w:t>Приложение № 2 к муниципальной программе изложить в следующей редакции:</w:t>
      </w:r>
    </w:p>
    <w:p>
      <w:pPr>
        <w:pStyle w:val="1"/>
        <w:rPr>
          <w:rFonts w:ascii="Times New Roman" w:hAnsi="Times New Roman" w:cs="Times New Roman"/>
        </w:rPr>
      </w:pPr>
      <w:bookmarkStart w:id="5" w:name="sub_2000"/>
      <w:r>
        <w:rPr>
          <w:rFonts w:cs="Times New Roman" w:ascii="Times New Roman" w:hAnsi="Times New Roman"/>
        </w:rPr>
        <w:t>Ресурсное обеспечение</w:t>
        <w:br/>
        <w:t>и прогнозная (справочная) оценка расходов за счет всех источников финансирования реализации муниципальной программы Ядринского района Чувашской Республики "Модернизация и развитие сферы жилищно-коммунального хозяйства"</w:t>
      </w:r>
      <w:bookmarkEnd w:id="5"/>
    </w:p>
    <w:tbl>
      <w:tblPr>
        <w:tblW w:w="1521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5"/>
        <w:gridCol w:w="2300"/>
        <w:gridCol w:w="1400"/>
        <w:gridCol w:w="1013"/>
        <w:gridCol w:w="862"/>
        <w:gridCol w:w="1788"/>
        <w:gridCol w:w="875"/>
        <w:gridCol w:w="825"/>
        <w:gridCol w:w="887"/>
        <w:gridCol w:w="888"/>
        <w:gridCol w:w="737"/>
        <w:gridCol w:w="675"/>
        <w:gridCol w:w="512"/>
        <w:gridCol w:w="654"/>
        <w:gridCol w:w="559"/>
        <w:gridCol w:w="63"/>
      </w:tblGrid>
      <w:tr>
        <w:trPr/>
        <w:tc>
          <w:tcPr>
            <w:tcW w:w="11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23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Наименование государственной программы Чувашской Республики, подпрограммы государственной программы Чувашской Республики (основного мероприятия)</w:t>
            </w:r>
          </w:p>
        </w:tc>
        <w:tc>
          <w:tcPr>
            <w:tcW w:w="14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Ответственный исполнитель, соисполнитель, участники</w:t>
            </w:r>
          </w:p>
        </w:tc>
        <w:tc>
          <w:tcPr>
            <w:tcW w:w="18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Код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color w:val="00000A"/>
                <w:sz w:val="20"/>
                <w:szCs w:val="20"/>
              </w:rPr>
              <w:t>бюджетной классификации</w:t>
            </w:r>
          </w:p>
        </w:tc>
        <w:tc>
          <w:tcPr>
            <w:tcW w:w="8400" w:type="dxa"/>
            <w:gridSpan w:val="10"/>
            <w:tcBorders>
              <w:top w:val="single" w:sz="4" w:space="0" w:color="000001"/>
              <w:lef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Расходы по годам, тыс. рублей</w:t>
            </w:r>
          </w:p>
        </w:tc>
        <w:tc>
          <w:tcPr>
            <w:tcW w:w="63" w:type="dxa"/>
            <w:tcBorders>
              <w:top w:val="single" w:sz="4" w:space="0" w:color="000001"/>
              <w:lef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17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color w:val="00000A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color w:val="00000A"/>
                <w:sz w:val="20"/>
                <w:szCs w:val="20"/>
              </w:rPr>
              <w:t>целевая статья расходов</w:t>
            </w: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color w:val="00000A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color w:val="00000A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2026-2030</w:t>
            </w:r>
          </w:p>
        </w:tc>
        <w:tc>
          <w:tcPr>
            <w:tcW w:w="6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2031-2035</w:t>
            </w:r>
          </w:p>
        </w:tc>
      </w:tr>
      <w:tr>
        <w:trPr/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14</w:t>
            </w:r>
          </w:p>
        </w:tc>
      </w:tr>
      <w:tr>
        <w:trPr/>
        <w:tc>
          <w:tcPr>
            <w:tcW w:w="11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4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Муниципальная  программа Ядринского района Чувашской Республики</w:t>
            </w:r>
          </w:p>
        </w:tc>
        <w:tc>
          <w:tcPr>
            <w:tcW w:w="23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Style24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Модернизация и развитие сферы жилищно-коммунального комплекса</w:t>
            </w:r>
          </w:p>
        </w:tc>
        <w:tc>
          <w:tcPr>
            <w:tcW w:w="14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4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Ответственный исполнитель — отдел строительства, дорожного хозяйства и ЖКХ Ядринской районной администрации, соисполнитель -сельские поселения Ядринского района 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Style24"/>
              <w:widowControl w:val="false"/>
              <w:rPr/>
            </w:pPr>
            <w:r>
              <w:rPr>
                <w:rStyle w:val="Style12"/>
                <w:rFonts w:cs="Times New Roman"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6902,5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7964,4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12138,7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  <w:t>16293,4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  <w:t>217,5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  <w:t>217,5</w:t>
            </w:r>
          </w:p>
        </w:tc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</w:tr>
      <w:tr>
        <w:trPr/>
        <w:tc>
          <w:tcPr>
            <w:tcW w:w="117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Style24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</w:tr>
      <w:tr>
        <w:trPr/>
        <w:tc>
          <w:tcPr>
            <w:tcW w:w="117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Style24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  <w:t>6800,6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  <w:t>7657,7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  <w:t>11896,7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  <w:t>15809,7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</w:tr>
      <w:tr>
        <w:trPr/>
        <w:tc>
          <w:tcPr>
            <w:tcW w:w="117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Style24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  <w:t>101,9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  <w:t>306,7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  <w:t>242,1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  <w:t>483,7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  <w:t>217,5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  <w:t>217,5</w:t>
            </w:r>
          </w:p>
        </w:tc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</w:tr>
      <w:tr>
        <w:trPr/>
        <w:tc>
          <w:tcPr>
            <w:tcW w:w="117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Style24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</w:tr>
      <w:tr>
        <w:trPr/>
        <w:tc>
          <w:tcPr>
            <w:tcW w:w="11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rPr/>
            </w:pPr>
            <w:hyperlink w:anchor="sub_4000">
              <w:r>
                <w:rPr>
                  <w:rFonts w:ascii="Times New Roman" w:hAnsi="Times New Roman"/>
                  <w:color w:val="000000"/>
                  <w:sz w:val="20"/>
                  <w:szCs w:val="20"/>
                </w:rPr>
                <w:t>Подпрограмма</w:t>
              </w:r>
            </w:hyperlink>
          </w:p>
        </w:tc>
        <w:tc>
          <w:tcPr>
            <w:tcW w:w="23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Style23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Модернизация коммунальной инфраструктуры на территории Ядринского района Чувашской Республики</w:t>
            </w:r>
          </w:p>
        </w:tc>
        <w:tc>
          <w:tcPr>
            <w:tcW w:w="14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Style24"/>
              <w:widowControl w:val="false"/>
              <w:rPr/>
            </w:pPr>
            <w:r>
              <w:rPr>
                <w:rStyle w:val="Style12"/>
                <w:rFonts w:cs="Times New Roman"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6902,6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7964,4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242,1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483,7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  <w:t>217,5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  <w:t>217,5</w:t>
            </w:r>
          </w:p>
        </w:tc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</w:tr>
      <w:tr>
        <w:trPr/>
        <w:tc>
          <w:tcPr>
            <w:tcW w:w="117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Style24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</w:tr>
      <w:tr>
        <w:trPr/>
        <w:tc>
          <w:tcPr>
            <w:tcW w:w="117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  <w:t>903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Style24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  <w:t>6800,6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  <w:t>7657,7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</w:tr>
      <w:tr>
        <w:trPr/>
        <w:tc>
          <w:tcPr>
            <w:tcW w:w="117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Style24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  <w:t>101,9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  <w:t>306,7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242,1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483,7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</w:tr>
      <w:tr>
        <w:trPr/>
        <w:tc>
          <w:tcPr>
            <w:tcW w:w="117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Style24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</w:tr>
      <w:tr>
        <w:trPr/>
        <w:tc>
          <w:tcPr>
            <w:tcW w:w="11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rPr>
                <w:rFonts w:ascii="Times New Roman" w:hAnsi="Times New Roman" w:eastAsia="Times New Roman" w:cs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  <w:t>Подпрограмма</w:t>
            </w:r>
          </w:p>
        </w:tc>
        <w:tc>
          <w:tcPr>
            <w:tcW w:w="23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Style23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Развитие систем коммунальной инфраструктур и объектов, используемых для очисти сточных вод</w:t>
            </w:r>
          </w:p>
        </w:tc>
        <w:tc>
          <w:tcPr>
            <w:tcW w:w="14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Style24"/>
              <w:widowControl w:val="false"/>
              <w:rPr/>
            </w:pPr>
            <w:r>
              <w:rPr>
                <w:rStyle w:val="Style12"/>
                <w:rFonts w:cs="Times New Roman"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11896,7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15809,7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</w:tr>
      <w:tr>
        <w:trPr/>
        <w:tc>
          <w:tcPr>
            <w:tcW w:w="117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Style24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</w:tr>
      <w:tr>
        <w:trPr/>
        <w:tc>
          <w:tcPr>
            <w:tcW w:w="117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  <w:t>992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Style24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11896,7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15809,7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</w:tr>
      <w:tr>
        <w:trPr/>
        <w:tc>
          <w:tcPr>
            <w:tcW w:w="117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Style24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</w:tr>
      <w:tr>
        <w:trPr/>
        <w:tc>
          <w:tcPr>
            <w:tcW w:w="117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Style24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4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</w:tr>
    </w:tbl>
    <w:p>
      <w:pPr>
        <w:sectPr>
          <w:type w:val="nextPage"/>
          <w:pgSz w:orient="landscape" w:w="16838" w:h="11906"/>
          <w:pgMar w:left="720" w:right="539" w:header="0" w:top="1200" w:footer="0" w:bottom="851" w:gutter="0"/>
          <w:pgNumType w:fmt="decimal"/>
          <w:formProt w:val="false"/>
          <w:textDirection w:val="lrTb"/>
          <w:docGrid w:type="default" w:linePitch="360" w:charSpace="4294957055"/>
        </w:sectPr>
      </w:pPr>
    </w:p>
    <w:p>
      <w:pPr>
        <w:pStyle w:val="Normal"/>
        <w:jc w:val="both"/>
        <w:rPr/>
      </w:pPr>
      <w:r>
        <w:rPr>
          <w:rStyle w:val="Style12"/>
          <w:rFonts w:cs="Times New Roman" w:ascii="Times New Roman" w:hAnsi="Times New Roman"/>
          <w:b/>
          <w:bCs w:val="false"/>
          <w:sz w:val="26"/>
          <w:szCs w:val="26"/>
        </w:rPr>
        <w:t>2.</w:t>
      </w:r>
      <w:r>
        <w:rPr>
          <w:rStyle w:val="Style12"/>
          <w:rFonts w:cs="Times New Roman" w:ascii="Times New Roman" w:hAnsi="Times New Roman"/>
          <w:b/>
          <w:bCs w:val="false"/>
          <w:color w:val="00000A"/>
          <w:sz w:val="26"/>
          <w:szCs w:val="26"/>
        </w:rPr>
        <w:t xml:space="preserve"> В приложении № 3 к программе подпрограммы </w:t>
      </w:r>
      <w:r>
        <w:rPr>
          <w:rFonts w:cs="Times New Roman" w:ascii="Times New Roman" w:hAnsi="Times New Roman"/>
          <w:b w:val="false"/>
          <w:color w:val="000000"/>
          <w:sz w:val="26"/>
          <w:szCs w:val="26"/>
          <w:lang w:eastAsia="en-US"/>
        </w:rPr>
        <w:t>«Модернизация коммунальной инфраструктуры на территории Ядринского района Чувашской Республики» (далее – подпрограмма)</w:t>
      </w:r>
    </w:p>
    <w:p>
      <w:pPr>
        <w:pStyle w:val="Normal"/>
        <w:jc w:val="both"/>
        <w:rPr/>
      </w:pPr>
      <w:r>
        <w:rPr>
          <w:rStyle w:val="Style12"/>
          <w:rFonts w:cs="Times New Roman" w:ascii="Times New Roman" w:hAnsi="Times New Roman"/>
          <w:b/>
          <w:bCs w:val="false"/>
          <w:color w:val="00000A"/>
          <w:sz w:val="26"/>
          <w:szCs w:val="26"/>
        </w:rPr>
        <w:t xml:space="preserve">2.1. </w:t>
      </w:r>
      <w:r>
        <w:rPr>
          <w:rStyle w:val="Style12"/>
          <w:rFonts w:cs="Times New Roman" w:ascii="Times New Roman" w:hAnsi="Times New Roman"/>
          <w:b w:val="false"/>
          <w:bCs w:val="false"/>
          <w:color w:val="00000A"/>
          <w:sz w:val="26"/>
          <w:szCs w:val="26"/>
        </w:rPr>
        <w:t>п</w:t>
      </w:r>
      <w:r>
        <w:rPr>
          <w:rFonts w:cs="Times New Roman" w:ascii="Times New Roman" w:hAnsi="Times New Roman"/>
          <w:b w:val="false"/>
          <w:color w:val="00000A"/>
          <w:sz w:val="26"/>
          <w:szCs w:val="26"/>
        </w:rPr>
        <w:t>озицию «</w:t>
      </w:r>
      <w:r>
        <w:rPr>
          <w:rFonts w:cs="Times New Roman" w:ascii="Times New Roman" w:hAnsi="Times New Roman"/>
          <w:b w:val="false"/>
          <w:color w:val="00000A"/>
          <w:sz w:val="26"/>
          <w:szCs w:val="26"/>
          <w:lang w:eastAsia="en-US"/>
        </w:rPr>
        <w:t>Объемы финансирования подпрограммы с разбивкой по годам реализации программы</w:t>
      </w:r>
      <w:r>
        <w:rPr>
          <w:rFonts w:cs="Times New Roman" w:ascii="Times New Roman" w:hAnsi="Times New Roman"/>
          <w:b w:val="false"/>
          <w:color w:val="00000A"/>
          <w:sz w:val="26"/>
          <w:szCs w:val="26"/>
        </w:rPr>
        <w:t>» изложить в следующей редакции:</w:t>
      </w:r>
    </w:p>
    <w:tbl>
      <w:tblPr>
        <w:tblW w:w="9637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542"/>
        <w:gridCol w:w="6095"/>
      </w:tblGrid>
      <w:tr>
        <w:trPr/>
        <w:tc>
          <w:tcPr>
            <w:tcW w:w="3542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  <w:lang w:eastAsia="en-US"/>
              </w:rPr>
              <w:t>«Объемы финансирования подпрограммы с разбивкой по годам реализации программы</w:t>
            </w:r>
          </w:p>
        </w:tc>
        <w:tc>
          <w:tcPr>
            <w:tcW w:w="6095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общий объем финансирования подпрограммы в 2019 - 2035 годах составляет 16 027,8 тыс. рублей, в том числе:</w:t>
            </w:r>
          </w:p>
          <w:p>
            <w:pPr>
              <w:pStyle w:val="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в 2019 году – 6 902,6  тыс. рублей;</w:t>
            </w:r>
          </w:p>
          <w:p>
            <w:pPr>
              <w:pStyle w:val="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в 2020 году – 7 964,4 тыс. рублей;</w:t>
            </w:r>
          </w:p>
          <w:p>
            <w:pPr>
              <w:pStyle w:val="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в 2021 году –  242,1 тыс. рублей;</w:t>
            </w:r>
          </w:p>
          <w:p>
            <w:pPr>
              <w:pStyle w:val="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в 2022 году – 483,7 тыс. рублей;</w:t>
            </w:r>
          </w:p>
          <w:p>
            <w:pPr>
              <w:pStyle w:val="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в 2023году – 217,5 тыс. рублей;</w:t>
            </w:r>
          </w:p>
          <w:p>
            <w:pPr>
              <w:pStyle w:val="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в 2024году – 217,5  тыс. рублей;</w:t>
            </w:r>
          </w:p>
          <w:p>
            <w:pPr>
              <w:pStyle w:val="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в 2025 году –0 тыс. рублей;</w:t>
            </w:r>
          </w:p>
          <w:p>
            <w:pPr>
              <w:pStyle w:val="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в 2026-2030 годы – 0 тыс. рублей;</w:t>
            </w:r>
          </w:p>
          <w:p>
            <w:pPr>
              <w:pStyle w:val="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в 2031-2035 годы – 0 тыс. рублей;</w:t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федерального бюджета – 0 тыс. рублей, в том числе:</w:t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 2019 году – 0 тыс. рублей;</w:t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 2020 году – 0 тыс. рублей;</w:t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 2021 году – 0 тыс. рублей;</w:t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 2022 году – 0 тыс. рублей;</w:t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 2023 году – 0 тыс. рублей;</w:t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 2024 году –  0 тыс. рублей;</w:t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 2025 году –  0 тыс. рублей;</w:t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 2026 - 2030 годах - 0 тыс. рублей;</w:t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 2031 - 2035 годах - 0 тыс. рублей;</w:t>
            </w:r>
          </w:p>
          <w:p>
            <w:pPr>
              <w:pStyle w:val="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республиканского бюджета Чувашской Республики –    14 458,3 тыс. рублей, в том числе:</w:t>
            </w:r>
          </w:p>
          <w:p>
            <w:pPr>
              <w:pStyle w:val="Normal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 xml:space="preserve">в 2019 году – </w:t>
            </w: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6"/>
                <w:szCs w:val="26"/>
                <w:lang w:val="ru-RU" w:eastAsia="ru-RU" w:bidi="ar-SA"/>
              </w:rPr>
              <w:t xml:space="preserve">6 800,6 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тыс. рублей;</w:t>
            </w:r>
          </w:p>
          <w:p>
            <w:pPr>
              <w:pStyle w:val="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в 2020 году – 7 657,7 тыс. рублей;</w:t>
            </w:r>
          </w:p>
          <w:p>
            <w:pPr>
              <w:pStyle w:val="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в 2021 году – 0 тыс. рублей;</w:t>
            </w:r>
          </w:p>
          <w:p>
            <w:pPr>
              <w:pStyle w:val="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в 2022 году – 0 тыс. рублей;</w:t>
            </w:r>
          </w:p>
          <w:p>
            <w:pPr>
              <w:pStyle w:val="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в 2023году – 0 тыс. рублей;</w:t>
            </w:r>
          </w:p>
          <w:p>
            <w:pPr>
              <w:pStyle w:val="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в 2024году – 0 тыс. рублей;</w:t>
            </w:r>
          </w:p>
          <w:p>
            <w:pPr>
              <w:pStyle w:val="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в 2025 году – 0 тыс. рублей;</w:t>
            </w:r>
          </w:p>
          <w:p>
            <w:pPr>
              <w:pStyle w:val="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в 2026-2030 годы –0 тыс. рублей;</w:t>
            </w:r>
          </w:p>
          <w:p>
            <w:pPr>
              <w:pStyle w:val="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в 2031-2035 годы – 0 тыс. рублей;</w:t>
            </w:r>
          </w:p>
          <w:p>
            <w:pPr>
              <w:pStyle w:val="Normal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 xml:space="preserve">за счет средств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местных бюджетов 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– 1 869,4 тыс. рублей в том числе:</w:t>
            </w:r>
          </w:p>
          <w:p>
            <w:pPr>
              <w:pStyle w:val="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в 2019 году – 101,9 тыс. рублей;</w:t>
            </w:r>
          </w:p>
          <w:p>
            <w:pPr>
              <w:pStyle w:val="Normal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 xml:space="preserve">в 2020 году – </w:t>
            </w: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6"/>
                <w:szCs w:val="26"/>
                <w:lang w:val="ru-RU" w:eastAsia="ru-RU" w:bidi="ar-SA"/>
              </w:rPr>
              <w:t>306,7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 xml:space="preserve"> тыс. рублей;</w:t>
            </w:r>
          </w:p>
          <w:p>
            <w:pPr>
              <w:pStyle w:val="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в 2021 году – 242,1 тыс. рублей;</w:t>
            </w:r>
          </w:p>
          <w:p>
            <w:pPr>
              <w:pStyle w:val="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в 2022 году – 483,7 тыс. рублей;</w:t>
            </w:r>
          </w:p>
          <w:p>
            <w:pPr>
              <w:pStyle w:val="Normal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 xml:space="preserve">в 2023году – </w:t>
            </w: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6"/>
                <w:szCs w:val="26"/>
                <w:lang w:val="ru-RU" w:eastAsia="ru-RU" w:bidi="ar-SA"/>
              </w:rPr>
              <w:t>217,5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 xml:space="preserve"> тыс. рублей;</w:t>
            </w:r>
          </w:p>
          <w:p>
            <w:pPr>
              <w:pStyle w:val="Normal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 xml:space="preserve">в 2024году – </w:t>
            </w: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6"/>
                <w:szCs w:val="26"/>
                <w:lang w:val="ru-RU" w:eastAsia="ru-RU" w:bidi="ar-SA"/>
              </w:rPr>
              <w:t>217,5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 xml:space="preserve"> тыс. рублей;</w:t>
            </w:r>
          </w:p>
          <w:p>
            <w:pPr>
              <w:pStyle w:val="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в 2025 году – 0 тыс. рублей;</w:t>
            </w:r>
          </w:p>
          <w:p>
            <w:pPr>
              <w:pStyle w:val="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в 2026-2030 годы – 0 тыс. рублей;</w:t>
            </w:r>
          </w:p>
          <w:p>
            <w:pPr>
              <w:pStyle w:val="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в 2031-2035 годы – 0 тыс. рублей;</w:t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внебюджетных источников – 0 тыс. рублей, в том числе:</w:t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 2019 году – 0 тыс. рублей;</w:t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 2020 году - 0 тыс. рублей;</w:t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 2021 году - 0 тыс. рублей;</w:t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 2022 году - 0 тыс. рублей;</w:t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 2023 году - 0 тыс. рублей;</w:t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 2024 году - 0 тыс. рублей;</w:t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 2025 году - 0 тыс. рублей;</w:t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 2026 - 2030 годах - 0 тыс. рублей;</w:t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 2031 - 2035 годах - 0 тыс. рублей.</w:t>
            </w:r>
          </w:p>
          <w:p>
            <w:pPr>
              <w:pStyle w:val="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Объемы бюджетных ассигнований уточняются ежегодно при формировании республиканского бюджета Чувашской Республики на очередной финансовый год и плановый период.»</w:t>
            </w:r>
          </w:p>
        </w:tc>
      </w:tr>
    </w:tbl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2.2.</w:t>
      </w:r>
      <w:r>
        <w:rPr>
          <w:rFonts w:cs="Times New Roman" w:ascii="Times New Roman" w:hAnsi="Times New Roman"/>
          <w:sz w:val="26"/>
          <w:szCs w:val="26"/>
        </w:rPr>
        <w:t xml:space="preserve"> Раздел </w:t>
      </w:r>
      <w:r>
        <w:rPr>
          <w:rFonts w:cs="Times New Roman" w:ascii="Times New Roman" w:hAnsi="Times New Roman"/>
          <w:sz w:val="26"/>
          <w:szCs w:val="26"/>
          <w:lang w:val="en-US"/>
        </w:rPr>
        <w:t>IV</w:t>
      </w:r>
      <w:r>
        <w:rPr>
          <w:rFonts w:cs="Times New Roman" w:ascii="Times New Roman" w:hAnsi="Times New Roman"/>
          <w:sz w:val="26"/>
          <w:szCs w:val="26"/>
        </w:rPr>
        <w:t xml:space="preserve"> «Обоснование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подпрограммы)» изложить в следующей редакции: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 </w:t>
      </w:r>
      <w:r>
        <w:rPr>
          <w:rFonts w:cs="Times New Roman" w:ascii="Times New Roman" w:hAnsi="Times New Roman"/>
          <w:sz w:val="26"/>
          <w:szCs w:val="26"/>
        </w:rPr>
        <w:t>«Общий объем финансирования подпрограммы в 2019 - 2035 годах составит</w:t>
      </w:r>
      <w:r>
        <w:rPr>
          <w:rFonts w:cs="Times New Roman" w:ascii="Times New Roman" w:hAnsi="Times New Roman"/>
          <w:sz w:val="26"/>
          <w:szCs w:val="26"/>
          <w:lang w:eastAsia="en-US"/>
        </w:rPr>
        <w:t xml:space="preserve">  </w:t>
      </w:r>
      <w:r>
        <w:rPr>
          <w:rFonts w:cs="Times New Roman" w:ascii="Times New Roman" w:hAnsi="Times New Roman"/>
          <w:color w:val="000000"/>
          <w:sz w:val="26"/>
          <w:szCs w:val="26"/>
          <w:lang w:eastAsia="en-US"/>
        </w:rPr>
        <w:t xml:space="preserve">16 027,8 </w:t>
      </w:r>
      <w:r>
        <w:rPr>
          <w:rFonts w:cs="Times New Roman" w:ascii="Times New Roman" w:hAnsi="Times New Roman"/>
          <w:sz w:val="26"/>
          <w:szCs w:val="26"/>
          <w:lang w:eastAsia="en-US"/>
        </w:rPr>
        <w:t xml:space="preserve">тыс. рублей, в том числе за счет средств республиканского бюджета Чувашской Республики – </w:t>
      </w:r>
      <w:r>
        <w:rPr>
          <w:rFonts w:cs="Times New Roman" w:ascii="Times New Roman" w:hAnsi="Times New Roman"/>
          <w:color w:val="000000"/>
          <w:sz w:val="26"/>
          <w:szCs w:val="26"/>
          <w:lang w:eastAsia="en-US"/>
        </w:rPr>
        <w:t>14 458,3</w:t>
      </w:r>
      <w:r>
        <w:rPr>
          <w:rFonts w:cs="Times New Roman" w:ascii="Times New Roman" w:hAnsi="Times New Roman"/>
          <w:sz w:val="26"/>
          <w:szCs w:val="26"/>
          <w:lang w:eastAsia="en-US"/>
        </w:rPr>
        <w:t xml:space="preserve"> тыс. рублей, за счет средств местного бюджета – </w:t>
      </w:r>
      <w:r>
        <w:rPr>
          <w:rFonts w:cs="Times New Roman" w:ascii="Times New Roman" w:hAnsi="Times New Roman"/>
          <w:color w:val="000000"/>
          <w:sz w:val="26"/>
          <w:szCs w:val="26"/>
          <w:lang w:eastAsia="en-US"/>
        </w:rPr>
        <w:t xml:space="preserve">1 869,4 </w:t>
      </w:r>
      <w:r>
        <w:rPr>
          <w:rFonts w:cs="Times New Roman" w:ascii="Times New Roman" w:hAnsi="Times New Roman"/>
          <w:sz w:val="26"/>
          <w:szCs w:val="26"/>
          <w:lang w:eastAsia="en-US"/>
        </w:rPr>
        <w:t xml:space="preserve">тыс. рублей, за счет </w:t>
      </w:r>
      <w:r>
        <w:rPr>
          <w:rFonts w:cs="Times New Roman" w:ascii="Times New Roman" w:hAnsi="Times New Roman"/>
          <w:sz w:val="26"/>
          <w:szCs w:val="26"/>
        </w:rPr>
        <w:t xml:space="preserve">внебюджетных источников </w:t>
      </w:r>
      <w:r>
        <w:rPr>
          <w:rFonts w:cs="Times New Roman" w:ascii="Times New Roman" w:hAnsi="Times New Roman"/>
          <w:sz w:val="26"/>
          <w:szCs w:val="26"/>
          <w:lang w:eastAsia="en-US"/>
        </w:rPr>
        <w:t>– 0 тыс. рублей.</w:t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lang w:eastAsia="en-US"/>
        </w:rPr>
        <w:t xml:space="preserve">Прогнозируемые  объемы  финансирования  подпрограммы  на  1  этапе  составят </w:t>
      </w:r>
      <w:r>
        <w:rPr>
          <w:rFonts w:cs="Times New Roman" w:ascii="Times New Roman" w:hAnsi="Times New Roman"/>
          <w:color w:val="000000"/>
          <w:sz w:val="26"/>
          <w:szCs w:val="26"/>
          <w:lang w:eastAsia="en-US"/>
        </w:rPr>
        <w:t xml:space="preserve">16 027,8 </w:t>
      </w:r>
      <w:r>
        <w:rPr>
          <w:rFonts w:cs="Times New Roman" w:ascii="Times New Roman" w:hAnsi="Times New Roman"/>
          <w:sz w:val="26"/>
          <w:szCs w:val="26"/>
          <w:lang w:eastAsia="en-US"/>
        </w:rPr>
        <w:t>тыс. рублей, на 2 этапе – 0,0 тыс. рублей, на 3 этапе – 0,0 тыс. рублей, в том числе:</w:t>
      </w:r>
    </w:p>
    <w:p>
      <w:pPr>
        <w:pStyle w:val="Normal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в 2019 году – 6 902,6  тыс. рублей;</w:t>
      </w:r>
    </w:p>
    <w:p>
      <w:pPr>
        <w:pStyle w:val="Normal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в 2020 году – 7 964,4 тыс. рублей;</w:t>
      </w:r>
    </w:p>
    <w:p>
      <w:pPr>
        <w:pStyle w:val="Normal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в 2021 году –  242,1 тыс. рублей;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в 2022 году – 483,7 тыс. рублей;</w:t>
      </w:r>
    </w:p>
    <w:p>
      <w:pPr>
        <w:pStyle w:val="Normal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cs="Times New Roman" w:ascii="Times New Roman" w:hAnsi="Times New Roman"/>
          <w:sz w:val="26"/>
          <w:szCs w:val="26"/>
          <w:lang w:eastAsia="en-US"/>
        </w:rPr>
        <w:t>в 2023году – 217,5 тыс. рублей;</w:t>
      </w:r>
    </w:p>
    <w:p>
      <w:pPr>
        <w:pStyle w:val="Normal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cs="Times New Roman" w:ascii="Times New Roman" w:hAnsi="Times New Roman"/>
          <w:sz w:val="26"/>
          <w:szCs w:val="26"/>
          <w:lang w:eastAsia="en-US"/>
        </w:rPr>
        <w:t>в 2024году – 217,5 тыс. рублей;</w:t>
      </w:r>
    </w:p>
    <w:p>
      <w:pPr>
        <w:pStyle w:val="Normal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cs="Times New Roman" w:ascii="Times New Roman" w:hAnsi="Times New Roman"/>
          <w:sz w:val="26"/>
          <w:szCs w:val="26"/>
          <w:lang w:eastAsia="en-US"/>
        </w:rPr>
        <w:t>в 2025 году – 0,0 тыс. рублей;</w:t>
      </w:r>
    </w:p>
    <w:p>
      <w:pPr>
        <w:pStyle w:val="Normal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cs="Times New Roman" w:ascii="Times New Roman" w:hAnsi="Times New Roman"/>
          <w:sz w:val="26"/>
          <w:szCs w:val="26"/>
          <w:lang w:eastAsia="en-US"/>
        </w:rPr>
        <w:t>в 2026-2030 годы – 0,0 тыс. рублей;</w:t>
      </w:r>
    </w:p>
    <w:p>
      <w:pPr>
        <w:pStyle w:val="Normal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cs="Times New Roman" w:ascii="Times New Roman" w:hAnsi="Times New Roman"/>
          <w:sz w:val="26"/>
          <w:szCs w:val="26"/>
          <w:lang w:eastAsia="en-US"/>
        </w:rPr>
        <w:t>в 2031-2035 годы – 0,0 тыс. рублей.»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sectPr>
          <w:type w:val="nextPage"/>
          <w:pgSz w:w="11906" w:h="16838"/>
          <w:pgMar w:left="1701" w:right="851" w:header="0" w:top="539" w:footer="0" w:bottom="720" w:gutter="0"/>
          <w:pgNumType w:fmt="decimal"/>
          <w:formProt w:val="false"/>
          <w:textDirection w:val="lrTb"/>
          <w:docGrid w:type="default" w:linePitch="360" w:charSpace="4294957055"/>
        </w:sect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Style w:val="Style12"/>
          <w:rFonts w:cs="Times New Roman" w:ascii="Times New Roman" w:hAnsi="Times New Roman"/>
          <w:b/>
          <w:bCs/>
          <w:sz w:val="26"/>
          <w:szCs w:val="26"/>
        </w:rPr>
        <w:t>2.3.</w:t>
      </w:r>
      <w:r>
        <w:rPr>
          <w:rStyle w:val="Style12"/>
          <w:rFonts w:cs="Times New Roman" w:ascii="Times New Roman" w:hAnsi="Times New Roman"/>
          <w:b w:val="false"/>
          <w:bCs/>
          <w:sz w:val="26"/>
          <w:szCs w:val="26"/>
        </w:rPr>
        <w:t xml:space="preserve"> Приложение к подпрограмме «</w:t>
      </w:r>
      <w:r>
        <w:rPr>
          <w:rStyle w:val="Style12"/>
          <w:rFonts w:cs="Times New Roman" w:ascii="Times New Roman" w:hAnsi="Times New Roman"/>
          <w:b w:val="false"/>
          <w:bCs/>
          <w:color w:val="000000"/>
          <w:sz w:val="26"/>
          <w:szCs w:val="26"/>
          <w:lang w:eastAsia="en-US"/>
        </w:rPr>
        <w:t xml:space="preserve">Реализации подпрограммы «Модернизация коммунальной инфраструктуры на территории Ядринского района Чувашской Республики» муниципальной программы Ядринского района  Чувашской Республики «Модернизация и развитие сферы жилищно-коммунального хозяйства» </w:t>
      </w:r>
      <w:r>
        <w:rPr>
          <w:rStyle w:val="Style12"/>
          <w:rFonts w:cs="Times New Roman" w:ascii="Times New Roman" w:hAnsi="Times New Roman"/>
          <w:b w:val="false"/>
          <w:bCs/>
          <w:sz w:val="26"/>
          <w:szCs w:val="26"/>
        </w:rPr>
        <w:t>изложить в следующей редакции:</w:t>
      </w:r>
    </w:p>
    <w:p>
      <w:pPr>
        <w:pStyle w:val="1"/>
        <w:rPr>
          <w:rFonts w:ascii="Times New Roman" w:hAnsi="Times New Roman" w:cs="Times New Roman"/>
        </w:rPr>
      </w:pPr>
      <w:bookmarkStart w:id="6" w:name="sub_20001"/>
      <w:r>
        <w:rPr>
          <w:rFonts w:cs="Times New Roman" w:ascii="Times New Roman" w:hAnsi="Times New Roman"/>
        </w:rPr>
        <w:t>Ресурсное обеспечение</w:t>
        <w:br/>
        <w:t>и прогнозная (справочная) оценка расходов за счет всех источников финансирования реализации муниципальной программы Ядринского района Чувашской Республики "Модернизация и развитие сферы жилищно-коммунального хозяйства"</w:t>
      </w:r>
      <w:bookmarkEnd w:id="6"/>
    </w:p>
    <w:tbl>
      <w:tblPr>
        <w:tblW w:w="1521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1825"/>
        <w:gridCol w:w="1663"/>
        <w:gridCol w:w="1287"/>
        <w:gridCol w:w="800"/>
        <w:gridCol w:w="525"/>
        <w:gridCol w:w="1813"/>
        <w:gridCol w:w="950"/>
        <w:gridCol w:w="850"/>
        <w:gridCol w:w="712"/>
        <w:gridCol w:w="888"/>
        <w:gridCol w:w="675"/>
        <w:gridCol w:w="725"/>
        <w:gridCol w:w="569"/>
        <w:gridCol w:w="656"/>
        <w:gridCol w:w="492"/>
        <w:gridCol w:w="133"/>
      </w:tblGrid>
      <w:tr>
        <w:trPr/>
        <w:tc>
          <w:tcPr>
            <w:tcW w:w="6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18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Наименование государственной программы Чувашской Республики, подпрограммы государственной программы Чувашской Республики (основного мероприятия)</w:t>
            </w:r>
          </w:p>
        </w:tc>
        <w:tc>
          <w:tcPr>
            <w:tcW w:w="16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Задача подпрограмм государственной программы Чувашской Республики  </w:t>
            </w:r>
          </w:p>
        </w:tc>
        <w:tc>
          <w:tcPr>
            <w:tcW w:w="12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13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Код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color w:val="00000A"/>
                <w:sz w:val="20"/>
                <w:szCs w:val="20"/>
              </w:rPr>
              <w:t>бюджетной классификации</w:t>
            </w:r>
          </w:p>
        </w:tc>
        <w:tc>
          <w:tcPr>
            <w:tcW w:w="8330" w:type="dxa"/>
            <w:gridSpan w:val="10"/>
            <w:tcBorders>
              <w:top w:val="single" w:sz="4" w:space="0" w:color="000001"/>
              <w:lef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Расходы по годам, тыс. рублей</w:t>
            </w:r>
          </w:p>
        </w:tc>
        <w:tc>
          <w:tcPr>
            <w:tcW w:w="133" w:type="dxa"/>
            <w:tcBorders>
              <w:top w:val="single" w:sz="4" w:space="0" w:color="000001"/>
              <w:lef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65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6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color w:val="00000A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color w:val="00000A"/>
                <w:sz w:val="20"/>
                <w:szCs w:val="20"/>
              </w:rPr>
              <w:t>целевая статья расходов</w:t>
            </w: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color w:val="00000A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color w:val="00000A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2026-2030</w:t>
            </w:r>
          </w:p>
        </w:tc>
        <w:tc>
          <w:tcPr>
            <w:tcW w:w="6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2031-2035</w:t>
            </w:r>
          </w:p>
        </w:tc>
      </w:tr>
      <w:tr>
        <w:trPr/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14</w:t>
            </w:r>
          </w:p>
        </w:tc>
      </w:tr>
      <w:tr>
        <w:trPr/>
        <w:tc>
          <w:tcPr>
            <w:tcW w:w="6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rPr/>
            </w:pPr>
            <w:hyperlink w:anchor="sub_4000">
              <w:r>
                <w:rPr>
                  <w:rFonts w:ascii="Times New Roman" w:hAnsi="Times New Roman"/>
                  <w:color w:val="000000"/>
                  <w:sz w:val="20"/>
                  <w:szCs w:val="20"/>
                </w:rPr>
                <w:t>Подпрограмма</w:t>
              </w:r>
            </w:hyperlink>
          </w:p>
        </w:tc>
        <w:tc>
          <w:tcPr>
            <w:tcW w:w="18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Style23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Модернизация коммунальной инфраструктуры на территории Ядринского района Чувашской Республики</w:t>
            </w:r>
          </w:p>
        </w:tc>
        <w:tc>
          <w:tcPr>
            <w:tcW w:w="16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Style23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4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Ответственный исполнитель — отдел строительства, дорожного хозяйства и ЖКХ Ядринской районной администрации, соисполнитель -сельские поселения Ядринского района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Style24"/>
              <w:widowControl w:val="false"/>
              <w:rPr/>
            </w:pPr>
            <w:r>
              <w:rPr>
                <w:rStyle w:val="Style12"/>
                <w:rFonts w:cs="Times New Roman"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6902,6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7964,4</w:t>
            </w: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242,1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483,7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  <w:t>217,5</w:t>
            </w: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  <w:t>217,5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5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6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Style24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5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6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  <w:t>903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Style24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  <w:t>6800,6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  <w:t>7657,7</w:t>
            </w: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5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6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Style24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  <w:t>101,9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  <w:t>306,7</w:t>
            </w: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242,1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483,7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  <w:t>217,5</w:t>
            </w: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  <w:t>217,5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5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6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Style24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Основное мероприятие 1</w:t>
            </w:r>
          </w:p>
        </w:tc>
        <w:tc>
          <w:tcPr>
            <w:tcW w:w="18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Style23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Обеспечение качества жилищно-коммунальных услуг</w:t>
            </w:r>
          </w:p>
        </w:tc>
        <w:tc>
          <w:tcPr>
            <w:tcW w:w="16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Style23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Модернизация коммунальной инфраструктуры для сокращения будущих расходов на текущий ремонт и экономии энергетических ресурсов</w:t>
            </w:r>
          </w:p>
        </w:tc>
        <w:tc>
          <w:tcPr>
            <w:tcW w:w="128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Style24"/>
              <w:widowControl w:val="false"/>
              <w:rPr/>
            </w:pPr>
            <w:r>
              <w:rPr>
                <w:rStyle w:val="Style12"/>
                <w:rFonts w:cs="Times New Roman"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6902,6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7964,4</w:t>
            </w: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242,1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483,7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  <w:t>217,5</w:t>
            </w: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  <w:t>217,5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</w:tr>
      <w:tr>
        <w:trPr>
          <w:trHeight w:val="68" w:hRule="atLeast"/>
        </w:trPr>
        <w:tc>
          <w:tcPr>
            <w:tcW w:w="65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6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Style24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5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6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  <w:t>903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Style24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  <w:t>6800,6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  <w:t>7657,7</w:t>
            </w: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5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6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Style24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  <w:t>101,9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  <w:t>306,7</w:t>
            </w: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242,1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483,7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  <w:t>217,5</w:t>
            </w: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  <w:t>217,5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5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6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Style24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</w:tr>
    </w:tbl>
    <w:p>
      <w:pPr>
        <w:sectPr>
          <w:type w:val="nextPage"/>
          <w:pgSz w:orient="landscape" w:w="16838" w:h="11906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600" w:charSpace="28672"/>
        </w:sectPr>
        <w:pStyle w:val="Normal"/>
        <w:jc w:val="both"/>
        <w:rPr>
          <w:rStyle w:val="Style12"/>
          <w:rFonts w:ascii="Times New Roman" w:hAnsi="Times New Roman" w:cs="Times New Roman"/>
          <w:b/>
          <w:b/>
          <w:bCs w:val="false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jc w:val="both"/>
        <w:rPr/>
      </w:pPr>
      <w:r>
        <w:rPr>
          <w:rStyle w:val="Style12"/>
          <w:rFonts w:cs="Times New Roman" w:ascii="Times New Roman" w:hAnsi="Times New Roman"/>
          <w:b/>
          <w:bCs w:val="false"/>
          <w:sz w:val="26"/>
          <w:szCs w:val="26"/>
        </w:rPr>
        <w:t>3.</w:t>
      </w:r>
      <w:r>
        <w:rPr>
          <w:rStyle w:val="Style12"/>
          <w:rFonts w:cs="Times New Roman" w:ascii="Times New Roman" w:hAnsi="Times New Roman"/>
          <w:b/>
          <w:bCs w:val="false"/>
          <w:color w:val="00000A"/>
          <w:sz w:val="26"/>
          <w:szCs w:val="26"/>
        </w:rPr>
        <w:t xml:space="preserve"> В приложении № 3 к программе подпрограммы </w:t>
      </w:r>
      <w:r>
        <w:rPr>
          <w:rFonts w:cs="Times New Roman" w:ascii="Times New Roman" w:hAnsi="Times New Roman"/>
          <w:b w:val="false"/>
          <w:color w:val="000000"/>
          <w:sz w:val="26"/>
          <w:szCs w:val="26"/>
          <w:lang w:eastAsia="en-US"/>
        </w:rPr>
        <w:t>«Развитие систем коммунальной инфраструктуры и объектов, используемых для очистки сточных вод» (далее – подпрограмма)</w:t>
      </w:r>
    </w:p>
    <w:p>
      <w:pPr>
        <w:pStyle w:val="Normal"/>
        <w:jc w:val="both"/>
        <w:rPr/>
      </w:pPr>
      <w:r>
        <w:rPr>
          <w:rStyle w:val="Style12"/>
          <w:rFonts w:cs="Times New Roman" w:ascii="Times New Roman" w:hAnsi="Times New Roman"/>
          <w:b/>
          <w:bCs w:val="false"/>
          <w:color w:val="00000A"/>
          <w:sz w:val="26"/>
          <w:szCs w:val="26"/>
        </w:rPr>
        <w:t xml:space="preserve">3.1. </w:t>
      </w:r>
      <w:r>
        <w:rPr>
          <w:rStyle w:val="Style12"/>
          <w:rFonts w:cs="Times New Roman" w:ascii="Times New Roman" w:hAnsi="Times New Roman"/>
          <w:b w:val="false"/>
          <w:bCs w:val="false"/>
          <w:color w:val="00000A"/>
          <w:sz w:val="26"/>
          <w:szCs w:val="26"/>
        </w:rPr>
        <w:t>п</w:t>
      </w:r>
      <w:r>
        <w:rPr>
          <w:rFonts w:cs="Times New Roman" w:ascii="Times New Roman" w:hAnsi="Times New Roman"/>
          <w:b w:val="false"/>
          <w:color w:val="00000A"/>
          <w:sz w:val="26"/>
          <w:szCs w:val="26"/>
        </w:rPr>
        <w:t>озицию «</w:t>
      </w:r>
      <w:r>
        <w:rPr>
          <w:rFonts w:cs="Times New Roman" w:ascii="Times New Roman" w:hAnsi="Times New Roman"/>
          <w:b w:val="false"/>
          <w:color w:val="00000A"/>
          <w:sz w:val="26"/>
          <w:szCs w:val="26"/>
          <w:lang w:eastAsia="en-US"/>
        </w:rPr>
        <w:t>Объемы финансирования подпрограммы с разбивкой по годам реализации программы</w:t>
      </w:r>
      <w:r>
        <w:rPr>
          <w:rFonts w:cs="Times New Roman" w:ascii="Times New Roman" w:hAnsi="Times New Roman"/>
          <w:b w:val="false"/>
          <w:color w:val="00000A"/>
          <w:sz w:val="26"/>
          <w:szCs w:val="26"/>
        </w:rPr>
        <w:t>» изложить в следующей редакции:</w:t>
      </w:r>
    </w:p>
    <w:tbl>
      <w:tblPr>
        <w:tblW w:w="9637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542"/>
        <w:gridCol w:w="6095"/>
      </w:tblGrid>
      <w:tr>
        <w:trPr/>
        <w:tc>
          <w:tcPr>
            <w:tcW w:w="3542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  <w:lang w:eastAsia="en-US"/>
              </w:rPr>
              <w:t>«Объемы финансирования подпрограммы с разбивкой по годам реализации программы</w:t>
            </w:r>
          </w:p>
        </w:tc>
        <w:tc>
          <w:tcPr>
            <w:tcW w:w="6095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общий объем финансирования подпрограммы в 2019 - 2035 годах составляет 27 706,4 тыс. рублей, в том числе:</w:t>
            </w:r>
          </w:p>
          <w:p>
            <w:pPr>
              <w:pStyle w:val="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в 2019 году –  0 тыс. рублей;</w:t>
            </w:r>
          </w:p>
          <w:p>
            <w:pPr>
              <w:pStyle w:val="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в 2020 году –  0 тыс. рублей;</w:t>
            </w:r>
          </w:p>
          <w:p>
            <w:pPr>
              <w:pStyle w:val="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в 2021 году –  11 896,7 тыс. рублей;</w:t>
            </w:r>
          </w:p>
          <w:p>
            <w:pPr>
              <w:pStyle w:val="Normal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 xml:space="preserve">в 2022 году – </w:t>
            </w: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6"/>
                <w:szCs w:val="26"/>
                <w:lang w:val="ru-RU" w:eastAsia="ru-RU" w:bidi="ar-SA"/>
              </w:rPr>
              <w:t xml:space="preserve">15 809,7 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тыс. рублей;</w:t>
            </w:r>
          </w:p>
          <w:p>
            <w:pPr>
              <w:pStyle w:val="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в 2023году – 0 тыс. рублей;</w:t>
            </w:r>
          </w:p>
          <w:p>
            <w:pPr>
              <w:pStyle w:val="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в 2024году – 0 тыс. рублей;</w:t>
            </w:r>
          </w:p>
          <w:p>
            <w:pPr>
              <w:pStyle w:val="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в 2025 году – 0 тыс. рублей;</w:t>
            </w:r>
          </w:p>
          <w:p>
            <w:pPr>
              <w:pStyle w:val="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в 2026-2030 годы – 0 тыс. рублей;</w:t>
            </w:r>
          </w:p>
          <w:p>
            <w:pPr>
              <w:pStyle w:val="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в 2031-2035 годы – 0 тыс. рублей;</w:t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федерального бюджета – 0 тыс. рублей, в том числе:</w:t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 2019 году – 0 тыс. рублей;</w:t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 2020 году – 0 тыс. рублей;</w:t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 2021 году – 0 тыс. рублей;</w:t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 2022 году – 0 тыс. рублей;</w:t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 2023 году – 0 тыс. рублей;</w:t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 2024 году –  0 тыс. рублей;</w:t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 2025 году –  0 тыс. рублей;</w:t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 2026 - 2030 годах - 0 тыс. рублей;</w:t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 2031 - 2035 годах - 0 тыс. рублей;</w:t>
            </w:r>
          </w:p>
          <w:p>
            <w:pPr>
              <w:pStyle w:val="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республиканского бюджета Чувашской Республики –    27 706,4 тыс. рублей, в том числе:</w:t>
            </w:r>
          </w:p>
          <w:p>
            <w:pPr>
              <w:pStyle w:val="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в 2019 году –  0 тыс. рублей;</w:t>
            </w:r>
          </w:p>
          <w:p>
            <w:pPr>
              <w:pStyle w:val="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в 2020 году –  0 тыс. рублей;</w:t>
            </w:r>
          </w:p>
          <w:p>
            <w:pPr>
              <w:pStyle w:val="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в 2021 году –  11 896,7 тыс. рублей;</w:t>
            </w:r>
          </w:p>
          <w:p>
            <w:pPr>
              <w:pStyle w:val="Normal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 xml:space="preserve">в 2022 году – </w:t>
            </w: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6"/>
                <w:szCs w:val="26"/>
                <w:lang w:val="ru-RU" w:eastAsia="ru-RU" w:bidi="ar-SA"/>
              </w:rPr>
              <w:t xml:space="preserve">15 809,7 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тыс. рублей;</w:t>
            </w:r>
          </w:p>
          <w:p>
            <w:pPr>
              <w:pStyle w:val="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в 2023году – 0 тыс. рублей;</w:t>
            </w:r>
          </w:p>
          <w:p>
            <w:pPr>
              <w:pStyle w:val="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в 2024году – 0 тыс. рублей;</w:t>
            </w:r>
          </w:p>
          <w:p>
            <w:pPr>
              <w:pStyle w:val="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в 2025 году – 0 тыс. рублей;</w:t>
            </w:r>
          </w:p>
          <w:p>
            <w:pPr>
              <w:pStyle w:val="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в 2026-2030 годы – 0 тыс. рублей;</w:t>
            </w:r>
          </w:p>
          <w:p>
            <w:pPr>
              <w:pStyle w:val="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в 2031-2035 годы – 0 тыс. рублей;</w:t>
            </w:r>
          </w:p>
          <w:p>
            <w:pPr>
              <w:pStyle w:val="Normal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 xml:space="preserve">за счет средств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местных бюджетов 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– 0 тыс. рублей в том числе:</w:t>
            </w:r>
          </w:p>
          <w:p>
            <w:pPr>
              <w:pStyle w:val="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в 2019 году – 0 тыс. рублей;</w:t>
            </w:r>
          </w:p>
          <w:p>
            <w:pPr>
              <w:pStyle w:val="Normal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 xml:space="preserve">в 2020 году – </w:t>
            </w: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6"/>
                <w:szCs w:val="26"/>
                <w:lang w:val="ru-RU" w:eastAsia="ru-RU" w:bidi="ar-SA"/>
              </w:rPr>
              <w:t>0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 xml:space="preserve"> тыс. рублей;</w:t>
            </w:r>
          </w:p>
          <w:p>
            <w:pPr>
              <w:pStyle w:val="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в 2021 году – 0 тыс. рублей;</w:t>
            </w:r>
          </w:p>
          <w:p>
            <w:pPr>
              <w:pStyle w:val="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в 2022 году – 0 тыс. рублей;</w:t>
            </w:r>
          </w:p>
          <w:p>
            <w:pPr>
              <w:pStyle w:val="Normal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 xml:space="preserve">в 2023году – </w:t>
            </w: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6"/>
                <w:szCs w:val="26"/>
                <w:lang w:val="ru-RU" w:eastAsia="ru-RU" w:bidi="ar-SA"/>
              </w:rPr>
              <w:t>0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 xml:space="preserve"> тыс. рублей;</w:t>
            </w:r>
          </w:p>
          <w:p>
            <w:pPr>
              <w:pStyle w:val="Normal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 xml:space="preserve">в 2024году – </w:t>
            </w: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6"/>
                <w:szCs w:val="26"/>
                <w:lang w:val="ru-RU" w:eastAsia="ru-RU" w:bidi="ar-SA"/>
              </w:rPr>
              <w:t>0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 xml:space="preserve"> тыс. рублей;</w:t>
            </w:r>
          </w:p>
          <w:p>
            <w:pPr>
              <w:pStyle w:val="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в 2025 году – 0 тыс. рублей;</w:t>
            </w:r>
          </w:p>
          <w:p>
            <w:pPr>
              <w:pStyle w:val="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в 2026-2030 годы – 0 тыс. рублей;</w:t>
            </w:r>
          </w:p>
          <w:p>
            <w:pPr>
              <w:pStyle w:val="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в 2031-2035 годы – 0 тыс. рублей;</w:t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внебюджетных источников – 0 тыс. рублей, в том числе:</w:t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 2019 году – 0 тыс. рублей;</w:t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 2020 году - 0 тыс. рублей;</w:t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 2021 году - 0 тыс. рублей;</w:t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 2022 году - 0 тыс. рублей;</w:t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 2023 году - 0 тыс. рублей;</w:t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 2024 году - 0 тыс. рублей;</w:t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 2025 году - 0 тыс. рублей;</w:t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 2026 - 2030 годах - 0 тыс. рублей;</w:t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 2031 - 2035 годах - 0 тыс. рублей.</w:t>
            </w:r>
          </w:p>
          <w:p>
            <w:pPr>
              <w:pStyle w:val="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Объемы бюджетных ассигнований уточняются ежегодно при формировании республиканского бюджета Чувашской Республики на очередной финансовый год и плановый период.»</w:t>
            </w:r>
          </w:p>
        </w:tc>
      </w:tr>
    </w:tbl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3.2.</w:t>
      </w:r>
      <w:r>
        <w:rPr>
          <w:rFonts w:cs="Times New Roman" w:ascii="Times New Roman" w:hAnsi="Times New Roman"/>
          <w:sz w:val="26"/>
          <w:szCs w:val="26"/>
        </w:rPr>
        <w:t xml:space="preserve"> Раздел </w:t>
      </w:r>
      <w:r>
        <w:rPr>
          <w:rFonts w:cs="Times New Roman" w:ascii="Times New Roman" w:hAnsi="Times New Roman"/>
          <w:sz w:val="26"/>
          <w:szCs w:val="26"/>
          <w:lang w:val="en-US"/>
        </w:rPr>
        <w:t>IV</w:t>
      </w:r>
      <w:r>
        <w:rPr>
          <w:rFonts w:cs="Times New Roman" w:ascii="Times New Roman" w:hAnsi="Times New Roman"/>
          <w:sz w:val="26"/>
          <w:szCs w:val="26"/>
        </w:rPr>
        <w:t xml:space="preserve"> «Обоснование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подпрограммы)» изложить в следующей редакции: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 </w:t>
      </w:r>
      <w:r>
        <w:rPr>
          <w:rFonts w:cs="Times New Roman" w:ascii="Times New Roman" w:hAnsi="Times New Roman"/>
          <w:sz w:val="26"/>
          <w:szCs w:val="26"/>
        </w:rPr>
        <w:t>«Общий  объем  финансирования  подпрограммы  в 2019 - 2035 годах составит</w:t>
      </w:r>
      <w:r>
        <w:rPr>
          <w:rFonts w:cs="Times New Roman" w:ascii="Times New Roman" w:hAnsi="Times New Roman"/>
          <w:sz w:val="26"/>
          <w:szCs w:val="26"/>
          <w:lang w:eastAsia="en-US"/>
        </w:rPr>
        <w:t xml:space="preserve"> </w:t>
      </w:r>
      <w:r>
        <w:rPr>
          <w:rFonts w:cs="Times New Roman" w:ascii="Times New Roman" w:hAnsi="Times New Roman"/>
          <w:color w:val="000000"/>
          <w:sz w:val="26"/>
          <w:szCs w:val="26"/>
          <w:lang w:eastAsia="en-US"/>
        </w:rPr>
        <w:t>27 706,4</w:t>
      </w:r>
      <w:r>
        <w:rPr>
          <w:rFonts w:cs="Times New Roman" w:ascii="Times New Roman" w:hAnsi="Times New Roman"/>
          <w:sz w:val="26"/>
          <w:szCs w:val="26"/>
          <w:lang w:eastAsia="en-US"/>
        </w:rPr>
        <w:t xml:space="preserve"> тыс. рублей, в том числе за счет средств республиканского бюджета Чувашской Республики – </w:t>
      </w:r>
      <w:r>
        <w:rPr>
          <w:rFonts w:cs="Times New Roman" w:ascii="Times New Roman" w:hAnsi="Times New Roman"/>
          <w:color w:val="000000"/>
          <w:sz w:val="26"/>
          <w:szCs w:val="26"/>
          <w:lang w:eastAsia="en-US"/>
        </w:rPr>
        <w:t>27 706,4</w:t>
      </w:r>
      <w:r>
        <w:rPr>
          <w:rFonts w:cs="Times New Roman" w:ascii="Times New Roman" w:hAnsi="Times New Roman"/>
          <w:sz w:val="26"/>
          <w:szCs w:val="26"/>
          <w:lang w:eastAsia="en-US"/>
        </w:rPr>
        <w:t xml:space="preserve"> тыс. рублей, за счет средств местного бюджета – 0</w:t>
      </w:r>
      <w:r>
        <w:rPr>
          <w:rFonts w:cs="Times New Roman" w:ascii="Times New Roman" w:hAnsi="Times New Roman"/>
          <w:color w:val="000000"/>
          <w:sz w:val="26"/>
          <w:szCs w:val="26"/>
          <w:lang w:eastAsia="en-US"/>
        </w:rPr>
        <w:t xml:space="preserve"> </w:t>
      </w:r>
      <w:r>
        <w:rPr>
          <w:rFonts w:cs="Times New Roman" w:ascii="Times New Roman" w:hAnsi="Times New Roman"/>
          <w:sz w:val="26"/>
          <w:szCs w:val="26"/>
          <w:lang w:eastAsia="en-US"/>
        </w:rPr>
        <w:t xml:space="preserve">тыс. рублей, за счет </w:t>
      </w:r>
      <w:r>
        <w:rPr>
          <w:rFonts w:cs="Times New Roman" w:ascii="Times New Roman" w:hAnsi="Times New Roman"/>
          <w:sz w:val="26"/>
          <w:szCs w:val="26"/>
        </w:rPr>
        <w:t xml:space="preserve">внебюджетных источников </w:t>
      </w:r>
      <w:r>
        <w:rPr>
          <w:rFonts w:cs="Times New Roman" w:ascii="Times New Roman" w:hAnsi="Times New Roman"/>
          <w:sz w:val="26"/>
          <w:szCs w:val="26"/>
          <w:lang w:eastAsia="en-US"/>
        </w:rPr>
        <w:t>– 0 тыс. рублей.</w:t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lang w:eastAsia="en-US"/>
        </w:rPr>
        <w:t>Прогнозируемые   объемы   финансирования   подпрограммы   на  1  этапе  составят 27 706,4</w:t>
      </w:r>
      <w:r>
        <w:rPr>
          <w:rFonts w:cs="Times New Roman" w:ascii="Times New Roman" w:hAnsi="Times New Roman"/>
          <w:color w:val="000000"/>
          <w:sz w:val="26"/>
          <w:szCs w:val="26"/>
          <w:lang w:eastAsia="en-US"/>
        </w:rPr>
        <w:t xml:space="preserve"> </w:t>
      </w:r>
      <w:r>
        <w:rPr>
          <w:rFonts w:cs="Times New Roman" w:ascii="Times New Roman" w:hAnsi="Times New Roman"/>
          <w:sz w:val="26"/>
          <w:szCs w:val="26"/>
          <w:lang w:eastAsia="en-US"/>
        </w:rPr>
        <w:t>тыс. рублей, на 2 этапе – 0,0 тыс. рублей, на 3 этапе – 0,0 тыс. рублей, в том числе:</w:t>
      </w:r>
    </w:p>
    <w:p>
      <w:pPr>
        <w:pStyle w:val="Normal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в 2019 году – 0 тыс. рублей;</w:t>
      </w:r>
    </w:p>
    <w:p>
      <w:pPr>
        <w:pStyle w:val="Normal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в 2020 году – 0 тыс. рублей;</w:t>
      </w:r>
    </w:p>
    <w:p>
      <w:pPr>
        <w:pStyle w:val="Normal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в 2021 году –  11 896,7 тыс. рублей;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 xml:space="preserve">в 2022 году – </w:t>
      </w:r>
      <w:r>
        <w:rPr>
          <w:rFonts w:eastAsia="Times New Roman" w:cs="Times New Roman" w:ascii="Times New Roman" w:hAnsi="Times New Roman"/>
          <w:color w:val="000000"/>
          <w:kern w:val="2"/>
          <w:sz w:val="26"/>
          <w:szCs w:val="26"/>
          <w:lang w:val="ru-RU" w:eastAsia="ru-RU" w:bidi="ar-SA"/>
        </w:rPr>
        <w:t>15 809,7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 тыс. рублей;</w:t>
      </w:r>
    </w:p>
    <w:p>
      <w:pPr>
        <w:pStyle w:val="Normal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cs="Times New Roman" w:ascii="Times New Roman" w:hAnsi="Times New Roman"/>
          <w:sz w:val="26"/>
          <w:szCs w:val="26"/>
          <w:lang w:eastAsia="en-US"/>
        </w:rPr>
        <w:t>в 2023году – 0,0 тыс. рублей;</w:t>
      </w:r>
    </w:p>
    <w:p>
      <w:pPr>
        <w:pStyle w:val="Normal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cs="Times New Roman" w:ascii="Times New Roman" w:hAnsi="Times New Roman"/>
          <w:sz w:val="26"/>
          <w:szCs w:val="26"/>
          <w:lang w:eastAsia="en-US"/>
        </w:rPr>
        <w:t>в 2024году – 0,0 тыс. рублей;</w:t>
      </w:r>
    </w:p>
    <w:p>
      <w:pPr>
        <w:pStyle w:val="Normal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cs="Times New Roman" w:ascii="Times New Roman" w:hAnsi="Times New Roman"/>
          <w:sz w:val="26"/>
          <w:szCs w:val="26"/>
          <w:lang w:eastAsia="en-US"/>
        </w:rPr>
        <w:t>в 2025 году – 0,0 тыс. рублей;</w:t>
      </w:r>
    </w:p>
    <w:p>
      <w:pPr>
        <w:pStyle w:val="Normal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cs="Times New Roman" w:ascii="Times New Roman" w:hAnsi="Times New Roman"/>
          <w:sz w:val="26"/>
          <w:szCs w:val="26"/>
          <w:lang w:eastAsia="en-US"/>
        </w:rPr>
        <w:t>в 2026-2030 годы – 0,0 тыс. рублей;</w:t>
      </w:r>
    </w:p>
    <w:p>
      <w:pPr>
        <w:pStyle w:val="Normal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cs="Times New Roman" w:ascii="Times New Roman" w:hAnsi="Times New Roman"/>
          <w:sz w:val="26"/>
          <w:szCs w:val="26"/>
          <w:lang w:eastAsia="en-US"/>
        </w:rPr>
        <w:t>в 2031-2035 годы – 0,0 тыс. рублей.»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sectPr>
          <w:type w:val="nextPage"/>
          <w:pgSz w:w="11906" w:h="16838"/>
          <w:pgMar w:left="1474" w:right="794" w:header="0" w:top="539" w:footer="0" w:bottom="720" w:gutter="0"/>
          <w:pgNumType w:fmt="decimal"/>
          <w:formProt w:val="false"/>
          <w:textDirection w:val="lrTb"/>
          <w:docGrid w:type="default" w:linePitch="360" w:charSpace="4294957055"/>
        </w:sect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Style w:val="Style12"/>
          <w:rFonts w:cs="Times New Roman" w:ascii="Times New Roman" w:hAnsi="Times New Roman"/>
          <w:b/>
          <w:bCs/>
          <w:sz w:val="26"/>
          <w:szCs w:val="26"/>
        </w:rPr>
        <w:t>3.3.</w:t>
      </w:r>
      <w:r>
        <w:rPr>
          <w:rStyle w:val="Style12"/>
          <w:rFonts w:cs="Times New Roman" w:ascii="Times New Roman" w:hAnsi="Times New Roman"/>
          <w:b w:val="false"/>
          <w:bCs/>
          <w:sz w:val="26"/>
          <w:szCs w:val="26"/>
        </w:rPr>
        <w:t xml:space="preserve"> </w:t>
      </w:r>
      <w:r>
        <w:rPr>
          <w:rStyle w:val="Style12"/>
          <w:rFonts w:cs="Times New Roman" w:ascii="Times New Roman" w:hAnsi="Times New Roman"/>
          <w:b w:val="false"/>
          <w:bCs/>
          <w:color w:val="000000"/>
          <w:sz w:val="26"/>
          <w:szCs w:val="26"/>
        </w:rPr>
        <w:t>Приложение к подпрограмме «</w:t>
      </w:r>
      <w:r>
        <w:rPr>
          <w:rStyle w:val="Style12"/>
          <w:rFonts w:cs="Times New Roman" w:ascii="Times New Roman" w:hAnsi="Times New Roman"/>
          <w:b w:val="false"/>
          <w:bCs/>
          <w:color w:val="000000"/>
          <w:sz w:val="26"/>
          <w:szCs w:val="26"/>
          <w:lang w:eastAsia="en-US"/>
        </w:rPr>
        <w:t xml:space="preserve">Реализации подпрограммы «Развитие систем коммунальной инфраструктуры и объектов, используемых для очистки сточных вод» муниципальной программы Ядринского района  Чувашской Республики «Модернизация и развитие сферы жилищно-коммунального хозяйства» </w:t>
      </w:r>
      <w:r>
        <w:rPr>
          <w:rStyle w:val="Style12"/>
          <w:rFonts w:cs="Times New Roman" w:ascii="Times New Roman" w:hAnsi="Times New Roman"/>
          <w:b w:val="false"/>
          <w:bCs/>
          <w:color w:val="000000"/>
          <w:sz w:val="26"/>
          <w:szCs w:val="26"/>
        </w:rPr>
        <w:t>изложить в следующей редакции:</w:t>
      </w:r>
    </w:p>
    <w:p>
      <w:pPr>
        <w:pStyle w:val="1"/>
        <w:rPr>
          <w:rFonts w:ascii="Times New Roman" w:hAnsi="Times New Roman" w:cs="Times New Roman"/>
        </w:rPr>
      </w:pPr>
      <w:bookmarkStart w:id="7" w:name="sub_200011"/>
      <w:r>
        <w:rPr>
          <w:rFonts w:cs="Times New Roman" w:ascii="Times New Roman" w:hAnsi="Times New Roman"/>
        </w:rPr>
        <w:t>Ресурсное обеспечение</w:t>
        <w:br/>
        <w:t>и прогнозная (справочная) оценка расходов за счет всех источников финансирования реализации муниципальной программы Ядринского района Чувашской Республики "Модернизация и развитие сферы жилищно-коммунального хозяйства"</w:t>
      </w:r>
      <w:bookmarkEnd w:id="7"/>
    </w:p>
    <w:tbl>
      <w:tblPr>
        <w:tblW w:w="1521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1825"/>
        <w:gridCol w:w="1638"/>
        <w:gridCol w:w="1412"/>
        <w:gridCol w:w="888"/>
        <w:gridCol w:w="587"/>
        <w:gridCol w:w="1650"/>
        <w:gridCol w:w="972"/>
        <w:gridCol w:w="691"/>
        <w:gridCol w:w="918"/>
        <w:gridCol w:w="874"/>
        <w:gridCol w:w="635"/>
        <w:gridCol w:w="623"/>
        <w:gridCol w:w="569"/>
        <w:gridCol w:w="656"/>
        <w:gridCol w:w="492"/>
        <w:gridCol w:w="133"/>
      </w:tblGrid>
      <w:tr>
        <w:trPr/>
        <w:tc>
          <w:tcPr>
            <w:tcW w:w="6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18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Наименование государственной программы Чувашской Республики, подпрограммы государственной программы Чувашской Республики (основного мероприятия)</w:t>
            </w:r>
          </w:p>
        </w:tc>
        <w:tc>
          <w:tcPr>
            <w:tcW w:w="163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Задача подпрограмм государственной программы Чувашской Республики  </w:t>
            </w:r>
          </w:p>
        </w:tc>
        <w:tc>
          <w:tcPr>
            <w:tcW w:w="141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14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Код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color w:val="00000A"/>
                <w:sz w:val="20"/>
                <w:szCs w:val="20"/>
              </w:rPr>
              <w:t>бюджетной классификации</w:t>
            </w:r>
          </w:p>
        </w:tc>
        <w:tc>
          <w:tcPr>
            <w:tcW w:w="8080" w:type="dxa"/>
            <w:gridSpan w:val="10"/>
            <w:tcBorders>
              <w:top w:val="single" w:sz="4" w:space="0" w:color="000001"/>
              <w:lef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Расходы по годам, тыс. рублей</w:t>
            </w:r>
          </w:p>
        </w:tc>
        <w:tc>
          <w:tcPr>
            <w:tcW w:w="133" w:type="dxa"/>
            <w:tcBorders>
              <w:top w:val="single" w:sz="4" w:space="0" w:color="000001"/>
              <w:lef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65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3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color w:val="00000A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color w:val="00000A"/>
                <w:sz w:val="20"/>
                <w:szCs w:val="20"/>
              </w:rPr>
              <w:t>целевая статья расходов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color w:val="00000A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color w:val="00000A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2026-2030</w:t>
            </w:r>
          </w:p>
        </w:tc>
        <w:tc>
          <w:tcPr>
            <w:tcW w:w="6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2031-2035</w:t>
            </w:r>
          </w:p>
        </w:tc>
      </w:tr>
      <w:tr>
        <w:trPr/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14</w:t>
            </w:r>
          </w:p>
        </w:tc>
      </w:tr>
      <w:tr>
        <w:trPr/>
        <w:tc>
          <w:tcPr>
            <w:tcW w:w="6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rPr/>
            </w:pPr>
            <w:hyperlink w:anchor="sub_4000">
              <w:r>
                <w:rPr>
                  <w:rFonts w:ascii="Times New Roman" w:hAnsi="Times New Roman"/>
                  <w:color w:val="000000"/>
                  <w:sz w:val="20"/>
                  <w:szCs w:val="20"/>
                </w:rPr>
                <w:t>Подпрограмма</w:t>
              </w:r>
            </w:hyperlink>
          </w:p>
        </w:tc>
        <w:tc>
          <w:tcPr>
            <w:tcW w:w="18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Style12"/>
                <w:rFonts w:cs="Times New Roman" w:ascii="Times New Roman" w:hAnsi="Times New Roman"/>
                <w:b w:val="false"/>
                <w:bCs/>
                <w:color w:val="000000"/>
                <w:sz w:val="20"/>
                <w:szCs w:val="20"/>
                <w:lang w:eastAsia="en-US"/>
              </w:rPr>
              <w:t>Развитие систем коммунальной инфраструктуры и объектов, используемых для очистки сточных вод</w:t>
            </w:r>
          </w:p>
        </w:tc>
        <w:tc>
          <w:tcPr>
            <w:tcW w:w="163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Style23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4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Ответственный исполнитель — отдел строительства, дорожного хозяйства и ЖКХ Ядринской районной администрации, соисполнитель -сельские поселения Ядринского района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Style24"/>
              <w:widowControl w:val="false"/>
              <w:rPr/>
            </w:pPr>
            <w:r>
              <w:rPr>
                <w:rStyle w:val="Style12"/>
                <w:rFonts w:cs="Times New Roman"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11896,7</w:t>
            </w:r>
          </w:p>
        </w:tc>
        <w:tc>
          <w:tcPr>
            <w:tcW w:w="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15809,7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5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3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Style24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5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3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  <w:t>992</w:t>
            </w:r>
          </w:p>
        </w:tc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Style24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11896,7</w:t>
            </w:r>
          </w:p>
        </w:tc>
        <w:tc>
          <w:tcPr>
            <w:tcW w:w="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15809,7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5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3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Style24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5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3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Style24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4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Основное мероприятие 1</w:t>
            </w:r>
          </w:p>
        </w:tc>
        <w:tc>
          <w:tcPr>
            <w:tcW w:w="18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Style23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Обеспечение качества жилищно-коммунальных услуг</w:t>
            </w:r>
          </w:p>
        </w:tc>
        <w:tc>
          <w:tcPr>
            <w:tcW w:w="163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Style23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Модернизация коммунальной инфраструктуры для сокращения будущих расходов на текущий ремонт и экономии энергетических ресурсов</w:t>
            </w:r>
          </w:p>
        </w:tc>
        <w:tc>
          <w:tcPr>
            <w:tcW w:w="141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Style24"/>
              <w:widowControl w:val="false"/>
              <w:rPr/>
            </w:pPr>
            <w:r>
              <w:rPr>
                <w:rStyle w:val="Style12"/>
                <w:rFonts w:cs="Times New Roman"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11896,7</w:t>
            </w:r>
          </w:p>
        </w:tc>
        <w:tc>
          <w:tcPr>
            <w:tcW w:w="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15809,7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65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3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Style24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5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3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  <w:t>992</w:t>
            </w:r>
          </w:p>
        </w:tc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Style24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11896,7</w:t>
            </w:r>
          </w:p>
        </w:tc>
        <w:tc>
          <w:tcPr>
            <w:tcW w:w="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15809,7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5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3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Style24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5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3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Style24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4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</w:tr>
    </w:tbl>
    <w:p>
      <w:pPr>
        <w:pStyle w:val="Normal"/>
        <w:jc w:val="both"/>
        <w:rPr>
          <w:rStyle w:val="Style12"/>
          <w:rFonts w:ascii="Times New Roman" w:hAnsi="Times New Roman" w:cs="Times New Roman"/>
          <w:b/>
          <w:b/>
          <w:bCs w:val="false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1"/>
        <w:spacing w:before="108" w:after="108"/>
        <w:jc w:val="both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2867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Baltica Chv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numPr>
        <w:ilvl w:val="0"/>
        <w:numId w:val="0"/>
      </w:numPr>
      <w:suppressAutoHyphens w:val="true"/>
      <w:kinsoku w:val="true"/>
      <w:overflowPunct w:val="true"/>
      <w:autoSpaceDE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2"/>
      <w:sz w:val="26"/>
      <w:szCs w:val="26"/>
      <w:lang w:val="ru-RU" w:eastAsia="ru-RU" w:bidi="ar-SA"/>
    </w:rPr>
  </w:style>
  <w:style w:type="paragraph" w:styleId="1">
    <w:name w:val="Heading 1"/>
    <w:basedOn w:val="Normal"/>
    <w:next w:val="Style17"/>
    <w:qFormat/>
    <w:pPr>
      <w:numPr>
        <w:ilvl w:val="0"/>
        <w:numId w:val="1"/>
      </w:num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Normal"/>
    <w:next w:val="Style17"/>
    <w:qFormat/>
    <w:pPr>
      <w:keepNext w:val="true"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Heading1Char">
    <w:name w:val="Heading 1 Char"/>
    <w:basedOn w:val="DefaultParagraphFont"/>
    <w:qFormat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styleId="Heading2Char">
    <w:name w:val="Heading 2 Char"/>
    <w:basedOn w:val="DefaultParagraphFont"/>
    <w:qFormat/>
    <w:rPr>
      <w:rFonts w:ascii="Cambria" w:hAnsi="Cambria" w:cs="Times New Roman"/>
      <w:b/>
      <w:bCs/>
      <w:i/>
      <w:iCs/>
      <w:sz w:val="28"/>
      <w:szCs w:val="28"/>
    </w:rPr>
  </w:style>
  <w:style w:type="character" w:styleId="Style12">
    <w:name w:val="Цветовое выделение"/>
    <w:qFormat/>
    <w:rPr>
      <w:b/>
      <w:color w:val="26282F"/>
      <w:sz w:val="26"/>
    </w:rPr>
  </w:style>
  <w:style w:type="character" w:styleId="Style13">
    <w:name w:val="Гипертекстовая ссылка"/>
    <w:basedOn w:val="Style12"/>
    <w:qFormat/>
    <w:rPr>
      <w:rFonts w:cs="Times New Roman"/>
      <w:bCs/>
      <w:color w:val="106BBE"/>
      <w:szCs w:val="26"/>
    </w:rPr>
  </w:style>
  <w:style w:type="character" w:styleId="Style14">
    <w:name w:val="Интернет-ссылка"/>
    <w:basedOn w:val="DefaultParagraphFont"/>
    <w:rPr>
      <w:rFonts w:cs="Times New Roman"/>
      <w:color w:val="0000FF"/>
      <w:u w:val="single"/>
      <w:lang w:val="zxx" w:eastAsia="zxx" w:bidi="zxx"/>
    </w:rPr>
  </w:style>
  <w:style w:type="character" w:styleId="BodyTextIndentChar">
    <w:name w:val="Body Text Indent Char"/>
    <w:basedOn w:val="DefaultParagraphFont"/>
    <w:qFormat/>
    <w:rPr>
      <w:rFonts w:ascii="Arial" w:hAnsi="Arial" w:cs="Arial"/>
      <w:sz w:val="26"/>
      <w:szCs w:val="26"/>
    </w:rPr>
  </w:style>
  <w:style w:type="character" w:styleId="Style15">
    <w:name w:val="Цветовое выделение для Текст"/>
    <w:qFormat/>
    <w:rPr/>
  </w:style>
  <w:style w:type="character" w:styleId="BalloonTextChar">
    <w:name w:val="Balloon Text Char"/>
    <w:basedOn w:val="DefaultParagraphFont"/>
    <w:qFormat/>
    <w:rPr>
      <w:rFonts w:ascii="Times New Roman" w:hAnsi="Times New Roman" w:cs="Arial"/>
      <w:sz w:val="2"/>
    </w:rPr>
  </w:style>
  <w:style w:type="paragraph" w:styleId="Style16">
    <w:name w:val="Заголовок"/>
    <w:basedOn w:val="Normal"/>
    <w:next w:val="Style17"/>
    <w:qFormat/>
    <w:pPr>
      <w:keepNext w:val="true"/>
      <w:numPr>
        <w:ilvl w:val="0"/>
        <w:numId w:val="0"/>
      </w:numPr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numPr>
        <w:ilvl w:val="0"/>
        <w:numId w:val="0"/>
      </w:numPr>
      <w:spacing w:lineRule="auto" w:line="276" w:before="0" w:after="140"/>
    </w:pPr>
    <w:rPr/>
  </w:style>
  <w:style w:type="paragraph" w:styleId="Style18">
    <w:name w:val="List"/>
    <w:basedOn w:val="Style17"/>
    <w:pPr>
      <w:numPr>
        <w:ilvl w:val="0"/>
        <w:numId w:val="0"/>
      </w:numPr>
    </w:pPr>
    <w:rPr>
      <w:rFonts w:cs="Arial"/>
    </w:rPr>
  </w:style>
  <w:style w:type="paragraph" w:styleId="Style19">
    <w:name w:val="Caption"/>
    <w:basedOn w:val="Normal"/>
    <w:qFormat/>
    <w:pPr>
      <w:numPr>
        <w:ilvl w:val="0"/>
        <w:numId w:val="0"/>
      </w:num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numPr>
        <w:ilvl w:val="0"/>
        <w:numId w:val="0"/>
      </w:numPr>
      <w:suppressLineNumbers/>
    </w:pPr>
    <w:rPr>
      <w:rFonts w:cs="Arial"/>
    </w:rPr>
  </w:style>
  <w:style w:type="paragraph" w:styleId="Style21">
    <w:name w:val="Комментарий"/>
    <w:basedOn w:val="Normal"/>
    <w:qFormat/>
    <w:pPr>
      <w:numPr>
        <w:ilvl w:val="0"/>
        <w:numId w:val="0"/>
      </w:numPr>
      <w:spacing w:before="75" w:after="0"/>
      <w:jc w:val="both"/>
    </w:pPr>
    <w:rPr>
      <w:color w:val="353842"/>
      <w:sz w:val="24"/>
      <w:szCs w:val="24"/>
    </w:rPr>
  </w:style>
  <w:style w:type="paragraph" w:styleId="Style22">
    <w:name w:val="Информация об изменениях документа"/>
    <w:basedOn w:val="Style21"/>
    <w:qFormat/>
    <w:pPr>
      <w:numPr>
        <w:ilvl w:val="0"/>
        <w:numId w:val="0"/>
      </w:numPr>
      <w:spacing w:before="0" w:after="0"/>
    </w:pPr>
    <w:rPr>
      <w:i/>
      <w:iCs/>
    </w:rPr>
  </w:style>
  <w:style w:type="paragraph" w:styleId="Style23">
    <w:name w:val="Нормальный (таблица)"/>
    <w:basedOn w:val="Normal"/>
    <w:qFormat/>
    <w:pPr>
      <w:numPr>
        <w:ilvl w:val="0"/>
        <w:numId w:val="0"/>
      </w:numPr>
      <w:jc w:val="both"/>
    </w:pPr>
    <w:rPr>
      <w:sz w:val="24"/>
      <w:szCs w:val="24"/>
    </w:rPr>
  </w:style>
  <w:style w:type="paragraph" w:styleId="Style24">
    <w:name w:val="Прижатый влево"/>
    <w:basedOn w:val="Normal"/>
    <w:qFormat/>
    <w:pPr>
      <w:numPr>
        <w:ilvl w:val="0"/>
        <w:numId w:val="0"/>
      </w:numPr>
    </w:pPr>
    <w:rPr>
      <w:sz w:val="24"/>
      <w:szCs w:val="24"/>
    </w:rPr>
  </w:style>
  <w:style w:type="paragraph" w:styleId="Style25">
    <w:name w:val="Таблицы (моноширинный)"/>
    <w:basedOn w:val="Normal"/>
    <w:qFormat/>
    <w:pPr>
      <w:numPr>
        <w:ilvl w:val="0"/>
        <w:numId w:val="0"/>
      </w:numPr>
      <w:jc w:val="both"/>
    </w:pPr>
    <w:rPr>
      <w:rFonts w:ascii="Courier New" w:hAnsi="Courier New" w:eastAsia="Calibri" w:cs="Courier New"/>
      <w:sz w:val="20"/>
      <w:szCs w:val="20"/>
    </w:rPr>
  </w:style>
  <w:style w:type="paragraph" w:styleId="Style26">
    <w:name w:val="Body Text Indent"/>
    <w:basedOn w:val="Normal"/>
    <w:pPr>
      <w:widowControl/>
      <w:numPr>
        <w:ilvl w:val="0"/>
        <w:numId w:val="0"/>
      </w:numPr>
      <w:ind w:left="283" w:right="0" w:firstLine="720"/>
      <w:jc w:val="both"/>
    </w:pPr>
    <w:rPr>
      <w:rFonts w:eastAsia="Calibri"/>
      <w:sz w:val="24"/>
      <w:szCs w:val="24"/>
    </w:rPr>
  </w:style>
  <w:style w:type="paragraph" w:styleId="ConsPlusNormal">
    <w:name w:val="ConsPlusNormal"/>
    <w:qFormat/>
    <w:pPr>
      <w:widowControl w:val="false"/>
      <w:numPr>
        <w:ilvl w:val="0"/>
        <w:numId w:val="0"/>
      </w:numPr>
      <w:suppressAutoHyphens w:val="true"/>
      <w:kinsoku w:val="true"/>
      <w:overflowPunct w:val="true"/>
      <w:autoSpaceDE w:val="true"/>
      <w:bidi w:val="0"/>
      <w:spacing w:before="0" w:after="0"/>
      <w:jc w:val="left"/>
    </w:pPr>
    <w:rPr>
      <w:rFonts w:ascii="Times New Roman" w:hAnsi="Times New Roman" w:eastAsia="Calibri" w:cs="Times New Roman"/>
      <w:color w:val="00000A"/>
      <w:kern w:val="2"/>
      <w:sz w:val="24"/>
      <w:szCs w:val="20"/>
      <w:lang w:val="ru-RU" w:eastAsia="ru-RU" w:bidi="ar-SA"/>
    </w:rPr>
  </w:style>
  <w:style w:type="paragraph" w:styleId="Style27">
    <w:name w:val="Текст (справка)"/>
    <w:basedOn w:val="Normal"/>
    <w:qFormat/>
    <w:pPr>
      <w:numPr>
        <w:ilvl w:val="0"/>
        <w:numId w:val="0"/>
      </w:numPr>
      <w:ind w:left="170" w:right="170" w:hanging="0"/>
    </w:pPr>
    <w:rPr>
      <w:rFonts w:eastAsia="Calibri" w:cs="Times New Roman"/>
      <w:sz w:val="24"/>
      <w:szCs w:val="24"/>
    </w:rPr>
  </w:style>
  <w:style w:type="paragraph" w:styleId="Formattext">
    <w:name w:val="formattext"/>
    <w:basedOn w:val="Normal"/>
    <w:qFormat/>
    <w:pPr>
      <w:widowControl/>
      <w:numPr>
        <w:ilvl w:val="0"/>
        <w:numId w:val="0"/>
      </w:numPr>
      <w:spacing w:before="28" w:after="28"/>
    </w:pPr>
    <w:rPr>
      <w:rFonts w:ascii="Times New Roman" w:hAnsi="Times New Roman" w:eastAsia="Calibri" w:cs="Times New Roman"/>
      <w:sz w:val="24"/>
      <w:szCs w:val="24"/>
    </w:rPr>
  </w:style>
  <w:style w:type="paragraph" w:styleId="BalloonText">
    <w:name w:val="Balloon Text"/>
    <w:basedOn w:val="Normal"/>
    <w:qFormat/>
    <w:pPr>
      <w:numPr>
        <w:ilvl w:val="0"/>
        <w:numId w:val="0"/>
      </w:numPr>
    </w:pPr>
    <w:rPr>
      <w:rFonts w:ascii="Tahoma" w:hAnsi="Tahoma" w:cs="Tahoma"/>
      <w:sz w:val="16"/>
      <w:szCs w:val="16"/>
    </w:rPr>
  </w:style>
  <w:style w:type="paragraph" w:styleId="Style28">
    <w:name w:val="Содержимое таблицы"/>
    <w:basedOn w:val="Normal"/>
    <w:qFormat/>
    <w:pPr>
      <w:widowControl w:val="false"/>
      <w:numPr>
        <w:ilvl w:val="0"/>
        <w:numId w:val="0"/>
      </w:numPr>
      <w:suppressLineNumbers/>
    </w:pPr>
    <w:rPr/>
  </w:style>
  <w:style w:type="paragraph" w:styleId="Style29">
    <w:name w:val="Заголовок таблицы"/>
    <w:basedOn w:val="Style28"/>
    <w:qFormat/>
    <w:pPr>
      <w:numPr>
        <w:ilvl w:val="0"/>
        <w:numId w:val="0"/>
      </w:num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67</TotalTime>
  <Application>LibreOffice/7.0.3.1$Windows_X86_64 LibreOffice_project/d7547858d014d4cf69878db179d326fc3483e082</Application>
  <Pages>13</Pages>
  <Words>3262</Words>
  <CharactersWithSpaces>18580</CharactersWithSpaces>
  <Paragraphs>808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2016-11-22T10:40:00Z</dcterms:created>
  <dc:creator>construc33</dc:creator>
  <dc:description/>
  <dc:language>ru-RU</dc:language>
  <cp:lastModifiedBy>Ульяна </cp:lastModifiedBy>
  <cp:lastPrinted>2022-03-10T10:38:47Z</cp:lastPrinted>
  <dcterms:modified xsi:type="dcterms:W3CDTF">2022-04-15T14:27:17Z</dcterms:modified>
  <cp:revision>126</cp:revision>
  <dc:subject/>
  <dc:title>Приложение № 15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