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3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  <w:gridCol w:w="1320"/>
        <w:gridCol w:w="3950"/>
      </w:tblGrid>
      <w:tr>
        <w:trPr>
          <w:trHeight w:val="435" w:hRule="atLeast"/>
          <w:cantSplit w:val="true"/>
        </w:trPr>
        <w:tc>
          <w:tcPr>
            <w:tcW w:w="4070" w:type="dxa"/>
            <w:tcBorders/>
          </w:tcPr>
          <w:p>
            <w:pPr>
              <w:pStyle w:val="Style21"/>
              <w:tabs>
                <w:tab w:val="clear" w:pos="708"/>
                <w:tab w:val="left" w:pos="4285" w:leader="none"/>
              </w:tabs>
              <w:snapToGrid w:val="false"/>
              <w:spacing w:lineRule="auto" w:line="192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drawing>
                <wp:anchor behindDoc="0" distT="0" distB="0" distL="114935" distR="114935" simplePos="0" locked="0" layoutInCell="0" allowOverlap="1" relativeHeight="2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-152400</wp:posOffset>
                  </wp:positionV>
                  <wp:extent cx="708025" cy="708025"/>
                  <wp:effectExtent l="0" t="0" r="0" b="0"/>
                  <wp:wrapNone/>
                  <wp:docPr id="1" name="Графический объект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24" t="-225" r="-224" b="-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Ч</w:t>
            </w: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ĂВАШ РЕСПУБЛИКИ</w:t>
            </w:r>
          </w:p>
          <w:p>
            <w:pPr>
              <w:pStyle w:val="Style21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ЕТЕРНЕ</w:t>
            </w:r>
            <w:r>
              <w:rPr>
                <w:rFonts w:cs="Baltica Chv" w:ascii="Baltica Chv" w:hAnsi="Baltica Chv"/>
                <w:b/>
                <w:bCs/>
                <w:sz w:val="22"/>
                <w:lang w:val="zxx" w:eastAsia="zxx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РАЙОНĚ</w:t>
            </w:r>
          </w:p>
        </w:tc>
        <w:tc>
          <w:tcPr>
            <w:tcW w:w="1320" w:type="dxa"/>
            <w:vMerge w:val="restart"/>
            <w:tcBorders/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50" w:type="dxa"/>
            <w:tcBorders/>
          </w:tcPr>
          <w:p>
            <w:pPr>
              <w:pStyle w:val="Style21"/>
              <w:snapToGrid w:val="false"/>
              <w:spacing w:lineRule="auto" w:line="192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ЧУВАШСКАЯ РЕСПУБЛИКА</w:t>
            </w:r>
          </w:p>
          <w:p>
            <w:pPr>
              <w:pStyle w:val="Style21"/>
              <w:spacing w:lineRule="auto" w:line="192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ЯДРИНСКИЙ РАЙОН</w:t>
            </w:r>
          </w:p>
        </w:tc>
      </w:tr>
      <w:tr>
        <w:trPr>
          <w:trHeight w:val="1975" w:hRule="atLeast"/>
          <w:cantSplit w:val="true"/>
        </w:trPr>
        <w:tc>
          <w:tcPr>
            <w:tcW w:w="4070" w:type="dxa"/>
            <w:tcBorders/>
          </w:tcPr>
          <w:p>
            <w:pPr>
              <w:pStyle w:val="Style21"/>
              <w:tabs>
                <w:tab w:val="clear" w:pos="708"/>
                <w:tab w:val="left" w:pos="4285" w:leader="none"/>
              </w:tabs>
              <w:snapToGrid w:val="false"/>
              <w:spacing w:lineRule="auto" w:line="192" w:before="80" w:after="0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ЕТЕРНЕ РАЙОН</w:t>
            </w:r>
          </w:p>
          <w:p>
            <w:pPr>
              <w:pStyle w:val="Style21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АДМИНИСТРАЦИЙĚ</w:t>
            </w:r>
          </w:p>
          <w:p>
            <w:pPr>
              <w:pStyle w:val="Style21"/>
              <w:tabs>
                <w:tab w:val="clear" w:pos="708"/>
                <w:tab w:val="left" w:pos="4285" w:leader="none"/>
              </w:tabs>
              <w:spacing w:lineRule="auto" w:line="192"/>
              <w:ind w:left="0" w:right="0" w:firstLine="426"/>
              <w:jc w:val="center"/>
              <w:rPr/>
            </w:pPr>
            <w:r>
              <w:rPr/>
            </w:r>
          </w:p>
          <w:p>
            <w:pPr>
              <w:pStyle w:val="Style21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;Times New Roman" w:ascii="Times New Roman;Times New Roman" w:hAnsi="Times New Roman;Times New Roman"/>
                <w:color w:val="000000"/>
                <w:lang w:val="zxx" w:eastAsia="zxx"/>
              </w:rPr>
              <w:t>ЙЫШАНУ</w:t>
            </w:r>
          </w:p>
          <w:p>
            <w:pPr>
              <w:pStyle w:val="Style21"/>
              <w:ind w:left="0" w:right="-35" w:hanging="0"/>
              <w:jc w:val="center"/>
              <w:rPr>
                <w:rFonts w:ascii="Times New Roman;Times New Roman" w:hAnsi="Times New Roman;Times New Roman" w:cs="Times New Roman;Times New Roman"/>
                <w:sz w:val="26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lang w:val="zxx" w:eastAsia="zxx"/>
              </w:rPr>
            </w:r>
          </w:p>
          <w:p>
            <w:pPr>
              <w:pStyle w:val="Style21"/>
              <w:ind w:left="0" w:right="-35" w:hanging="0"/>
              <w:jc w:val="center"/>
              <w:rPr>
                <w:rFonts w:ascii="Times New Roman;Times New Roman" w:hAnsi="Times New Roman;Times New Roman" w:cs="Times New Roman;Times New Roman"/>
                <w:sz w:val="26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en-US" w:eastAsia="zxx"/>
              </w:rPr>
              <w:t>10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none"/>
                <w:lang w:val="zxx" w:eastAsia="zxx"/>
              </w:rPr>
              <w:t>.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zxx" w:eastAsia="zxx"/>
              </w:rPr>
              <w:t>02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ru-RU" w:eastAsia="zxx"/>
              </w:rPr>
              <w:t>.202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en-US" w:eastAsia="zxx"/>
              </w:rPr>
              <w:t>2</w:t>
            </w:r>
            <w:r>
              <w:rPr>
                <w:rFonts w:cs="Times New Roman;Times New Roman" w:ascii="Times New Roman;Times New Roman" w:hAnsi="Times New Roman;Times New Roman"/>
                <w:sz w:val="26"/>
                <w:lang w:val="zxx" w:eastAsia="zxx"/>
              </w:rPr>
              <w:t xml:space="preserve">  № 66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6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lang w:val="zxx" w:eastAsia="zxx"/>
              </w:rPr>
              <w:t>Етерне хули</w:t>
            </w:r>
          </w:p>
        </w:tc>
        <w:tc>
          <w:tcPr>
            <w:tcW w:w="132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50" w:type="dxa"/>
            <w:tcBorders/>
          </w:tcPr>
          <w:p>
            <w:pPr>
              <w:pStyle w:val="Style21"/>
              <w:snapToGrid w:val="false"/>
              <w:spacing w:lineRule="auto" w:line="192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</w:r>
          </w:p>
          <w:p>
            <w:pPr>
              <w:pStyle w:val="Style21"/>
              <w:spacing w:lineRule="auto" w:line="192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ЯДРИНСКАЯ РАЙОННАЯ</w:t>
            </w:r>
          </w:p>
          <w:p>
            <w:pPr>
              <w:pStyle w:val="Style21"/>
              <w:spacing w:lineRule="auto" w:line="192"/>
              <w:jc w:val="center"/>
              <w:rPr>
                <w:rFonts w:ascii="Times New Roman;Times New Roman" w:hAnsi="Times New Roman;Times New Roman" w:cs="Times New Roman;Times New Roman"/>
                <w:b/>
                <w:b/>
                <w:bCs/>
                <w:sz w:val="22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2"/>
                <w:lang w:val="zxx" w:eastAsia="zxx"/>
              </w:rPr>
              <w:t>АДМИНИСТРАЦИЯ</w:t>
            </w:r>
          </w:p>
          <w:p>
            <w:pPr>
              <w:pStyle w:val="Style21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21"/>
              <w:spacing w:lineRule="auto" w:line="192"/>
              <w:jc w:val="center"/>
              <w:rPr/>
            </w:pPr>
            <w:r>
              <w:rPr>
                <w:rStyle w:val="Style11"/>
                <w:rFonts w:cs="Times New Roman;Times New Roman" w:ascii="Times New Roman;Times New Roman" w:hAnsi="Times New Roman;Times New Roman"/>
                <w:color w:val="000000"/>
                <w:lang w:val="zxx" w:eastAsia="zxx"/>
              </w:rPr>
              <w:t>ПОСТАНОВЛЕНИЕ</w:t>
            </w:r>
          </w:p>
          <w:p>
            <w:pPr>
              <w:pStyle w:val="Style21"/>
              <w:ind w:left="0" w:right="-35" w:hanging="0"/>
              <w:jc w:val="center"/>
              <w:rPr>
                <w:rFonts w:ascii="Times New Roman;Times New Roman" w:hAnsi="Times New Roman;Times New Roman" w:cs="Times New Roman;Times New Roman"/>
                <w:sz w:val="26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lang w:val="zxx" w:eastAsia="zxx"/>
              </w:rPr>
            </w:r>
          </w:p>
          <w:p>
            <w:pPr>
              <w:pStyle w:val="Style21"/>
              <w:ind w:left="0" w:right="-35" w:hanging="0"/>
              <w:jc w:val="center"/>
              <w:rPr>
                <w:rFonts w:ascii="Times New Roman;Times New Roman" w:hAnsi="Times New Roman;Times New Roman" w:cs="Times New Roman;Times New Roman"/>
                <w:sz w:val="26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en-US" w:eastAsia="zxx"/>
              </w:rPr>
              <w:t>10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none"/>
                <w:lang w:val="zxx" w:eastAsia="zxx"/>
              </w:rPr>
              <w:t>.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zxx" w:eastAsia="zxx"/>
              </w:rPr>
              <w:t>02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ru-RU" w:eastAsia="zxx"/>
              </w:rPr>
              <w:t>.202</w:t>
            </w:r>
            <w:r>
              <w:rPr>
                <w:rFonts w:cs="Times New Roman;Times New Roman" w:ascii="Times New Roman;Times New Roman" w:hAnsi="Times New Roman;Times New Roman"/>
                <w:sz w:val="26"/>
                <w:u w:val="single"/>
                <w:lang w:val="en-US" w:eastAsia="zxx"/>
              </w:rPr>
              <w:t>2</w:t>
            </w:r>
            <w:r>
              <w:rPr>
                <w:rFonts w:cs="Times New Roman;Times New Roman" w:ascii="Times New Roman;Times New Roman" w:hAnsi="Times New Roman;Times New Roman"/>
                <w:sz w:val="26"/>
                <w:lang w:val="zxx" w:eastAsia="zxx"/>
              </w:rPr>
              <w:t xml:space="preserve">  № 66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6"/>
                <w:lang w:val="zxx" w:eastAsia="zxx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lang w:val="zxx" w:eastAsia="zxx"/>
              </w:rPr>
              <w:t>город Ядрин</w:t>
            </w:r>
          </w:p>
        </w:tc>
      </w:tr>
    </w:tbl>
    <w:p>
      <w:pPr>
        <w:pStyle w:val="211"/>
        <w:ind w:left="0" w:right="4817" w:hanging="0"/>
        <w:rPr/>
      </w:pPr>
      <w:r>
        <w:rPr/>
      </w:r>
    </w:p>
    <w:p>
      <w:pPr>
        <w:pStyle w:val="211"/>
        <w:ind w:left="0" w:right="4817" w:hanging="0"/>
        <w:rPr/>
      </w:pPr>
      <w:r>
        <w:rPr/>
        <w:t>О внесении изменений в муниципальную программу Ядринского района Чувашской Республики «</w:t>
      </w:r>
      <w:r>
        <w:rPr>
          <w:bCs/>
        </w:rPr>
        <w:t>Развитие физической культуры и спорта</w:t>
      </w:r>
      <w:r>
        <w:rPr/>
        <w:t xml:space="preserve">»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На основании решени</w:t>
      </w:r>
      <w:r>
        <w:rPr>
          <w:rFonts w:cs="Times New Roman;Times New Roman" w:ascii="Times New Roman;Times New Roman" w:hAnsi="Times New Roman;Times New Roman"/>
          <w:sz w:val="26"/>
          <w:szCs w:val="26"/>
          <w:lang w:val="ru-RU"/>
        </w:rPr>
        <w:t>й</w:t>
      </w: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Ядринского районного Собрания депутатов Чувашской Республики от 08.12.2020   № 01 «О Ядринском районном бюджете Чувашской Республики на 2021 год и на плановый  период 2022 и 2023 годов» (с изменениями от 26.03.2021, от 26.04.2021, от 20.08.2021, от 24.12.2021), от 08.12.2021 №01 «О Ядринском районном бюджете Чувашской Республики на 2022 года и плановой период 2023 и 2024 годов», в целях приведения в соответствие объемов финансирования муниципальной программы Ядринского района Чувашской Республики  «</w:t>
      </w:r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t>Развитие физической культуры и спорта», утвержденной постановлением Ядринской районной администрации Чувашской Республики от 29 декабря 2018 года № 976, Ядринская районная администрация Чувашской Республики п о с т а н о в л я е т: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1. Внести в постановление Ядринской районной администрации Чувашской Республики от 29.12.2018 № 976 «Об утверждении муниципальной программы Ядринского района Чувашской Республики «Развитие физической культуры и спорта» следующие изменения:</w:t>
      </w:r>
    </w:p>
    <w:p>
      <w:pPr>
        <w:pStyle w:val="311"/>
        <w:ind w:left="0" w:right="0" w:firstLine="567"/>
        <w:jc w:val="both"/>
        <w:rPr>
          <w:rFonts w:ascii="Times New Roman;Times New Roman" w:hAnsi="Times New Roman;Times New Roman"/>
          <w:sz w:val="26"/>
          <w:szCs w:val="26"/>
        </w:rPr>
      </w:pPr>
      <w:r>
        <w:rPr>
          <w:sz w:val="26"/>
          <w:szCs w:val="26"/>
        </w:rPr>
        <w:t>1.1. Приложение к указанному постановлению изложить в редакции согласно приложению к настоящему постановлению.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>Контроль за исполнением настоящего постановления возложить на отдел культуры, спорта и молодежной политики Ядринской районной администрации Чувашской Республики.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 xml:space="preserve"> 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lang w:val="ru-RU"/>
        </w:rPr>
        <w:t>Г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>лава Ядринской</w:t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>районной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>Чувашской Республики                                                                           А.А. Семенов</w:t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Приложение</w:t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к постановлению Ядринской районной администрации</w:t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</w:rPr>
        <w:t>Чувашской Республики</w:t>
      </w:r>
    </w:p>
    <w:p>
      <w:pPr>
        <w:pStyle w:val="Style21"/>
        <w:ind w:left="0" w:right="25" w:hanging="0"/>
        <w:jc w:val="right"/>
        <w:rPr>
          <w:rFonts w:ascii="Times New Roman;Times New Roman" w:hAnsi="Times New Roman;Times New Roman" w:cs="Times New Roman;Times New Roman"/>
          <w:color w:val="000000"/>
          <w:sz w:val="26"/>
          <w:szCs w:val="26"/>
          <w:lang w:val="zxx" w:eastAsia="zxx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lang w:val="zxx" w:eastAsia="zxx"/>
        </w:rPr>
        <w:t xml:space="preserve">от 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u w:val="single"/>
          <w:lang w:val="en-US" w:eastAsia="zxx"/>
        </w:rPr>
        <w:t xml:space="preserve">     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u w:val="none"/>
          <w:lang w:val="zxx" w:eastAsia="zxx"/>
        </w:rPr>
        <w:t>.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u w:val="single"/>
          <w:lang w:val="zxx" w:eastAsia="zxx"/>
        </w:rPr>
        <w:t>02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u w:val="single"/>
          <w:lang w:val="ru-RU" w:eastAsia="zxx"/>
        </w:rPr>
        <w:t>.202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u w:val="single"/>
          <w:lang w:val="en-US" w:eastAsia="zxx"/>
        </w:rPr>
        <w:t>2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lang w:val="zxx" w:eastAsia="zxx"/>
        </w:rPr>
        <w:t xml:space="preserve">  №</w:t>
      </w: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u w:val="single"/>
          <w:lang w:val="ru-RU" w:eastAsia="zxx"/>
        </w:rPr>
        <w:t xml:space="preserve">        </w:t>
      </w:r>
    </w:p>
    <w:p>
      <w:pPr>
        <w:pStyle w:val="Normal"/>
        <w:suppressAutoHyphens w:val="false"/>
        <w:autoSpaceDE w:val="false"/>
        <w:snapToGrid w:val="false"/>
        <w:spacing w:lineRule="auto" w:line="240" w:before="0" w:after="0"/>
        <w:jc w:val="right"/>
        <w:rPr>
          <w:rFonts w:ascii="Times New Roman;Times New Roman" w:hAnsi="Times New Roman;Times New Roman" w:cs="Times New Roman;Times New Roman"/>
          <w:color w:val="000000"/>
          <w:sz w:val="26"/>
          <w:szCs w:val="26"/>
          <w:lang w:val="zxx" w:eastAsia="zxx"/>
        </w:rPr>
      </w:pPr>
      <w:r>
        <w:rPr>
          <w:rFonts w:cs="Times New Roman;Times New Roman" w:ascii="Times New Roman;Times New Roman" w:hAnsi="Times New Roman;Times New Roman"/>
          <w:color w:val="000000"/>
          <w:sz w:val="26"/>
          <w:szCs w:val="26"/>
          <w:lang w:val="zxx" w:eastAsia="zxx"/>
        </w:rPr>
      </w:r>
    </w:p>
    <w:p>
      <w:pPr>
        <w:pStyle w:val="Style21"/>
        <w:ind w:left="0" w:right="-35" w:hanging="0"/>
        <w:jc w:val="right"/>
        <w:rPr/>
      </w:pPr>
      <w:r>
        <w:rPr/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Муниципальная программа</w:t>
        <w:br/>
        <w:t>Ядринского района Чувашской Республики "Развитие физической культуры и спорта"</w:t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Паспорт</w:t>
        <w:br/>
        <w:t>муниципальной программы Ядринского района "Развитие физической культуры и спорта"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80"/>
        <w:gridCol w:w="5716"/>
      </w:tblGrid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 xml:space="preserve">Ядринская районная администрация Чувашской Республики </w:t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Соисполнители Муниципальной программы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МАУ ДО «ДЮСШ «ФСК «Присурье» Ядринского района Чувашской Республики</w:t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Структурные подразделения Ядринской районной администрации, администрации городского и сельских поселений Ядринского района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/>
            </w:pPr>
            <w:hyperlink w:anchor="sub_5000">
              <w:r>
                <w:rPr>
                  <w:rFonts w:cs="Times New Roman;Times New Roman" w:ascii="Times New Roman;Times New Roman" w:hAnsi="Times New Roman;Times New Roman"/>
                  <w:color w:val="000000"/>
                  <w:sz w:val="26"/>
                  <w:szCs w:val="26"/>
                  <w:u w:val="none"/>
                </w:rPr>
                <w:t>"</w:t>
              </w:r>
            </w:hyperlink>
            <w:hyperlink w:anchor="sub_5000">
              <w:r>
                <w:rPr>
                  <w:rFonts w:cs="Times New Roman;Times New Roman" w:ascii="Times New Roman;Times New Roman" w:hAnsi="Times New Roman;Times New Roman"/>
                  <w:bCs/>
                  <w:color w:val="000000"/>
                  <w:sz w:val="26"/>
                  <w:szCs w:val="26"/>
                  <w:u w:val="none"/>
                </w:rPr>
                <w:t xml:space="preserve"> Развитие физической культуры и массового спорта</w:t>
              </w:r>
            </w:hyperlink>
            <w:hyperlink w:anchor="sub_5000">
              <w:r>
                <w:rPr>
                  <w:rFonts w:cs="Times New Roman;Times New Roman" w:ascii="Times New Roman;Times New Roman" w:hAnsi="Times New Roman;Times New Roman"/>
                  <w:color w:val="000000"/>
                  <w:sz w:val="26"/>
                  <w:szCs w:val="26"/>
                  <w:u w:val="none"/>
                </w:rPr>
                <w:t xml:space="preserve"> "</w:t>
              </w:r>
            </w:hyperlink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развитие и удовлетворение потребностей населения в занятиях физической культурой и спортом;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массовое приобщение различных слоев населения к регулярным занятиям физической культурой и спортом;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широкая пропаганда роли занятий физической культурой и спортом (включая спорт высших достижений).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совершенствование нормативно-правовых основ мониторинга физического развития, здоровья различных категорий населения;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vMerge w:val="restart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достижение к 2036 году:</w:t>
            </w:r>
          </w:p>
        </w:tc>
      </w:tr>
      <w:tr>
        <w:trPr/>
        <w:tc>
          <w:tcPr>
            <w:tcW w:w="33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65% удельный вес населения Ядринского района, систематически занимающегося физической культурой и спортом</w:t>
            </w:r>
          </w:p>
        </w:tc>
      </w:tr>
      <w:tr>
        <w:trPr/>
        <w:tc>
          <w:tcPr>
            <w:tcW w:w="33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2000 - единовременная пропускная способность спортивных сооружений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2019 - 2035 годы</w:t>
              <w:br/>
              <w:t>1 этап -  2019 - 2025 годы</w:t>
              <w:br/>
              <w:t>2 этап -  2026 - 2030 годы</w:t>
              <w:br/>
              <w:t>3 этап -  2031 - 2035 годы</w:t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 xml:space="preserve">Объемы финансирования 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общий объем финансирования Муниципальной программы составит 373 897 794,58 рублей, в том числе: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2019 году - 51 114 774,93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2020 году - 87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084 969,07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 xml:space="preserve">в 2021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27 629 414,58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2022 году - 14 804 772,00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2023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 xml:space="preserve">в 2024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2025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15 214 832,00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2026 - 2030 годы —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2031 - 2035 годы —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из них средства Ядринского районного бюджета Чувашской Республики 252 207 062,41 рублей, в том числе: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2019 году - 18 940 774,90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2020 году - 17 649 369,07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2021 году -   5 930 041,10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2022 году - 14 804 772,00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2023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 xml:space="preserve">в 2024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2025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15 214 832,00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2026 - 2030 годы - 76 074 160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2031 - 2035 годы - 76 074 160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из них средства республиканского бюджета </w:t>
            </w:r>
          </w:p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Чувашской Республики 91 134 973,48 рублей, в том числе в  2020 году - 69 435 600,00 рублей; в 2021 году — 21 699 373,48 рублей.</w:t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повысить качество жизни населения Ядринского района путем повышения качества реализуемых товаров и оказываемых услуг;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укрепить систему стратегического управления развитием Ядринского района, обеспечить комплексность и сбалансированность развития сельских поселений района;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обеспечить результативность деятельности Ядринской районной администрации, качество и доступность муниципальных услуг.</w:t>
            </w:r>
          </w:p>
        </w:tc>
      </w:tr>
      <w:tr>
        <w:trPr/>
        <w:tc>
          <w:tcPr>
            <w:tcW w:w="336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  <w:tc>
          <w:tcPr>
            <w:tcW w:w="5716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</w:r>
          </w:p>
        </w:tc>
      </w:tr>
    </w:tbl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</w:t>
      </w:r>
      <w:bookmarkStart w:id="0" w:name="sub_1001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аздел I. Общая характеристика развития физкультуры и спорта Ядринского района</w:t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bookmarkStart w:id="1" w:name="sub_1011"/>
      <w:bookmarkEnd w:id="0"/>
      <w:bookmarkEnd w:id="1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Характеристика проблемы и обоснование необходимости ее решения программными методами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2" w:name="sub_1011"/>
      <w:bookmarkEnd w:id="2"/>
      <w:r>
        <w:rPr>
          <w:rFonts w:cs="Times New Roman;Times New Roman" w:ascii="Times New Roman;Times New Roman" w:hAnsi="Times New Roman;Times New Roman"/>
          <w:sz w:val="26"/>
          <w:szCs w:val="26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В Ядринском районе Чувашской Республики сформирована межведомственная система взаимодействия по вопросам развития физической культуры и спорта органов самоуправления района и исполнительной власти Чувашской Республики, спортивными организациями независимо от организационно-правовых форм и форм собственности.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Также важнейшим показателем эффективности физкультурно-оздоровительной работы является наличие и доступность спортивных сооружений.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Современные условия жизни, функционирования общественного производства и развития народного хозяйства предъявляют требования решительного повышения эффективности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производства и труда, а также улучшения условий для трудовой деятельности и отдыха населения, укрепления их здоровья.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Следует разработать профессионально подготовленные программы занятий, учитывающие особенности социально-демографических групп населения и характер труда, а также готовить специалистов по этим программам.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подготовленности, а также вовлеченности школьников в спортивную деятельность.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3" w:name="sub_101"/>
      <w:bookmarkStart w:id="4" w:name="sub_10001"/>
      <w:r>
        <w:rPr>
          <w:rFonts w:cs="Times New Roman;Times New Roman" w:ascii="Times New Roman;Times New Roman" w:hAnsi="Times New Roman;Times New Roman"/>
          <w:sz w:val="26"/>
          <w:szCs w:val="26"/>
        </w:rPr>
        <w:t>На сегодняшний день роль спортивных сооружений заключается не только в подготовке спортивного резерва в сборные команды района и республики, но и в укреплении и обеспечении социального статуса учащихся спортивных школ. Необходимо принимать более масштабные, адекватные решаемым проблемам меры, которые позволят к 2022 году осуществить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bookmarkEnd w:id="3"/>
      <w:bookmarkEnd w:id="4"/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bookmarkStart w:id="5" w:name="sub_1002"/>
      <w:bookmarkEnd w:id="5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Раздел II. Приоритеты реализуемой на территории Ядринского района политики в сфере физкультуры и спорта и цели, задачи и показатели (индикаторы) достижения целей и решения задач, ожидаемые конечные результаты, сроки и этапы реализации Муниципальной программы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/>
      </w:pPr>
      <w:bookmarkStart w:id="6" w:name="sub_1002"/>
      <w:bookmarkEnd w:id="6"/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Приоритеты политики, реализуемой на территории Ядринского района, в сфере физкультуры и спорта Ядринского района определены </w:t>
      </w:r>
      <w:hyperlink r:id="rId3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Стратегией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социально-экономического развития Чувашской Республики до 2036 года, ежегодными посланиями Главы Чувашской Республики Государственному Совету Чувашской Республики, </w:t>
      </w:r>
      <w:hyperlink r:id="rId4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Концепцией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инновационного развития Чувашской Республики, Стратегическими направлениями социально-экономического развития Ядринского района до 2036 года.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Муниципальная программа Ядринского района "Развитие физической культуры и спорта" (далее Программа) разработана в соответствии со Стратегическими направлениями социально-экономического развития Ядринского района до 2035 года, их целями, задачами и приоритетными направлениями и направлена на достижение следующих целей: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развитие и удовлетворение потребностей населения в занятиях физической культурой и спортом;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массовое приобщение различных слоев населения к регулярным занятиям физической культурой и спортом;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широкая пропаганда роли занятий физической культурой и спортом (включая спорт высших достижений).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Исходя из поставленных целей, а также тенденций и особенностей развития физической культуры и спорта в Ядринском районе Программа предусматривает решение следующих основных задач: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совершенствование нормативно-правовых основ мониторинга физического развития, здоровья различных категорий населения;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</w:t>
      </w:r>
      <w:hyperlink w:anchor="sub_10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приложении N 1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к Муниципальной программе.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Реализация Муниципальной программы позволит: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повысить качество жизни населения Ядринского района путем повышения качества реализуемых товаров и оказываемых услуг;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укрепить систему стратегического управления развитием Ядринского района, обеспечить комплексность и сбалансированность развития сельских поселений района;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обеспечить результативность деятельности Ядринской районной администрации, качество и доступность муниципальных услуг.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bookmarkStart w:id="7" w:name="sub_1003"/>
      <w:bookmarkEnd w:id="7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 xml:space="preserve">Раздел III. Обобщенная характеристика основных мероприятий подпрограмм Муниципальной программы 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8" w:name="sub_1003"/>
      <w:bookmarkEnd w:id="8"/>
      <w:r>
        <w:rPr>
          <w:rFonts w:cs="Times New Roman;Times New Roman" w:ascii="Times New Roman;Times New Roman" w:hAnsi="Times New Roman;Times New Roman"/>
          <w:sz w:val="26"/>
          <w:szCs w:val="26"/>
        </w:rPr>
        <w:t>Достижение цели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В программе используются механизмы определения приоритетных направлений на основе критериев, утвержденных ведомственными нормативными актами и позволяющих обеспечить принятие совместных решений администрацией Ядринского района.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/>
      </w:pPr>
      <w:hyperlink w:anchor="sub_5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Подпрограмма 1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"Развитие физической культуры и массового спорта" муниципальной программы Ядринского района "Развитие физкультуры и спорта" включает в себя следующие основные мероприятия: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Основное мероприятие 1.1. Физкультурно-оздоровительная работа с населением.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создание на базе предприятий, организаций и учреждений кружков и секций физкультурно-спортивной направленности;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внедрение системы комплексных физкультурно-оздоровительных и спортивных мероприятий среди работающих;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укрепление материально-спортивной базы и реконструкцию спортивных площадок по месту жительства населения, оснащение их спортивным оборудованием;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проведение физкультурно-оздоровительных и спортивно-массовых мероприятий по месту жительства населения;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/>
      </w:pP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Перечень основных мероприятий подпрограмм Муниципальной программы приведен в </w:t>
      </w:r>
      <w:hyperlink w:anchor="sub_2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приложении №2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к муниципальной программе. Основные мероприятия Муниципальной программы реализуются на основе плана реализации Муниципальной программы на очередной финансовый год согласно </w:t>
      </w:r>
      <w:hyperlink w:anchor="sub_3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приложению N 3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и плана реализации Муниципальной программы.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bookmarkStart w:id="9" w:name="sub_10041"/>
      <w:bookmarkEnd w:id="9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Раздел IV. Обобщенная характеристика мер правового регулирования, направленных на достижение цели и (или) конечных результатов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56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10" w:name="sub_10041"/>
      <w:bookmarkEnd w:id="10"/>
      <w:r>
        <w:rPr>
          <w:rFonts w:cs="Times New Roman;Times New Roman" w:ascii="Times New Roman;Times New Roman" w:hAnsi="Times New Roman;Times New Roman"/>
          <w:sz w:val="26"/>
          <w:szCs w:val="26"/>
        </w:rPr>
        <w:t>Основной мерой правового регулирования муниципальной программы станет формирование нормативно-правовой базы Ядринского района, состоящей, в том числе из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Раздел V. Обоснование объема финансовых ресурсов, необходимых для реализации Муниципальной программы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Республики, местного бюджета Ядринского района и средств внебюджетных источников.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tbl>
      <w:tblPr>
        <w:tblW w:w="9367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7"/>
      </w:tblGrid>
      <w:tr>
        <w:trPr/>
        <w:tc>
          <w:tcPr>
            <w:tcW w:w="9367" w:type="dxa"/>
            <w:tcBorders/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общий объем финансирования Муниципальной программы составит 373 897 794,58 рублей, в том числе: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2019 году - 51 114 774,93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2020 году - 87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084 969,07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 xml:space="preserve">в 2021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27 629 414,58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2022 году - 14 804 772,00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2023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 xml:space="preserve">в 2024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2025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15 214 832,00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2026 - 2030 годы —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2031 - 2035 годы —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из них средства Ядринского районного бюджета Чувашской Республики 252 207 062,41 рублей, в том числе: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2019 году - 18 940 774,90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2020 году - 17 649 369,07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2021 году -   5 930 041,10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2022 году - 14 804 772,00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2023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 xml:space="preserve">в 2024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12 950 356 ,00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в 2025 году - 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15 214 832,00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  <w:br/>
              <w:t>в 2026 - 2030 годы - 76 074 160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в 2031 - 2035 годы - 76 074 160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6"/>
                <w:szCs w:val="26"/>
                <w:shd w:fill="FFFFFF" w:val="clear"/>
              </w:rPr>
              <w:t xml:space="preserve">,00 </w:t>
            </w: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рублей;</w:t>
            </w:r>
          </w:p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color w:val="auto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/>
        <w:tc>
          <w:tcPr>
            <w:tcW w:w="9367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 xml:space="preserve">из них средства республиканского бюджета </w:t>
            </w:r>
          </w:p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color w:val="auto"/>
                <w:sz w:val="26"/>
                <w:szCs w:val="26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6"/>
                <w:szCs w:val="26"/>
                <w:shd w:fill="FFFFFF" w:val="clear"/>
              </w:rPr>
              <w:t>Чувашской Республики 91 134 973,48 рублей, в том числе в  2020 году - 69 435 600,00 рублей; в 2021 году — 21 699 373,48 рублей.</w:t>
            </w:r>
          </w:p>
        </w:tc>
      </w:tr>
      <w:tr>
        <w:trPr/>
        <w:tc>
          <w:tcPr>
            <w:tcW w:w="9367" w:type="dxa"/>
            <w:tcBorders/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         </w:t>
      </w:r>
      <w:r>
        <w:rPr>
          <w:rFonts w:cs="Times New Roman;Times New Roman" w:ascii="Times New Roman;Times New Roman" w:hAnsi="Times New Roman;Times New Roman"/>
          <w:sz w:val="26"/>
          <w:szCs w:val="26"/>
        </w:rPr>
        <w:t>Объемы и источники финансирования Муниципальной программы уточняются при формировании бюджета Ядринского района на очередной финансовый год и плановый период.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/>
      </w:pP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Объемы финансирования Муниципальной программы уточняются при формировании бюджета Ядринского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</w:t>
      </w:r>
      <w:hyperlink w:anchor="sub_6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приложении N4</w:t>
        </w:r>
      </w:hyperlink>
      <w:r>
        <w:rPr>
          <w:rStyle w:val="Style13"/>
          <w:rFonts w:cs="Times New Roman;Times New Roman" w:ascii="Times New Roman;Times New Roman" w:hAnsi="Times New Roman;Times New Roman"/>
          <w:sz w:val="26"/>
          <w:szCs w:val="26"/>
        </w:rPr>
        <w:t xml:space="preserve"> </w:t>
      </w: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к Муниципальной программе.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  <w:bookmarkStart w:id="11" w:name="sub_1006"/>
      <w:bookmarkStart w:id="12" w:name="sub_1006"/>
      <w:bookmarkEnd w:id="12"/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Раздел VI. Обоснование выделения подпрограмм Муниципальной программы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13" w:name="sub_1006"/>
      <w:bookmarkEnd w:id="13"/>
      <w:r>
        <w:rPr>
          <w:rFonts w:cs="Times New Roman;Times New Roman" w:ascii="Times New Roman;Times New Roman" w:hAnsi="Times New Roman;Times New Roman"/>
          <w:sz w:val="26"/>
          <w:szCs w:val="26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направлениям.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Ряд взаимосвязанных целей Муниципальной программы направлены на достижение следующих целей: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развитие и удовлетворение потребностей населения в занятиях физической культурой и спортом;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массовое приобщение различных слоев населения к регулярным занятиям физической культурой и спортом;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широкая пропаганда роли занятий физической культурой и спортом (включая спорт высших достижений).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/>
      </w:pPr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На достижение целей Муниципальной программы направлена </w:t>
      </w:r>
      <w:hyperlink w:anchor="sub_5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подпрограмма</w:t>
        </w:r>
      </w:hyperlink>
      <w:r>
        <w:rPr>
          <w:rFonts w:cs="Times New Roman;Times New Roman" w:ascii="Times New Roman;Times New Roman" w:hAnsi="Times New Roman;Times New Roman"/>
          <w:sz w:val="26"/>
          <w:szCs w:val="26"/>
        </w:rPr>
        <w:t xml:space="preserve"> "Развитие физической культуры и массового спорта".</w:t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bookmarkStart w:id="14" w:name="sub_1007"/>
      <w:bookmarkEnd w:id="14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15" w:name="sub_1007"/>
      <w:bookmarkEnd w:id="15"/>
      <w:r>
        <w:rPr>
          <w:rFonts w:cs="Times New Roman;Times New Roman" w:ascii="Times New Roman;Times New Roman" w:hAnsi="Times New Roman;Times New Roman"/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16" w:name="sub_100011"/>
      <w:bookmarkEnd w:id="16"/>
      <w:r>
        <w:rPr>
          <w:rFonts w:cs="Times New Roman;Times New Roman" w:ascii="Times New Roman;Times New Roman" w:hAnsi="Times New Roman;Times New Roman"/>
          <w:sz w:val="26"/>
          <w:szCs w:val="26"/>
        </w:rPr>
        <w:t>1. Институционально-правовые риски, связанные с отсутствием законодательного регулирования основных направлений Муниципальной программы на региональном уровне и (или) недостаточно быстрым формированием институтов гражданского общества, предусмотренных Муниципальной программой.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17" w:name="sub_100011"/>
      <w:bookmarkStart w:id="18" w:name="sub_10002"/>
      <w:bookmarkEnd w:id="17"/>
      <w:bookmarkEnd w:id="18"/>
      <w:r>
        <w:rPr>
          <w:rFonts w:cs="Times New Roman;Times New Roman" w:ascii="Times New Roman;Times New Roman" w:hAnsi="Times New Roman;Times New Roman"/>
          <w:sz w:val="26"/>
          <w:szCs w:val="26"/>
        </w:rPr>
        <w:t>2. Организационные риски, связанные с ошибками управления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 целевому и (или) неэффективному использованию бюджетных средств, невыполнению ряда мероприятий Муниципальной программы или задержке их выполнения.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19" w:name="sub_10002"/>
      <w:bookmarkStart w:id="20" w:name="sub_10003"/>
      <w:bookmarkEnd w:id="19"/>
      <w:bookmarkEnd w:id="20"/>
      <w:r>
        <w:rPr>
          <w:rFonts w:cs="Times New Roman;Times New Roman" w:ascii="Times New Roman;Times New Roman" w:hAnsi="Times New Roman;Times New Roman"/>
          <w:sz w:val="26"/>
          <w:szCs w:val="26"/>
        </w:rPr>
        <w:t>3.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21" w:name="sub_10003"/>
      <w:bookmarkStart w:id="22" w:name="sub_10004"/>
      <w:bookmarkEnd w:id="21"/>
      <w:bookmarkEnd w:id="22"/>
      <w:r>
        <w:rPr>
          <w:rFonts w:cs="Times New Roman;Times New Roman" w:ascii="Times New Roman;Times New Roman" w:hAnsi="Times New Roman;Times New Roman"/>
          <w:sz w:val="26"/>
          <w:szCs w:val="26"/>
        </w:rPr>
        <w:t>4. Непредвиденные риски, связанные с кризисными явлениями в экономике Ядринского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bookmarkStart w:id="23" w:name="sub_10004"/>
      <w:bookmarkEnd w:id="23"/>
      <w:r>
        <w:rPr>
          <w:rFonts w:cs="Times New Roman;Times New Roman" w:ascii="Times New Roman;Times New Roman" w:hAnsi="Times New Roman;Times New Roman"/>
          <w:sz w:val="26"/>
          <w:szCs w:val="26"/>
        </w:rPr>
        <w:t>Вышеуказанные риски можно распределить по уровням их влияния на реализацию Муниципальной программы (табл. 2).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Таблица 2</w:t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Риски, распределяемые по уровням их влияния на реализацию Муниципальной программы</w:t>
      </w:r>
    </w:p>
    <w:tbl>
      <w:tblPr>
        <w:tblW w:w="9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559"/>
        <w:gridCol w:w="3279"/>
      </w:tblGrid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Наименование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Уровень влияния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Меры по снижению риска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Институционально-правовые риски: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отсутствие нормативного регулирования основных мероприятий Муниципальной программы;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умеренный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принятие муниципальных нормативных правовых актов Ядринского района, регулирующих сферу развития потенциала государственного управления Ядринского района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Организационные риски: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государственной власти;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умеренный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Финансовые риски: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дефицит бюджетных средств, необходимых на реализацию основных мероприятий Муниципальной программы и подпрограмм, включенных в Муниципальную программу;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недостаточное привлечение внебюджетных средств, предусмотренных в подпрограммах, включенных в Муниципальную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высокий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обеспечение сбалансированного распределения финансовых средств по основным мероприятиям Муниципальной программы и подпрограммам, включенным в Муниципальную программу, в соответствии с ожидаемыми конечными результатами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Непредвиденные риски: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резкое ухудшение состояния экономики вследствие финансового и экономического кризиса;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природные и техногенные катастрофы и катаклизмы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высокий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осуществление прогнозирования потенциала государственного управления с учетом возможного ухудшения экономической ситуации</w:t>
            </w:r>
          </w:p>
        </w:tc>
      </w:tr>
    </w:tbl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Cs/>
          <w:sz w:val="24"/>
          <w:szCs w:val="24"/>
        </w:rPr>
      </w:r>
      <w:bookmarkStart w:id="24" w:name="sub_10000"/>
      <w:bookmarkStart w:id="25" w:name="sub_10000"/>
      <w:bookmarkEnd w:id="25"/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/>
      </w:pPr>
      <w:r>
        <w:rPr>
          <w:rFonts w:cs="Times New Roman;Times New Roman" w:ascii="Times New Roman;Times New Roman" w:hAnsi="Times New Roman;Times New Roman"/>
          <w:bCs/>
          <w:sz w:val="24"/>
          <w:szCs w:val="24"/>
        </w:rPr>
        <w:t>Приложение N 1</w:t>
        <w:br/>
        <w:t xml:space="preserve">к </w:t>
      </w:r>
      <w:hyperlink w:anchor="sub_1000">
        <w:r>
          <w:rPr>
            <w:rFonts w:cs="Times New Roman;Times New Roman" w:ascii="Times New Roman;Times New Roman" w:hAnsi="Times New Roman;Times New Roman"/>
            <w:sz w:val="24"/>
            <w:szCs w:val="24"/>
          </w:rPr>
          <w:t>муниципальной программе</w:t>
        </w:r>
      </w:hyperlink>
      <w:r>
        <w:rPr>
          <w:rFonts w:cs="Times New Roman;Times New Roman" w:ascii="Times New Roman;Times New Roman" w:hAnsi="Times New Roman;Times New Roman"/>
          <w:bCs/>
          <w:sz w:val="24"/>
          <w:szCs w:val="24"/>
        </w:rPr>
        <w:br/>
        <w:t>Ядринского района</w:t>
        <w:br/>
        <w:t>"Развитие физической культуры</w:t>
        <w:br/>
        <w:t xml:space="preserve">и спорта" </w:t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bookmarkStart w:id="26" w:name="sub_10000"/>
      <w:bookmarkEnd w:id="26"/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Сведения</w:t>
        <w:br/>
        <w:t xml:space="preserve">о показателях (индикаторах) подпрограммы "Развитие физической культуры и массового спорта" муниципальной программы Ядринского района "Развитие физической культуры и спорта" </w:t>
      </w:r>
    </w:p>
    <w:tbl>
      <w:tblPr>
        <w:tblW w:w="97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1493"/>
        <w:gridCol w:w="1276"/>
        <w:gridCol w:w="711"/>
        <w:gridCol w:w="726"/>
        <w:gridCol w:w="711"/>
        <w:gridCol w:w="726"/>
        <w:gridCol w:w="711"/>
        <w:gridCol w:w="710"/>
        <w:gridCol w:w="711"/>
        <w:gridCol w:w="726"/>
        <w:gridCol w:w="900"/>
      </w:tblGrid>
      <w:tr>
        <w:trPr/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NN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ind w:left="0" w:right="-54" w:hanging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Значения показателей</w:t>
            </w:r>
          </w:p>
        </w:tc>
      </w:tr>
      <w:tr>
        <w:trPr/>
        <w:tc>
          <w:tcPr>
            <w:tcW w:w="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2019г.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2020г.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2021г.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2022г.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2023г.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2024г.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2025г.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2026-2030г.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2031-2035г.</w:t>
            </w:r>
          </w:p>
        </w:tc>
      </w:tr>
      <w:tr>
        <w:trPr/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108" w:after="108"/>
              <w:jc w:val="center"/>
              <w:rPr/>
            </w:pPr>
            <w:hyperlink w:anchor="sub_5000">
              <w:r>
                <w:rPr>
                  <w:rFonts w:cs="Times New Roman;Times New Roman" w:ascii="Times New Roman;Times New Roman" w:hAnsi="Times New Roman;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cs="Times New Roman;Times New Roman" w:ascii="Times New Roman;Times New Roman" w:hAnsi="Times New Roman;Times New Roman"/>
                <w:b/>
                <w:bCs/>
                <w:sz w:val="24"/>
                <w:szCs w:val="24"/>
              </w:rPr>
              <w:t xml:space="preserve"> "Развитие физической культуры и массового спорта";</w:t>
            </w:r>
          </w:p>
        </w:tc>
      </w:tr>
      <w:tr>
        <w:trPr/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Удельный вес населения Ядринского района,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процентов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47,5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50,5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56,5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65,0</w:t>
            </w:r>
          </w:p>
        </w:tc>
      </w:tr>
      <w:tr>
        <w:trPr/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2000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/>
      </w:pPr>
      <w:bookmarkStart w:id="27" w:name="sub_2000"/>
      <w:bookmarkEnd w:id="27"/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t>Приложение №2</w:t>
        <w:br/>
        <w:t xml:space="preserve">к </w:t>
      </w:r>
      <w:hyperlink w:anchor="sub_1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муниципальной программе</w:t>
        </w:r>
      </w:hyperlink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br/>
        <w:t>Ядринского района</w:t>
        <w:br/>
        <w:t>"Развитие физической культуры</w:t>
        <w:br/>
        <w:t xml:space="preserve">и спорта" 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sz w:val="26"/>
          <w:szCs w:val="26"/>
        </w:rPr>
      </w:r>
      <w:bookmarkStart w:id="28" w:name="sub_2000"/>
      <w:bookmarkStart w:id="29" w:name="sub_2000"/>
      <w:bookmarkEnd w:id="29"/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Перечень</w:t>
        <w:br/>
        <w:t>основных мероприятий муниципальной программы Ядринского района "Развитие физической культуры и спорта"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sz w:val="24"/>
          <w:szCs w:val="24"/>
        </w:rPr>
      </w:r>
    </w:p>
    <w:tbl>
      <w:tblPr>
        <w:tblW w:w="147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017"/>
        <w:gridCol w:w="1378"/>
        <w:gridCol w:w="1431"/>
        <w:gridCol w:w="1559"/>
        <w:gridCol w:w="1856"/>
        <w:gridCol w:w="1369"/>
        <w:gridCol w:w="3042"/>
      </w:tblGrid>
      <w:tr>
        <w:trPr>
          <w:trHeight w:val="260" w:hRule="atLeast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N п/п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Срок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>
        <w:trPr>
          <w:trHeight w:val="139" w:hRule="atLeast"/>
        </w:trPr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8</w:t>
            </w:r>
          </w:p>
        </w:tc>
      </w:tr>
      <w:tr>
        <w:trPr>
          <w:trHeight w:val="521" w:hRule="atLeast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/>
            </w:pPr>
            <w:hyperlink w:anchor="sub_5000">
              <w:r>
                <w:rPr>
                  <w:rFonts w:cs="Times New Roman;Times New Roman" w:ascii="Times New Roman;Times New Roman" w:hAnsi="Times New Roman;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 xml:space="preserve"> "Развитие физической культуры и массового спорта" муниципальной программы Ядринского района "Развитие физической культуры и спорта" </w:t>
            </w:r>
          </w:p>
        </w:tc>
      </w:tr>
      <w:tr>
        <w:trPr>
          <w:trHeight w:val="3458" w:hRule="atLeast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ind w:left="0" w:right="317" w:hanging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Основное мероприятие 1.1. Физкультурно-оздоровительная работа с населением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Отдел культуры, спорта и молодежной политики Ядринской районной администрации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31.12.2035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увеличение населения, систематически занимающихся физкультурой и спортом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уменьшение населения, систематически занимающихся физкультурой и спортом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оказывает влияние на показатели населения, систематически занимающегося физкультурой и спортом</w:t>
            </w:r>
          </w:p>
        </w:tc>
      </w:tr>
    </w:tbl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/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t>Приложение N 3</w:t>
        <w:br/>
        <w:t xml:space="preserve">к </w:t>
      </w:r>
      <w:hyperlink w:anchor="sub_1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муниципальной программе</w:t>
        </w:r>
      </w:hyperlink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br/>
        <w:t>Ядринского района</w:t>
        <w:br/>
        <w:t>"Развитие физической культуры</w:t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t xml:space="preserve"> </w:t>
      </w:r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t>и спорта"</w:t>
        <w:br/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center"/>
        <w:rPr>
          <w:rFonts w:ascii="Times New Roman;Times New Roman" w:hAnsi="Times New Roman;Times New Roman" w:cs="Times New Roman;Times New Roman"/>
          <w:b/>
          <w:b/>
          <w:bCs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sz w:val="24"/>
          <w:szCs w:val="24"/>
        </w:rPr>
        <w:t>План</w:t>
        <w:br/>
        <w:t>реализации муниципальной программы Ядринского района "Развитие физической культуры и спорта"</w:t>
      </w:r>
    </w:p>
    <w:tbl>
      <w:tblPr>
        <w:tblW w:w="147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851"/>
        <w:gridCol w:w="940"/>
        <w:gridCol w:w="1437"/>
        <w:gridCol w:w="979"/>
        <w:gridCol w:w="979"/>
        <w:gridCol w:w="979"/>
        <w:gridCol w:w="979"/>
        <w:gridCol w:w="963"/>
        <w:gridCol w:w="916"/>
        <w:gridCol w:w="916"/>
        <w:gridCol w:w="915"/>
        <w:gridCol w:w="1086"/>
      </w:tblGrid>
      <w:tr>
        <w:trPr>
          <w:trHeight w:val="229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Наименова-ние подпрог-раммы муниципаль-ной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Срок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Финансирование, рублей</w:t>
            </w:r>
          </w:p>
        </w:tc>
      </w:tr>
      <w:tr>
        <w:trPr>
          <w:trHeight w:val="146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2022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2023 год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2024 год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2025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2026-2030 годы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2031-2035 годы</w:t>
            </w:r>
          </w:p>
        </w:tc>
      </w:tr>
      <w:tr>
        <w:trPr>
          <w:trHeight w:val="229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>
          <w:trHeight w:val="163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Основное мероприятие 1.1. Физкультурно-оздоровительная работа с населением.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Отдел культуры, спорта и молодежной политики Ядринской районной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01.01.2019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31.12.2035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увеличение количества населения, систематически, занимаю-щихся физкуль-турой и спортом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51 114 774,93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87 084 969,07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3 859 364,97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" w:hAnsi="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" w:hAnsi="Times New Roman"/>
                <w:sz w:val="24"/>
                <w:szCs w:val="24"/>
                <w:shd w:fill="FFFFFF" w:val="clear"/>
              </w:rPr>
              <w:t>14804772,00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  <w:shd w:fill="FFFFFF" w:val="clear"/>
              </w:rPr>
              <w:t>12 950 356,00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  <w:shd w:fill="FFFFFF" w:val="clear"/>
              </w:rPr>
              <w:t>12 950 356,00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15 214 832,00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/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4"/>
                <w:szCs w:val="24"/>
              </w:rPr>
              <w:t>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/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4"/>
                <w:szCs w:val="24"/>
              </w:rPr>
              <w:t>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>
        <w:trPr>
          <w:trHeight w:val="1633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Основное мероприятие</w:t>
              <w:br/>
              <w:t xml:space="preserve">1.2. Развитие спортивной инфраструктуры, в т.ч. С использованием принципов государственно-частного партнерства и софинансирования из всех уровней бюджетов.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Отдел культуры, спорта и молодежной политики Ядринской районной администрации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01.01.2019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31.12.2035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увеличение количества населения, систематически, занимающихся физкультурой и спортом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12 024 685,53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76 180 638,99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" w:hAnsi="Times New Roman"/>
                <w:sz w:val="24"/>
                <w:szCs w:val="24"/>
                <w:shd w:fill="FFFFFF" w:val="clear"/>
              </w:rPr>
              <w:t>23 770 049,61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Cs/>
          <w:sz w:val="24"/>
          <w:szCs w:val="24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Cs/>
          <w:sz w:val="24"/>
          <w:szCs w:val="24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>
          <w:rFonts w:ascii="Times New Roman;Times New Roman" w:hAnsi="Times New Roman;Times New Roman" w:cs="Times New Roman;Times New Roman"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</w:r>
    </w:p>
    <w:p>
      <w:pPr>
        <w:pStyle w:val="Normal"/>
        <w:suppressAutoHyphens w:val="false"/>
        <w:autoSpaceDE w:val="false"/>
        <w:spacing w:lineRule="auto" w:line="240" w:before="0" w:after="0"/>
        <w:ind w:left="0" w:right="0" w:firstLine="720"/>
        <w:jc w:val="right"/>
        <w:rPr/>
      </w:pPr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t>Приложение 4</w:t>
        <w:br/>
        <w:t xml:space="preserve">к </w:t>
      </w:r>
      <w:hyperlink w:anchor="sub_1000">
        <w:r>
          <w:rPr>
            <w:rFonts w:cs="Times New Roman;Times New Roman" w:ascii="Times New Roman;Times New Roman" w:hAnsi="Times New Roman;Times New Roman"/>
            <w:sz w:val="26"/>
            <w:szCs w:val="26"/>
          </w:rPr>
          <w:t>муниципальной программе</w:t>
        </w:r>
      </w:hyperlink>
      <w:r>
        <w:rPr>
          <w:rFonts w:cs="Times New Roman;Times New Roman" w:ascii="Times New Roman;Times New Roman" w:hAnsi="Times New Roman;Times New Roman"/>
          <w:bCs/>
          <w:sz w:val="26"/>
          <w:szCs w:val="26"/>
        </w:rPr>
        <w:br/>
        <w:t>Ядринского района</w:t>
        <w:br/>
        <w:t>"Развитие физической культуры</w:t>
        <w:br/>
        <w:t>и спорта "</w:t>
      </w:r>
    </w:p>
    <w:p>
      <w:pPr>
        <w:pStyle w:val="Normal"/>
        <w:suppressAutoHyphens w:val="false"/>
        <w:autoSpaceDE w:val="false"/>
        <w:spacing w:lineRule="auto" w:line="240" w:before="108" w:after="108"/>
        <w:jc w:val="center"/>
        <w:rPr>
          <w:rFonts w:ascii="Times New Roman;Times New Roman" w:hAnsi="Times New Roman;Times New Roman" w:cs="Times New Roman;Times New Roman"/>
          <w:b/>
          <w:b/>
          <w:bCs/>
          <w:sz w:val="26"/>
          <w:szCs w:val="26"/>
        </w:rPr>
      </w:pPr>
      <w:r>
        <w:rPr>
          <w:rFonts w:cs="Times New Roman;Times New Roman" w:ascii="Times New Roman;Times New Roman" w:hAnsi="Times New Roman;Times New Roman"/>
          <w:b/>
          <w:bCs/>
          <w:sz w:val="26"/>
          <w:szCs w:val="26"/>
        </w:rPr>
        <w:t>Ресурсное обеспечение</w:t>
        <w:br/>
        <w:t>программы за счет всех источников финансирования</w:t>
      </w:r>
    </w:p>
    <w:tbl>
      <w:tblPr>
        <w:tblW w:w="14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95"/>
        <w:gridCol w:w="2068"/>
        <w:gridCol w:w="1042"/>
        <w:gridCol w:w="883"/>
        <w:gridCol w:w="992"/>
        <w:gridCol w:w="992"/>
        <w:gridCol w:w="993"/>
        <w:gridCol w:w="1275"/>
        <w:gridCol w:w="1276"/>
        <w:gridCol w:w="992"/>
        <w:gridCol w:w="1025"/>
      </w:tblGrid>
      <w:tr>
        <w:trPr>
          <w:trHeight w:val="281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Статус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Оценка расходов по годам. рублей</w:t>
            </w:r>
          </w:p>
        </w:tc>
      </w:tr>
      <w:tr>
        <w:trPr>
          <w:trHeight w:val="148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2026-2030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2031-2035</w:t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12</w:t>
            </w:r>
          </w:p>
        </w:tc>
      </w:tr>
      <w:tr>
        <w:trPr>
          <w:trHeight w:val="677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Мероприятие 1.1.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b/>
                <w:b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sz w:val="24"/>
                <w:szCs w:val="24"/>
              </w:rPr>
              <w:t>Физкультурно-оздоровительная и массовая работа с населением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cs="Times New Roman;Times New Roman" w:ascii="Times New Roman;Times New Roman" w:hAnsi="Times New Roman;Times New Roman"/>
                <w:sz w:val="26"/>
                <w:szCs w:val="26"/>
              </w:rPr>
              <w:t>51 114 774,93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87 084 969,07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27 629 414,58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3 859 364,97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12 950 356,00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12 950 356,00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15 214 832,00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/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4"/>
                <w:szCs w:val="24"/>
              </w:rPr>
              <w:t>76074 160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/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4"/>
                <w:szCs w:val="24"/>
              </w:rPr>
              <w:t>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>
        <w:trPr>
          <w:trHeight w:val="148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Ядринский районный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18 940 774,90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17 649 369,07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5 930 041,10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3 859 364,97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12 950 356,00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12 950 356,00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15 214 832,00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/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4"/>
                <w:szCs w:val="24"/>
              </w:rPr>
              <w:t>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tLeast" w:line="100" w:before="0" w:after="0"/>
              <w:rPr/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4"/>
                <w:szCs w:val="24"/>
              </w:rPr>
              <w:t>76 074 160</w:t>
            </w:r>
            <w:r>
              <w:rPr>
                <w:rFonts w:cs="Times New Roman;Times New Roman" w:ascii="Times New Roman;Times New Roman" w:hAnsi="Times New Roman;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>
        <w:trPr>
          <w:trHeight w:val="556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1.1.1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451 559,49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357 974,00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456 400,00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456 400,00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456 400,00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456 400,00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563700,00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2 818 500,00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2 818 500,00</w:t>
            </w:r>
          </w:p>
        </w:tc>
      </w:tr>
      <w:tr>
        <w:trPr>
          <w:trHeight w:val="148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Ядринский районный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451 559,49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357 974,00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456 400,00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456 400,00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456 400,00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456 400,00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563700,00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2 818 500,00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2 818 500,00</w:t>
            </w:r>
          </w:p>
        </w:tc>
      </w:tr>
      <w:tr>
        <w:trPr>
          <w:trHeight w:val="843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1.1.2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11 158 413,17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10 546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356,08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3 402 964,97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12 493 956,00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12 493 956,00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12 493 956,00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14 651 132,00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73 255 660,00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73 255 660,00</w:t>
            </w:r>
          </w:p>
        </w:tc>
      </w:tr>
      <w:tr>
        <w:trPr>
          <w:trHeight w:val="148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Ядринский районный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11 158 413,17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10 546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356,08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3 402 964,97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12 493 956,00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12 493 956,00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cs="Times New Roman;Times New Roman" w:ascii="Times New Roman;Times New Roman" w:hAnsi="Times New Roman;Times New Roman"/>
                <w:i w:val="false"/>
                <w:iCs w:val="false"/>
                <w:sz w:val="24"/>
                <w:szCs w:val="24"/>
                <w:shd w:fill="FFFFFF" w:val="clear"/>
              </w:rPr>
              <w:t>12 493 956,00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14 651 132,00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73 255 660,00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73 255 660,00</w:t>
            </w:r>
          </w:p>
        </w:tc>
      </w:tr>
      <w:tr>
        <w:trPr>
          <w:trHeight w:val="49" w:hRule="atLeast"/>
        </w:trPr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Основное мероприятие</w:t>
            </w:r>
          </w:p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1.2.</w:t>
            </w:r>
          </w:p>
        </w:tc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 xml:space="preserve">Развитие спортивной инфраструктуры, в т.ч. с использованием принципов государственно-частного партнерства и софинансирования из всех уровней бюджетов. 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b/>
                <w:b/>
                <w:bCs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</w:rPr>
              <w:t>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12 024 685,53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76 180 638,99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23 770 049,61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9" w:hRule="atLeast"/>
        </w:trPr>
        <w:tc>
          <w:tcPr>
            <w:tcW w:w="9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cs="Times New Roman;Times New Roman" w:ascii="Times New Roman;Times New Roman" w:hAnsi="Times New Roman;Times New Roman"/>
              </w:rPr>
              <w:t>Республиканский бюджет Чувашской Республики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9 633 107,85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69 435 600,00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21 699 373,48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9" w:hRule="atLeast"/>
        </w:trPr>
        <w:tc>
          <w:tcPr>
            <w:tcW w:w="9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cs="Times New Roman;Times New Roman" w:ascii="Times New Roman;Times New Roman" w:hAnsi="Times New Roman;Times New Roman"/>
              </w:rPr>
              <w:t>Ядринский районный бюджет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 xml:space="preserve">2 391 577,68 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6 745 038,99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" w:hAnsi="Times New Roman"/>
                <w:sz w:val="24"/>
                <w:szCs w:val="24"/>
              </w:rPr>
              <w:t>2 070 676,13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9" w:hRule="atLeast"/>
        </w:trPr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1.2.1</w:t>
            </w:r>
          </w:p>
        </w:tc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240" w:before="0" w:after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b/>
                <w:b/>
                <w:bCs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</w:rPr>
              <w:t>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12 024 685,53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76 180 638,99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 xml:space="preserve">3 </w:t>
            </w:r>
            <w:r>
              <w:rPr>
                <w:rFonts w:cs="Times New Roman;Times New Roman" w:ascii="Times New Roman" w:hAnsi="Times New Roman"/>
                <w:sz w:val="24"/>
                <w:szCs w:val="24"/>
              </w:rPr>
              <w:t>290 432,29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9" w:hRule="atLeast"/>
        </w:trPr>
        <w:tc>
          <w:tcPr>
            <w:tcW w:w="9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cs="Times New Roman;Times New Roman" w:ascii="Times New Roman;Times New Roman" w:hAnsi="Times New Roman;Times New Roman"/>
              </w:rPr>
              <w:t>Республиканский бюджет Чувашской Республики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9 633 107,85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69 435 600,00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3</w:t>
            </w:r>
            <w:r>
              <w:rPr>
                <w:rFonts w:cs="Times New Roman;Times New Roman" w:ascii="Times New Roman" w:hAnsi="Times New Roman"/>
                <w:sz w:val="24"/>
                <w:szCs w:val="24"/>
              </w:rPr>
              <w:t xml:space="preserve"> 060 101,70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9" w:hRule="atLeast"/>
        </w:trPr>
        <w:tc>
          <w:tcPr>
            <w:tcW w:w="9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cs="Times New Roman;Times New Roman" w:ascii="Times New Roman;Times New Roman" w:hAnsi="Times New Roman;Times New Roman"/>
              </w:rPr>
              <w:t>Ядринский районный бюджет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2 391 577,68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6 745 038,99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" w:hAnsi="Times New Roman"/>
                <w:sz w:val="24"/>
                <w:szCs w:val="24"/>
              </w:rPr>
              <w:t>230 330,59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suppressAutoHyphens w:val="false"/>
        <w:autoSpaceDE w:val="false"/>
        <w:spacing w:lineRule="auto" w:line="240" w:before="0" w:after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altName w:val="Letter Gothic"/>
    <w:charset w:val="cc"/>
    <w:family w:val="modern"/>
    <w:pitch w:val="default"/>
  </w:font>
  <w:font w:name="Baltica Chv">
    <w:charset w:val="cc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;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uppressAutoHyphens w:val="false"/>
      <w:autoSpaceDE w:val="false"/>
      <w:spacing w:lineRule="auto" w:line="240" w:before="108" w:after="108"/>
      <w:jc w:val="center"/>
      <w:outlineLvl w:val="0"/>
    </w:pPr>
    <w:rPr>
      <w:rFonts w:ascii="Arial;Arial" w:hAnsi="Arial;Arial" w:cs="Arial;Arial"/>
      <w:b/>
      <w:bCs/>
      <w:color w:val="26282F"/>
      <w:sz w:val="24"/>
      <w:szCs w:val="24"/>
    </w:rPr>
  </w:style>
  <w:style w:type="paragraph" w:styleId="2">
    <w:name w:val="Heading 2"/>
    <w:basedOn w:val="1"/>
    <w:next w:val="Normal"/>
    <w:qFormat/>
    <w:pPr>
      <w:numPr>
        <w:ilvl w:val="1"/>
        <w:numId w:val="1"/>
      </w:numPr>
      <w:outlineLvl w:val="1"/>
    </w:pPr>
    <w:rPr/>
  </w:style>
  <w:style w:type="paragraph" w:styleId="3">
    <w:name w:val="Heading 3"/>
    <w:basedOn w:val="2"/>
    <w:next w:val="Normal"/>
    <w:qFormat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next w:val="Normal"/>
    <w:qFormat/>
    <w:pPr>
      <w:numPr>
        <w:ilvl w:val="3"/>
        <w:numId w:val="1"/>
      </w:numPr>
      <w:outlineLvl w:val="3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0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11">
    <w:name w:val="Основной шрифт абзаца1"/>
    <w:qFormat/>
    <w:rPr/>
  </w:style>
  <w:style w:type="character" w:styleId="12">
    <w:name w:val=" Знак Знак1"/>
    <w:basedOn w:val="11"/>
    <w:qFormat/>
    <w:rPr>
      <w:rFonts w:ascii="Calibri" w:hAnsi="Calibri" w:cs="Calibri"/>
      <w:sz w:val="16"/>
      <w:szCs w:val="16"/>
      <w:lang w:val="ru-RU" w:bidi="ar-SA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41">
    <w:name w:val=" Знак Знак4"/>
    <w:basedOn w:val="21"/>
    <w:qFormat/>
    <w:rPr>
      <w:rFonts w:ascii="Arial;Arial" w:hAnsi="Arial;Arial" w:cs="Arial;Arial"/>
      <w:b/>
      <w:bCs/>
      <w:color w:val="26282F"/>
      <w:sz w:val="24"/>
      <w:szCs w:val="24"/>
    </w:rPr>
  </w:style>
  <w:style w:type="character" w:styleId="32">
    <w:name w:val=" Знак Знак3"/>
    <w:basedOn w:val="21"/>
    <w:qFormat/>
    <w:rPr>
      <w:rFonts w:ascii="Arial;Arial" w:hAnsi="Arial;Arial" w:cs="Arial;Arial"/>
      <w:b/>
      <w:bCs/>
      <w:color w:val="26282F"/>
      <w:sz w:val="24"/>
      <w:szCs w:val="24"/>
    </w:rPr>
  </w:style>
  <w:style w:type="character" w:styleId="22">
    <w:name w:val=" Знак Знак2"/>
    <w:basedOn w:val="21"/>
    <w:qFormat/>
    <w:rPr>
      <w:rFonts w:ascii="Arial;Arial" w:hAnsi="Arial;Arial" w:cs="Arial;Arial"/>
      <w:b/>
      <w:bCs/>
      <w:color w:val="26282F"/>
      <w:sz w:val="24"/>
      <w:szCs w:val="24"/>
    </w:rPr>
  </w:style>
  <w:style w:type="character" w:styleId="Style12">
    <w:name w:val=" Знак Знак"/>
    <w:basedOn w:val="21"/>
    <w:qFormat/>
    <w:rPr>
      <w:rFonts w:ascii="Arial;Arial" w:hAnsi="Arial;Arial" w:cs="Arial;Arial"/>
      <w:b/>
      <w:bCs/>
      <w:color w:val="26282F"/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;Arial" w:hAnsi="Arial;Arial" w:eastAsia="SimSun;宋体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33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4">
    <w:name w:val="Указатель3"/>
    <w:basedOn w:val="Normal"/>
    <w:qFormat/>
    <w:pPr>
      <w:suppressLineNumbers/>
    </w:pPr>
    <w:rPr>
      <w:rFonts w:cs="Mangal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0">
    <w:name w:val="Body Text Indent"/>
    <w:basedOn w:val="Normal"/>
    <w:pPr>
      <w:spacing w:lineRule="auto" w:line="240" w:before="0" w:after="0"/>
      <w:jc w:val="both"/>
    </w:pPr>
    <w:rPr>
      <w:rFonts w:ascii="Times New Roman;Times New Roman" w:hAnsi="Times New Roman;Times New Roman" w:cs="Times New Roman;Times New Roman"/>
      <w:sz w:val="26"/>
      <w:szCs w:val="26"/>
    </w:rPr>
  </w:style>
  <w:style w:type="paragraph" w:styleId="211">
    <w:name w:val="Основной текст 21"/>
    <w:basedOn w:val="Normal"/>
    <w:qFormat/>
    <w:pPr>
      <w:spacing w:lineRule="auto" w:line="240" w:before="0" w:after="0"/>
      <w:ind w:left="0" w:right="5000" w:hanging="0"/>
      <w:jc w:val="both"/>
    </w:pPr>
    <w:rPr>
      <w:rFonts w:ascii="Times New Roman;Times New Roman" w:hAnsi="Times New Roman;Times New Roman" w:cs="Times New Roman;Times New Roman"/>
      <w:b/>
      <w:sz w:val="26"/>
      <w:szCs w:val="26"/>
    </w:rPr>
  </w:style>
  <w:style w:type="paragraph" w:styleId="311">
    <w:name w:val="Основной текст с отступом 31"/>
    <w:basedOn w:val="Normal"/>
    <w:qFormat/>
    <w:pPr>
      <w:spacing w:lineRule="auto" w:line="240" w:before="0" w:after="0"/>
      <w:ind w:left="0" w:right="0" w:firstLine="709"/>
      <w:jc w:val="both"/>
    </w:pPr>
    <w:rPr>
      <w:rFonts w:ascii="Times New Roman;Times New Roman" w:hAnsi="Times New Roman;Times New Roman" w:cs="Times New Roman;Times New Roman"/>
      <w:sz w:val="26"/>
      <w:szCs w:val="26"/>
    </w:rPr>
  </w:style>
  <w:style w:type="paragraph" w:styleId="312">
    <w:name w:val="Основной текст 31"/>
    <w:basedOn w:val="Normal"/>
    <w:qFormat/>
    <w:pPr>
      <w:spacing w:before="0" w:after="120"/>
    </w:pPr>
    <w:rPr>
      <w:sz w:val="16"/>
      <w:szCs w:val="16"/>
    </w:rPr>
  </w:style>
  <w:style w:type="paragraph" w:styleId="Style21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;Letter Gothic" w:hAnsi="Courier New;Letter Gothic" w:cs="Courier New;Letter Gothic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7524302.0" TargetMode="External"/><Relationship Id="rId4" Type="http://schemas.openxmlformats.org/officeDocument/2006/relationships/hyperlink" Target="garantf1://17520300.100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1823</TotalTime>
  <Application>LibreOffice/7.0.3.1$Windows_X86_64 LibreOffice_project/d7547858d014d4cf69878db179d326fc3483e082</Application>
  <Pages>16</Pages>
  <Words>3530</Words>
  <CharactersWithSpaces>27929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2021-10-14T08:28:10Z</dcterms:created>
  <dc:creator/>
  <dc:description/>
  <dc:language>ru-RU</dc:language>
  <cp:lastModifiedBy/>
  <cp:lastPrinted>2022-02-10T14:38:36Z</cp:lastPrinted>
  <dcterms:modified xsi:type="dcterms:W3CDTF">2022-02-11T13:44:27Z</dcterms:modified>
  <cp:revision>12</cp:revision>
  <dc:subject/>
  <dc:title>ЧĂВАШ РЕСПУБЛИКИ</dc:title>
</cp:coreProperties>
</file>